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Data Governance Concepts — Contracts, Data Quality &amp; Model Access</w:t>
      </w:r>
    </w:p>
    <w:p>
      <w:r>
        <w:t xml:space="preserve">A </w:t>
      </w:r>
      <w:r>
        <w:rPr>
          <w:b/>
        </w:rPr>
        <w:t>capabilities menu</w:t>
      </w:r>
      <w:r>
        <w:t xml:space="preserve">: what governance features dbt gives you, what each one looks like in YAML, and which file it goes in. This is a reference for deciding *what to apply per model* — it does not prescribe a rollout. For this project's applied rules see </w:t>
      </w:r>
      <w:hyperlink r:id="rId9">
        <w:r>
          <w:rPr>
            <w:color w:val="0B5CAD"/>
            <w:u w:val="single"/>
          </w:rPr>
          <w:t>DATA_QUALITY.md</w:t>
        </w:r>
      </w:hyperlink>
      <w:r>
        <w:t xml:space="preserve">; for the business case see </w:t>
      </w:r>
      <w:hyperlink r:id="rId10">
        <w:r>
          <w:rPr>
            <w:color w:val="0B5CAD"/>
            <w:u w:val="single"/>
          </w:rPr>
          <w:t>PROPOSAL-data-quality-and-contracts.md</w:t>
        </w:r>
      </w:hyperlink>
      <w:r>
        <w:t>.</w:t>
      </w:r>
    </w:p>
    <w:p>
      <w:r>
        <w:t>There are three independent levers, and you can turn each on per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Lever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Question it answers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Turn it on with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contracts</w:t>
            </w:r>
          </w:p>
        </w:tc>
        <w:tc>
          <w:tcPr>
            <w:tcW w:type="dxa" w:w="2880"/>
          </w:tcPr>
          <w:p>
            <w:r/>
            <w:r>
              <w:t>"Is this model's shape stable and promised?"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contract: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columns:</w:t>
            </w:r>
            <w:r>
              <w:t xml:space="preserve"> + </w:t>
            </w:r>
            <w:r>
              <w:rPr>
                <w:rFonts w:ascii="Consolas" w:hAnsi="Consolas"/>
                <w:color w:val="A31415"/>
              </w:rPr>
              <w:t>data_type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constraints: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versions: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quality</w:t>
            </w:r>
          </w:p>
        </w:tc>
        <w:tc>
          <w:tcPr>
            <w:tcW w:type="dxa" w:w="2880"/>
          </w:tcPr>
          <w:p>
            <w:r/>
            <w:r>
              <w:t>"Is the data inside it correct?"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data_tests:</w:t>
            </w:r>
            <w:r>
              <w:t xml:space="preserve">, freshness, </w:t>
            </w:r>
            <w:r>
              <w:rPr>
                <w:rFonts w:ascii="Consolas" w:hAnsi="Consolas"/>
                <w:color w:val="A31415"/>
              </w:rPr>
              <w:t>unit_tests:</w:t>
            </w:r>
            <w:r>
              <w:t>, singular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Model access</w:t>
            </w:r>
          </w:p>
        </w:tc>
        <w:tc>
          <w:tcPr>
            <w:tcW w:type="dxa" w:w="2880"/>
          </w:tcPr>
          <w:p>
            <w:r/>
            <w:r>
              <w:t>"Who is allowed to depend on it?"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access: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groups:</w:t>
            </w:r>
            <w:r>
              <w:t>, exposures</w:t>
            </w:r>
          </w:p>
        </w:tc>
      </w:tr>
    </w:tbl>
    <w:p/>
    <w:p>
      <w:r>
        <w:rPr>
          <w:b/>
        </w:rPr>
        <w:t>Where config lives.</w:t>
      </w:r>
      <w:r>
        <w:t xml:space="preserve"> Two places, and they compose:</w:t>
      </w:r>
    </w:p>
    <w:p>
      <w:pPr>
        <w:pStyle w:val="ListBullet"/>
      </w:pPr>
      <w:r>
        <w:rPr>
          <w:b/>
        </w:rPr>
        <w:t>Project-wide defaults / toggles</w:t>
      </w:r>
      <w:r>
        <w:t xml:space="preserve"> → </w:t>
      </w:r>
      <w:hyperlink r:id="rId11">
        <w:r>
          <w:rPr>
            <w:color w:val="0B5CAD"/>
            <w:u w:val="single"/>
          </w:rPr>
          <w:t>dbt_project.yml</w:t>
        </w:r>
      </w:hyperlink>
      <w:r>
        <w:t>. Set a behaviour once for a whole folder (e.g. "all marts are public and contracted").</w:t>
      </w:r>
    </w:p>
    <w:p>
      <w:pPr>
        <w:pStyle w:val="ListBullet"/>
      </w:pPr>
      <w:r>
        <w:rPr>
          <w:b/>
        </w:rPr>
        <w:t>Per-model detail</w:t>
      </w:r>
      <w:r>
        <w:t xml:space="preserve"> → each folder's </w:t>
      </w:r>
      <w:r>
        <w:rPr>
          <w:rFonts w:ascii="Consolas" w:hAnsi="Consolas"/>
          <w:color w:val="A31415"/>
        </w:rPr>
        <w:t>_&lt;folder&gt;.yml</w:t>
      </w:r>
      <w:r>
        <w:t xml:space="preserve"> (e.g. </w:t>
      </w:r>
      <w:hyperlink r:id="rId12">
        <w:r>
          <w:rPr>
            <w:color w:val="0B5CAD"/>
            <w:u w:val="single"/>
          </w:rPr>
          <w:t>models/marts/_marts.yml</w:t>
        </w:r>
      </w:hyperlink>
      <w:r>
        <w:t>). Declare the columns, tests, constraints, and versions of individual models here.</w:t>
      </w:r>
    </w:p>
    <w:p>
      <w:pPr>
        <w:ind w:left="360"/>
        <w:shd w:val="clear" w:fill="FFF6DA"/>
      </w:pPr>
      <w:r>
        <w:t xml:space="preserve">This project runs on </w:t>
      </w:r>
      <w:r>
        <w:rPr>
          <w:b/>
        </w:rPr>
        <w:t>Snowflake via dbt Cloud</w:t>
      </w:r>
      <w:r>
        <w:t xml:space="preserve"> using the </w:t>
      </w:r>
      <w:r>
        <w:rPr>
          <w:b/>
        </w:rPr>
        <w:t>dbt 2.0 / Fusion preview</w:t>
      </w:r>
      <w:r>
        <w:t xml:space="preserve">. That means: use </w:t>
      </w:r>
      <w:r>
        <w:rPr>
          <w:rFonts w:ascii="Consolas" w:hAnsi="Consolas"/>
          <w:color w:val="A31415"/>
        </w:rPr>
        <w:t>data_tests:</w:t>
      </w:r>
      <w:r>
        <w:t xml:space="preserve"> (not the legacy </w:t>
      </w:r>
      <w:r>
        <w:rPr>
          <w:rFonts w:ascii="Consolas" w:hAnsi="Consolas"/>
          <w:color w:val="A31415"/>
        </w:rPr>
        <w:t>tests:</w:t>
      </w:r>
      <w:r>
        <w:t xml:space="preserve"> key), nest generic-test arguments under </w:t>
      </w:r>
      <w:r>
        <w:rPr>
          <w:rFonts w:ascii="Consolas" w:hAnsi="Consolas"/>
          <w:color w:val="A31415"/>
        </w:rPr>
        <w:t>arguments:</w:t>
      </w:r>
      <w:r>
        <w:t>, and expect Snowflake to enforce only some constraint types (noted per section below).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 Data contracts</w:t>
      </w:r>
    </w:p>
    <w:p>
      <w:r>
        <w:rPr>
          <w:b/>
        </w:rPr>
        <w:t>What it is.</w:t>
      </w:r>
      <w:r>
        <w:t xml:space="preserve"> A contract is an enforced promise about a model's *output shape*. You declare every column and its </w:t>
      </w:r>
      <w:r>
        <w:rPr>
          <w:rFonts w:ascii="Consolas" w:hAnsi="Consolas"/>
          <w:color w:val="A31415"/>
        </w:rPr>
        <w:t>data_type</w:t>
      </w:r>
      <w:r>
        <w:t xml:space="preserve">; at build time dbt compares the compiled SQL to that declaration and </w:t>
      </w:r>
      <w:r>
        <w:rPr>
          <w:b/>
        </w:rPr>
        <w:t>fails the build if they drift</w:t>
      </w:r>
      <w:r>
        <w:t>. A consumer downstream can rely on the columns and types being exactly what was promised.</w:t>
      </w:r>
    </w:p>
    <w:p>
      <w:r>
        <w:t>What a violation looks like — you rename or retype a column and the build stops before anything ships: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Compilation Error in model fact_orders</w:t>
        <w:br/>
      </w:r>
      <w:r>
        <w:rPr>
          <w:rFonts w:ascii="Consolas" w:hAnsi="Consolas"/>
          <w:sz w:val="19"/>
        </w:rPr>
        <w:t xml:space="preserve">  This model has an enforced contract that failed.</w:t>
        <w:br/>
      </w:r>
      <w:r>
        <w:rPr>
          <w:rFonts w:ascii="Consolas" w:hAnsi="Consolas"/>
          <w:sz w:val="19"/>
        </w:rPr>
        <w:t xml:space="preserve">  | column       | model output | contract      | reason             |</w:t>
        <w:br/>
      </w:r>
      <w:r>
        <w:rPr>
          <w:rFonts w:ascii="Consolas" w:hAnsi="Consolas"/>
          <w:sz w:val="19"/>
        </w:rPr>
        <w:t xml:space="preserve">  | total_amount | FLOAT        | NUMBER(38,2)  | data type mismatch |</w:t>
      </w:r>
    </w:p>
    <w:p>
      <w:pPr>
        <w:pStyle w:val="Heading3"/>
      </w:pPr>
      <w:r/>
      <w:r>
        <w:t>What you can use</w:t>
      </w:r>
    </w:p>
    <w:p>
      <w:pPr>
        <w:pStyle w:val="ListBullet"/>
      </w:pPr>
      <w:r>
        <w:rPr>
          <w:b/>
        </w:rPr>
        <w:t>`contract: {enforced: true}`</w:t>
      </w:r>
      <w:r>
        <w:t xml:space="preserve"> — switches enforcement on. Requires a full </w:t>
      </w:r>
      <w:r>
        <w:rPr>
          <w:rFonts w:ascii="Consolas" w:hAnsi="Consolas"/>
          <w:color w:val="A31415"/>
        </w:rPr>
        <w:t>columns:</w:t>
      </w:r>
      <w:r>
        <w:t xml:space="preserve"> list with a </w:t>
      </w:r>
      <w:r>
        <w:rPr>
          <w:rFonts w:ascii="Consolas" w:hAnsi="Consolas"/>
          <w:color w:val="A31415"/>
        </w:rPr>
        <w:t>data_type</w:t>
      </w:r>
      <w:r>
        <w:t xml:space="preserve"> on every column.</w:t>
      </w:r>
    </w:p>
    <w:p>
      <w:pPr>
        <w:pStyle w:val="ListBullet"/>
      </w:pPr>
      <w:r>
        <w:rPr>
          <w:b/>
        </w:rPr>
        <w:t>`constraints:`</w:t>
      </w:r>
      <w:r>
        <w:t xml:space="preserve"> — declare </w:t>
      </w:r>
      <w:r>
        <w:rPr>
          <w:rFonts w:ascii="Consolas" w:hAnsi="Consolas"/>
          <w:color w:val="A31415"/>
        </w:rPr>
        <w:t>primary_key</w:t>
      </w:r>
      <w:r>
        <w:t xml:space="preserve">, </w:t>
      </w:r>
      <w:r>
        <w:rPr>
          <w:rFonts w:ascii="Consolas" w:hAnsi="Consolas"/>
          <w:color w:val="A31415"/>
        </w:rPr>
        <w:t>foreign_key</w:t>
      </w:r>
      <w:r>
        <w:t xml:space="preserve">, </w:t>
      </w:r>
      <w:r>
        <w:rPr>
          <w:rFonts w:ascii="Consolas" w:hAnsi="Consolas"/>
          <w:color w:val="A31415"/>
        </w:rPr>
        <w:t>not_null</w:t>
      </w:r>
      <w:r>
        <w:t xml:space="preserve">, </w:t>
      </w:r>
      <w:r>
        <w:rPr>
          <w:rFonts w:ascii="Consolas" w:hAnsi="Consolas"/>
          <w:color w:val="A31415"/>
        </w:rPr>
        <w:t>check</w:t>
      </w:r>
      <w:r>
        <w:t xml:space="preserve"> on columns.</w:t>
      </w:r>
    </w:p>
    <w:p>
      <w:pPr>
        <w:pStyle w:val="ListBullet"/>
      </w:pPr>
      <w:r>
        <w:rPr>
          <w:b/>
        </w:rPr>
        <w:t>Versioning</w:t>
      </w:r>
      <w:r>
        <w:t xml:space="preserve"> — ship </w:t>
      </w:r>
      <w:r>
        <w:rPr>
          <w:rFonts w:ascii="Consolas" w:hAnsi="Consolas"/>
          <w:color w:val="A31415"/>
        </w:rPr>
        <w:t>v1</w:t>
      </w:r>
      <w:r>
        <w:t xml:space="preserve"> and </w:t>
      </w:r>
      <w:r>
        <w:rPr>
          <w:rFonts w:ascii="Consolas" w:hAnsi="Consolas"/>
          <w:color w:val="A31415"/>
        </w:rPr>
        <w:t>v2</w:t>
      </w:r>
      <w:r>
        <w:t xml:space="preserve"> of the same model side by side (</w:t>
      </w:r>
      <w:r>
        <w:rPr>
          <w:rFonts w:ascii="Consolas" w:hAnsi="Consolas"/>
          <w:color w:val="A31415"/>
        </w:rPr>
        <w:t>versions:</w:t>
      </w:r>
      <w:r>
        <w:t xml:space="preserve">, </w:t>
      </w:r>
      <w:r>
        <w:rPr>
          <w:rFonts w:ascii="Consolas" w:hAnsi="Consolas"/>
          <w:color w:val="A31415"/>
        </w:rPr>
        <w:t>latest_version:</w:t>
      </w:r>
      <w:r>
        <w:t xml:space="preserve">), give an old version a </w:t>
      </w:r>
      <w:r>
        <w:rPr>
          <w:rFonts w:ascii="Consolas" w:hAnsi="Consolas"/>
          <w:color w:val="A31415"/>
        </w:rPr>
        <w:t>deprecation_date:</w:t>
      </w:r>
      <w:r>
        <w:t xml:space="preserve">, and </w:t>
      </w:r>
      <w:r>
        <w:rPr>
          <w:rFonts w:ascii="Consolas" w:hAnsi="Consolas"/>
          <w:color w:val="A31415"/>
        </w:rPr>
        <w:t>include</w:t>
      </w:r>
      <w:r>
        <w:t>/</w:t>
      </w:r>
      <w:r>
        <w:rPr>
          <w:rFonts w:ascii="Consolas" w:hAnsi="Consolas"/>
          <w:color w:val="A31415"/>
        </w:rPr>
        <w:t>exclude</w:t>
      </w:r>
      <w:r>
        <w:t xml:space="preserve"> columns per version. Additive changes = minor; removing/renaming/narrowing a column = breaking (bump the version).</w:t>
      </w:r>
    </w:p>
    <w:p>
      <w:pPr>
        <w:pStyle w:val="Heading3"/>
      </w:pPr>
      <w:r/>
      <w:r>
        <w:t>In YAML</w:t>
      </w:r>
    </w:p>
    <w:p>
      <w:r>
        <w:t xml:space="preserve">Enforce it for a whole folder once, in </w:t>
      </w:r>
      <w:hyperlink r:id="rId11">
        <w:r>
          <w:rPr>
            <w:color w:val="0B5CAD"/>
            <w:u w:val="single"/>
          </w:rPr>
          <w:t>dbt_project.yml</w:t>
        </w:r>
      </w:hyperlink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alnz_data_vault:</w:t>
        <w:br/>
      </w:r>
      <w:r>
        <w:rPr>
          <w:rFonts w:ascii="Consolas" w:hAnsi="Consolas"/>
          <w:sz w:val="19"/>
        </w:rPr>
        <w:t xml:space="preserve">    marts:</w:t>
        <w:br/>
      </w:r>
      <w:r>
        <w:rPr>
          <w:rFonts w:ascii="Consolas" w:hAnsi="Consolas"/>
          <w:sz w:val="19"/>
        </w:rPr>
        <w:t xml:space="preserve">      +materialized: table</w:t>
        <w:br/>
      </w:r>
      <w:r>
        <w:rPr>
          <w:rFonts w:ascii="Consolas" w:hAnsi="Consolas"/>
          <w:sz w:val="19"/>
        </w:rPr>
        <w:t xml:space="preserve">      +access: public</w:t>
        <w:br/>
      </w:r>
      <w:r>
        <w:rPr>
          <w:rFonts w:ascii="Consolas" w:hAnsi="Consolas"/>
          <w:sz w:val="19"/>
        </w:rPr>
        <w:t xml:space="preserve">      +contract:</w:t>
        <w:br/>
      </w:r>
      <w:r>
        <w:rPr>
          <w:rFonts w:ascii="Consolas" w:hAnsi="Consolas"/>
          <w:sz w:val="19"/>
        </w:rPr>
        <w:t xml:space="preserve">        enforced: true</w:t>
      </w:r>
    </w:p>
    <w:p>
      <w:r>
        <w:t xml:space="preserve">Then declare each model's shape in </w:t>
      </w:r>
      <w:hyperlink r:id="rId12">
        <w:r>
          <w:rPr>
            <w:color w:val="0B5CAD"/>
            <w:u w:val="single"/>
          </w:rPr>
          <w:t>models/marts/_marts.yml</w:t>
        </w:r>
      </w:hyperlink>
      <w:r>
        <w:t xml:space="preserve">. Note </w:t>
      </w:r>
      <w:r>
        <w:rPr>
          <w:rFonts w:ascii="Consolas" w:hAnsi="Consolas"/>
          <w:color w:val="A31415"/>
        </w:rPr>
        <w:t>data_type</w:t>
      </w:r>
      <w:r>
        <w:t xml:space="preserve"> on every column and the </w:t>
      </w:r>
      <w:r>
        <w:rPr>
          <w:rFonts w:ascii="Consolas" w:hAnsi="Consolas"/>
          <w:color w:val="A31415"/>
        </w:rPr>
        <w:t>constraints:</w:t>
      </w:r>
      <w:r>
        <w:t xml:space="preserve"> block: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- name: fact_orders</w:t>
        <w:br/>
      </w:r>
      <w:r>
        <w:rPr>
          <w:rFonts w:ascii="Consolas" w:hAnsi="Consolas"/>
          <w:sz w:val="19"/>
        </w:rPr>
        <w:t xml:space="preserve">    description: "One row per order. Public, contracted interface."</w:t>
        <w:br/>
      </w:r>
      <w:r>
        <w:rPr>
          <w:rFonts w:ascii="Consolas" w:hAnsi="Consolas"/>
          <w:sz w:val="19"/>
        </w:rPr>
        <w:t xml:space="preserve">    columns:</w:t>
        <w:br/>
      </w:r>
      <w:r>
        <w:rPr>
          <w:rFonts w:ascii="Consolas" w:hAnsi="Consolas"/>
          <w:sz w:val="19"/>
        </w:rPr>
        <w:t xml:space="preserve">      - name: link_customer_product_hk</w:t>
        <w:br/>
      </w:r>
      <w:r>
        <w:rPr>
          <w:rFonts w:ascii="Consolas" w:hAnsi="Consolas"/>
          <w:sz w:val="19"/>
        </w:rPr>
        <w:t xml:space="preserve">        data_type: varchar</w:t>
        <w:br/>
      </w:r>
      <w:r>
        <w:rPr>
          <w:rFonts w:ascii="Consolas" w:hAnsi="Consolas"/>
          <w:sz w:val="19"/>
        </w:rPr>
        <w:t xml:space="preserve">        constraints:</w:t>
        <w:br/>
      </w:r>
      <w:r>
        <w:rPr>
          <w:rFonts w:ascii="Consolas" w:hAnsi="Consolas"/>
          <w:sz w:val="19"/>
        </w:rPr>
        <w:t xml:space="preserve">          - type: primary_key</w:t>
        <w:br/>
      </w:r>
      <w:r>
        <w:rPr>
          <w:rFonts w:ascii="Consolas" w:hAnsi="Consolas"/>
          <w:sz w:val="19"/>
        </w:rPr>
        <w:t xml:space="preserve">          - type: not_null</w:t>
        <w:br/>
      </w:r>
      <w:r>
        <w:rPr>
          <w:rFonts w:ascii="Consolas" w:hAnsi="Consolas"/>
          <w:sz w:val="19"/>
        </w:rPr>
        <w:t xml:space="preserve">      - name: customer_hk</w:t>
        <w:br/>
      </w:r>
      <w:r>
        <w:rPr>
          <w:rFonts w:ascii="Consolas" w:hAnsi="Consolas"/>
          <w:sz w:val="19"/>
        </w:rPr>
        <w:t xml:space="preserve">        data_type: varchar</w:t>
        <w:br/>
      </w:r>
      <w:r>
        <w:rPr>
          <w:rFonts w:ascii="Consolas" w:hAnsi="Consolas"/>
          <w:sz w:val="19"/>
        </w:rPr>
        <w:t xml:space="preserve">        constraints:</w:t>
        <w:br/>
      </w:r>
      <w:r>
        <w:rPr>
          <w:rFonts w:ascii="Consolas" w:hAnsi="Consolas"/>
          <w:sz w:val="19"/>
        </w:rPr>
        <w:t xml:space="preserve">          - type: not_null</w:t>
        <w:br/>
      </w:r>
      <w:r>
        <w:rPr>
          <w:rFonts w:ascii="Consolas" w:hAnsi="Consolas"/>
          <w:sz w:val="19"/>
        </w:rPr>
        <w:t xml:space="preserve">          - type: foreign_key</w:t>
        <w:br/>
      </w:r>
      <w:r>
        <w:rPr>
          <w:rFonts w:ascii="Consolas" w:hAnsi="Consolas"/>
          <w:sz w:val="19"/>
        </w:rPr>
        <w:t xml:space="preserve">            to: ref('dim_customer')</w:t>
        <w:br/>
      </w:r>
      <w:r>
        <w:rPr>
          <w:rFonts w:ascii="Consolas" w:hAnsi="Consolas"/>
          <w:sz w:val="19"/>
        </w:rPr>
        <w:t xml:space="preserve">            to_columns: [customer_hk]</w:t>
        <w:br/>
      </w:r>
      <w:r>
        <w:rPr>
          <w:rFonts w:ascii="Consolas" w:hAnsi="Consolas"/>
          <w:sz w:val="19"/>
        </w:rPr>
        <w:t xml:space="preserve">      - name: total_amount</w:t>
        <w:br/>
      </w:r>
      <w:r>
        <w:rPr>
          <w:rFonts w:ascii="Consolas" w:hAnsi="Consolas"/>
          <w:sz w:val="19"/>
        </w:rPr>
        <w:t xml:space="preserve">        data_type: number(38,2)</w:t>
      </w:r>
    </w:p>
    <w:p>
      <w:r>
        <w:t xml:space="preserve">Versioning — v1 predates a column, v2 adds it. Consumers of v1 have until the </w:t>
      </w:r>
      <w:r>
        <w:rPr>
          <w:rFonts w:ascii="Consolas" w:hAnsi="Consolas"/>
          <w:color w:val="A31415"/>
        </w:rPr>
        <w:t>deprecation_date</w:t>
      </w:r>
      <w:r>
        <w:t xml:space="preserve"> to migrate: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- name: dim_customer</w:t>
        <w:br/>
      </w:r>
      <w:r>
        <w:rPr>
          <w:rFonts w:ascii="Consolas" w:hAnsi="Consolas"/>
          <w:sz w:val="19"/>
        </w:rPr>
        <w:t xml:space="preserve">    latest_version: 2</w:t>
        <w:br/>
      </w:r>
      <w:r>
        <w:rPr>
          <w:rFonts w:ascii="Consolas" w:hAnsi="Consolas"/>
          <w:sz w:val="19"/>
        </w:rPr>
        <w:t xml:space="preserve">    columns:</w:t>
        <w:br/>
      </w:r>
      <w:r>
        <w:rPr>
          <w:rFonts w:ascii="Consolas" w:hAnsi="Consolas"/>
          <w:sz w:val="19"/>
        </w:rPr>
        <w:t xml:space="preserve">      - name: email_domain</w:t>
        <w:br/>
      </w:r>
      <w:r>
        <w:rPr>
          <w:rFonts w:ascii="Consolas" w:hAnsi="Consolas"/>
          <w:sz w:val="19"/>
        </w:rPr>
        <w:t xml:space="preserve">        data_type: varchar        # added in v2</w:t>
        <w:br/>
      </w:r>
      <w:r>
        <w:rPr>
          <w:rFonts w:ascii="Consolas" w:hAnsi="Consolas"/>
          <w:sz w:val="19"/>
        </w:rPr>
        <w:t xml:space="preserve">      # ... all other columns ...</w:t>
        <w:br/>
      </w:r>
      <w:r>
        <w:rPr>
          <w:rFonts w:ascii="Consolas" w:hAnsi="Consolas"/>
          <w:sz w:val="19"/>
        </w:rPr>
        <w:t xml:space="preserve">    versions:</w:t>
        <w:br/>
      </w:r>
      <w:r>
        <w:rPr>
          <w:rFonts w:ascii="Consolas" w:hAnsi="Consolas"/>
          <w:sz w:val="19"/>
        </w:rPr>
        <w:t xml:space="preserve">      - v: 1</w:t>
        <w:br/>
      </w:r>
      <w:r>
        <w:rPr>
          <w:rFonts w:ascii="Consolas" w:hAnsi="Consolas"/>
          <w:sz w:val="19"/>
        </w:rPr>
        <w:t xml:space="preserve">        deprecation_date: 2026-12-31</w:t>
        <w:br/>
      </w:r>
      <w:r>
        <w:rPr>
          <w:rFonts w:ascii="Consolas" w:hAnsi="Consolas"/>
          <w:sz w:val="19"/>
        </w:rPr>
        <w:t xml:space="preserve">        columns:</w:t>
        <w:br/>
      </w:r>
      <w:r>
        <w:rPr>
          <w:rFonts w:ascii="Consolas" w:hAnsi="Consolas"/>
          <w:sz w:val="19"/>
        </w:rPr>
        <w:t xml:space="preserve">          - include: all</w:t>
        <w:br/>
      </w:r>
      <w:r>
        <w:rPr>
          <w:rFonts w:ascii="Consolas" w:hAnsi="Consolas"/>
          <w:sz w:val="19"/>
        </w:rPr>
        <w:t xml:space="preserve">            exclude: [email_domain]   # v1 never had it</w:t>
        <w:br/>
      </w:r>
      <w:r>
        <w:rPr>
          <w:rFonts w:ascii="Consolas" w:hAnsi="Consolas"/>
          <w:sz w:val="19"/>
        </w:rPr>
        <w:t xml:space="preserve">      - v: 2</w:t>
        <w:br/>
      </w:r>
      <w:r>
        <w:rPr>
          <w:rFonts w:ascii="Consolas" w:hAnsi="Consolas"/>
          <w:sz w:val="19"/>
        </w:rPr>
        <w:t xml:space="preserve">        columns:</w:t>
        <w:br/>
      </w:r>
      <w:r>
        <w:rPr>
          <w:rFonts w:ascii="Consolas" w:hAnsi="Consolas"/>
          <w:sz w:val="19"/>
        </w:rPr>
        <w:t xml:space="preserve">          - include: all              # v2 = everything (additive change)</w:t>
      </w:r>
    </w:p>
    <w:p>
      <w:pPr>
        <w:pStyle w:val="Heading3"/>
      </w:pPr>
      <w:r/>
      <w:r>
        <w:t>Snowflake note</w:t>
      </w:r>
    </w:p>
    <w:p>
      <w:r>
        <w:t xml:space="preserve">Snowflake enforces </w:t>
      </w:r>
      <w:r>
        <w:rPr>
          <w:rFonts w:ascii="Consolas" w:hAnsi="Consolas"/>
          <w:color w:val="A31415"/>
        </w:rPr>
        <w:t>not_null</w:t>
      </w:r>
      <w:r>
        <w:t xml:space="preserve"> only. </w:t>
      </w:r>
      <w:r>
        <w:rPr>
          <w:rFonts w:ascii="Consolas" w:hAnsi="Consolas"/>
          <w:color w:val="A31415"/>
        </w:rPr>
        <w:t>primary_key</w:t>
      </w:r>
      <w:r>
        <w:t xml:space="preserve"> / </w:t>
      </w:r>
      <w:r>
        <w:rPr>
          <w:rFonts w:ascii="Consolas" w:hAnsi="Consolas"/>
          <w:color w:val="A31415"/>
        </w:rPr>
        <w:t>foreign_key</w:t>
      </w:r>
      <w:r>
        <w:t xml:space="preserve"> are stored as </w:t>
      </w:r>
      <w:r>
        <w:rPr>
          <w:b/>
        </w:rPr>
        <w:t>metadata</w:t>
      </w:r>
      <w:r>
        <w:t xml:space="preserve"> (documented, not enforced), and </w:t>
      </w:r>
      <w:r>
        <w:rPr>
          <w:rFonts w:ascii="Consolas" w:hAnsi="Consolas"/>
          <w:color w:val="A31415"/>
        </w:rPr>
        <w:t>check</w:t>
      </w:r>
      <w:r>
        <w:t xml:space="preserve"> constraints are </w:t>
      </w:r>
      <w:r>
        <w:rPr>
          <w:b/>
        </w:rPr>
        <w:t>not supported</w:t>
      </w:r>
      <w:r>
        <w:t xml:space="preserve"> at all. So numeric ranges are enforced with </w:t>
      </w:r>
      <w:r>
        <w:rPr>
          <w:rFonts w:ascii="Consolas" w:hAnsi="Consolas"/>
          <w:color w:val="A31415"/>
        </w:rPr>
        <w:t>dbt_utils.accepted_range</w:t>
      </w:r>
      <w:r>
        <w:t xml:space="preserve"> tests instead of </w:t>
      </w:r>
      <w:r>
        <w:rPr>
          <w:rFonts w:ascii="Consolas" w:hAnsi="Consolas"/>
          <w:color w:val="A31415"/>
        </w:rPr>
        <w:t>check</w:t>
      </w:r>
      <w:r>
        <w:t xml:space="preserve">, and referential integrity with </w:t>
      </w:r>
      <w:r>
        <w:rPr>
          <w:rFonts w:ascii="Consolas" w:hAnsi="Consolas"/>
          <w:color w:val="A31415"/>
        </w:rPr>
        <w:t>relationships</w:t>
      </w:r>
      <w:r>
        <w:t xml:space="preserve"> tests (see the next section). Contract </w:t>
      </w:r>
      <w:r>
        <w:rPr>
          <w:b/>
        </w:rPr>
        <w:t>drift detection</w:t>
      </w:r>
      <w:r>
        <w:t xml:space="preserve"> works regardless of the warehouse — it's a dbt compile-time check, not a database feature.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2. Data quality (tests)</w:t>
      </w:r>
    </w:p>
    <w:p>
      <w:r>
        <w:rPr>
          <w:b/>
        </w:rPr>
        <w:t>What it is.</w:t>
      </w:r>
      <w:r>
        <w:t xml:space="preserve"> Tests are assertions dbt runs against built data. A failing test can </w:t>
      </w:r>
      <w:r>
        <w:rPr>
          <w:b/>
        </w:rPr>
        <w:t>warn</w:t>
      </w:r>
      <w:r>
        <w:t xml:space="preserve"> (visible, non-blocking) or </w:t>
      </w:r>
      <w:r>
        <w:rPr>
          <w:b/>
        </w:rPr>
        <w:t>error</w:t>
      </w:r>
      <w:r>
        <w:t xml:space="preserve"> (blocks the build / CI). With </w:t>
      </w:r>
      <w:r>
        <w:rPr>
          <w:rFonts w:ascii="Consolas" w:hAnsi="Consolas"/>
          <w:color w:val="A31415"/>
        </w:rPr>
        <w:t>store_failures: true</w:t>
      </w:r>
      <w:r>
        <w:t xml:space="preserve"> the offending rows land in a table so you can query exactly which records failed.</w:t>
      </w:r>
    </w:p>
    <w:p>
      <w:pPr>
        <w:pStyle w:val="Heading3"/>
      </w:pPr>
      <w:r/>
      <w:r>
        <w:t>What you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Use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Built-in generic tests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not_null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unique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accepted_values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relationships</w:t>
            </w:r>
          </w:p>
        </w:tc>
        <w:tc>
          <w:tcPr>
            <w:tcW w:type="dxa" w:w="2880"/>
          </w:tcPr>
          <w:p>
            <w:r/>
            <w:r>
              <w:t>keys, enums, referential integrity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Package tests</w:t>
            </w:r>
            <w:r>
              <w:t xml:space="preserve"> (</w:t>
            </w:r>
            <w:r>
              <w:rPr>
                <w:rFonts w:ascii="Consolas" w:hAnsi="Consolas"/>
                <w:color w:val="A31415"/>
              </w:rPr>
              <w:t>dbt_utils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accepted_range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unique_combination_of_columns</w:t>
            </w:r>
          </w:p>
        </w:tc>
        <w:tc>
          <w:tcPr>
            <w:tcW w:type="dxa" w:w="2880"/>
          </w:tcPr>
          <w:p>
            <w:r/>
            <w:r>
              <w:t>numeric ranges, composite grain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Singular tests</w:t>
            </w:r>
          </w:p>
        </w:tc>
        <w:tc>
          <w:tcPr>
            <w:tcW w:type="dxa" w:w="2880"/>
          </w:tcPr>
          <w:p>
            <w:r/>
            <w:r>
              <w:t xml:space="preserve">any SQL file in </w:t>
            </w:r>
            <w:hyperlink r:id="rId13">
              <w:r>
                <w:rPr>
                  <w:color w:val="0B5CAD"/>
                  <w:u w:val="single"/>
                </w:rPr>
                <w:t>tests/</w:t>
              </w:r>
            </w:hyperlink>
            <w:r>
              <w:t xml:space="preserve"> that returns failing rows</w:t>
            </w:r>
          </w:p>
        </w:tc>
        <w:tc>
          <w:tcPr>
            <w:tcW w:type="dxa" w:w="2880"/>
          </w:tcPr>
          <w:p>
            <w:r/>
            <w:r>
              <w:t>bespoke, cross-model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Unit tests</w:t>
            </w:r>
            <w:r>
              <w:t xml:space="preserve"> (</w:t>
            </w:r>
            <w:r>
              <w:rPr>
                <w:rFonts w:ascii="Consolas" w:hAnsi="Consolas"/>
                <w:color w:val="A31415"/>
              </w:rPr>
              <w:t>unit_tests: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mocked </w:t>
            </w:r>
            <w:r>
              <w:rPr>
                <w:rFonts w:ascii="Consolas" w:hAnsi="Consolas"/>
                <w:color w:val="A31415"/>
              </w:rPr>
              <w:t>given</w:t>
            </w:r>
            <w:r>
              <w:t xml:space="preserve"> rows → </w:t>
            </w:r>
            <w:r>
              <w:rPr>
                <w:rFonts w:ascii="Consolas" w:hAnsi="Consolas"/>
                <w:color w:val="A31415"/>
              </w:rPr>
              <w:t>expect</w:t>
            </w:r>
            <w:r>
              <w:t xml:space="preserve"> rows</w:t>
            </w:r>
          </w:p>
        </w:tc>
        <w:tc>
          <w:tcPr>
            <w:tcW w:type="dxa" w:w="2880"/>
          </w:tcPr>
          <w:p>
            <w:r/>
            <w:r>
              <w:t>transformation *logic*, no warehouse data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 freshness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415"/>
              </w:rPr>
              <w:t>loaded_at_field</w:t>
            </w:r>
            <w:r>
              <w:t xml:space="preserve"> + </w:t>
            </w:r>
            <w:r>
              <w:rPr>
                <w:rFonts w:ascii="Consolas" w:hAnsi="Consolas"/>
                <w:color w:val="A31415"/>
              </w:rPr>
              <w:t>freshness:</w:t>
            </w:r>
            <w:r>
              <w:t xml:space="preserve"> thresholds</w:t>
            </w:r>
          </w:p>
        </w:tc>
        <w:tc>
          <w:tcPr>
            <w:tcW w:type="dxa" w:w="2880"/>
          </w:tcPr>
          <w:p>
            <w:r/>
            <w:r>
              <w:t>catching stale upstream loads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t>`config: {severity: warn \</w:t>
            </w:r>
          </w:p>
        </w:tc>
        <w:tc>
          <w:tcPr>
            <w:tcW w:type="dxa" w:w="2880"/>
          </w:tcPr>
          <w:p>
            <w:r/>
            <w:r>
              <w:t>error}`</w:t>
            </w:r>
          </w:p>
        </w:tc>
      </w:tr>
    </w:tbl>
    <w:p/>
    <w:p>
      <w:r>
        <w:t xml:space="preserve">Two heavier tiers are available but </w:t>
      </w:r>
      <w:r>
        <w:rPr>
          <w:b/>
        </w:rPr>
        <w:t>off by default</w:t>
      </w:r>
      <w:r>
        <w:t xml:space="preserve"> in this project (flip a var in </w:t>
      </w:r>
      <w:hyperlink r:id="rId11">
        <w:r>
          <w:rPr>
            <w:color w:val="0B5CAD"/>
            <w:u w:val="single"/>
          </w:rPr>
          <w:t>dbt_project.yml</w:t>
        </w:r>
      </w:hyperlink>
      <w:r>
        <w:t xml:space="preserve"> to enable): </w:t>
      </w:r>
      <w:r>
        <w:rPr>
          <w:rFonts w:ascii="Consolas" w:hAnsi="Consolas"/>
          <w:color w:val="A31415"/>
        </w:rPr>
        <w:t>dbt_expectations</w:t>
      </w:r>
      <w:r>
        <w:t xml:space="preserve"> (richer value/range/regex/distribution assertions) and </w:t>
      </w:r>
      <w:r>
        <w:rPr>
          <w:rFonts w:ascii="Consolas" w:hAnsi="Consolas"/>
          <w:color w:val="A31415"/>
        </w:rPr>
        <w:t>elementary</w:t>
      </w:r>
      <w:r>
        <w:t xml:space="preserve"> (anomaly detection + test-result observability).</w:t>
      </w:r>
    </w:p>
    <w:p>
      <w:pPr>
        <w:pStyle w:val="Heading3"/>
      </w:pPr>
      <w:r/>
      <w:r>
        <w:t>In YAML</w:t>
      </w:r>
    </w:p>
    <w:p>
      <w:r>
        <w:t xml:space="preserve">Column-level generic tests, in the same </w:t>
      </w:r>
      <w:r>
        <w:rPr>
          <w:rFonts w:ascii="Consolas" w:hAnsi="Consolas"/>
          <w:color w:val="A31415"/>
        </w:rPr>
        <w:t>_&lt;folder&gt;.yml</w:t>
      </w:r>
      <w:r>
        <w:t xml:space="preserve"> as the model. Note the Fusion </w:t>
      </w:r>
      <w:r>
        <w:rPr>
          <w:rFonts w:ascii="Consolas" w:hAnsi="Consolas"/>
          <w:color w:val="A31415"/>
        </w:rPr>
        <w:t>arguments:</w:t>
      </w:r>
      <w:r>
        <w:t xml:space="preserve"> nesting and per-test </w:t>
      </w:r>
      <w:r>
        <w:rPr>
          <w:rFonts w:ascii="Consolas" w:hAnsi="Consolas"/>
          <w:color w:val="A31415"/>
        </w:rPr>
        <w:t>config:</w:t>
      </w:r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columns:</w:t>
        <w:br/>
      </w:r>
      <w:r>
        <w:rPr>
          <w:rFonts w:ascii="Consolas" w:hAnsi="Consolas"/>
          <w:sz w:val="19"/>
        </w:rPr>
        <w:t xml:space="preserve">  - name: category</w:t>
        <w:br/>
      </w:r>
      <w:r>
        <w:rPr>
          <w:rFonts w:ascii="Consolas" w:hAnsi="Consolas"/>
          <w:sz w:val="19"/>
        </w:rPr>
        <w:t xml:space="preserve">    data_type: varchar</w:t>
        <w:br/>
      </w:r>
      <w:r>
        <w:rPr>
          <w:rFonts w:ascii="Consolas" w:hAnsi="Consolas"/>
          <w:sz w:val="19"/>
        </w:rPr>
        <w:t xml:space="preserve">    data_tests:</w:t>
        <w:br/>
      </w:r>
      <w:r>
        <w:rPr>
          <w:rFonts w:ascii="Consolas" w:hAnsi="Consolas"/>
          <w:sz w:val="19"/>
        </w:rPr>
        <w:t xml:space="preserve">      - accepted_values:</w:t>
        <w:br/>
      </w:r>
      <w:r>
        <w:rPr>
          <w:rFonts w:ascii="Consolas" w:hAnsi="Consolas"/>
          <w:sz w:val="19"/>
        </w:rPr>
        <w:t xml:space="preserve">          arguments:</w:t>
        <w:br/>
      </w:r>
      <w:r>
        <w:rPr>
          <w:rFonts w:ascii="Consolas" w:hAnsi="Consolas"/>
          <w:sz w:val="19"/>
        </w:rPr>
        <w:t xml:space="preserve">            values: ['Electronics', 'Accessories']</w:t>
        <w:br/>
      </w:r>
      <w:r>
        <w:rPr>
          <w:rFonts w:ascii="Consolas" w:hAnsi="Consolas"/>
          <w:sz w:val="19"/>
        </w:rPr>
        <w:t xml:space="preserve">  - name: price</w:t>
        <w:br/>
      </w:r>
      <w:r>
        <w:rPr>
          <w:rFonts w:ascii="Consolas" w:hAnsi="Consolas"/>
          <w:sz w:val="19"/>
        </w:rPr>
        <w:t xml:space="preserve">    data_type: number(10,2)</w:t>
        <w:br/>
      </w:r>
      <w:r>
        <w:rPr>
          <w:rFonts w:ascii="Consolas" w:hAnsi="Consolas"/>
          <w:sz w:val="19"/>
        </w:rPr>
        <w:t xml:space="preserve">    data_tests:</w:t>
        <w:br/>
      </w:r>
      <w:r>
        <w:rPr>
          <w:rFonts w:ascii="Consolas" w:hAnsi="Consolas"/>
          <w:sz w:val="19"/>
        </w:rPr>
        <w:t xml:space="preserve">      - dbt_utils.accepted_range:</w:t>
        <w:br/>
      </w:r>
      <w:r>
        <w:rPr>
          <w:rFonts w:ascii="Consolas" w:hAnsi="Consolas"/>
          <w:sz w:val="19"/>
        </w:rPr>
        <w:t xml:space="preserve">          config:</w:t>
        <w:br/>
      </w:r>
      <w:r>
        <w:rPr>
          <w:rFonts w:ascii="Consolas" w:hAnsi="Consolas"/>
          <w:sz w:val="19"/>
        </w:rPr>
        <w:t xml:space="preserve">            severity: warn          # advisory, does not block the build</w:t>
        <w:br/>
      </w:r>
      <w:r>
        <w:rPr>
          <w:rFonts w:ascii="Consolas" w:hAnsi="Consolas"/>
          <w:sz w:val="19"/>
        </w:rPr>
        <w:t xml:space="preserve">          arguments:</w:t>
        <w:br/>
      </w:r>
      <w:r>
        <w:rPr>
          <w:rFonts w:ascii="Consolas" w:hAnsi="Consolas"/>
          <w:sz w:val="19"/>
        </w:rPr>
        <w:t xml:space="preserve">            min_value: 0</w:t>
        <w:br/>
      </w:r>
      <w:r>
        <w:rPr>
          <w:rFonts w:ascii="Consolas" w:hAnsi="Consolas"/>
          <w:sz w:val="19"/>
        </w:rPr>
        <w:t xml:space="preserve">            inclusive: true</w:t>
        <w:br/>
      </w:r>
      <w:r>
        <w:rPr>
          <w:rFonts w:ascii="Consolas" w:hAnsi="Consolas"/>
          <w:sz w:val="19"/>
        </w:rPr>
        <w:t xml:space="preserve">  - name: customer_hk</w:t>
        <w:br/>
      </w:r>
      <w:r>
        <w:rPr>
          <w:rFonts w:ascii="Consolas" w:hAnsi="Consolas"/>
          <w:sz w:val="19"/>
        </w:rPr>
        <w:t xml:space="preserve">    data_tests:</w:t>
        <w:br/>
      </w:r>
      <w:r>
        <w:rPr>
          <w:rFonts w:ascii="Consolas" w:hAnsi="Consolas"/>
          <w:sz w:val="19"/>
        </w:rPr>
        <w:t xml:space="preserve">      - relationships:</w:t>
        <w:br/>
      </w:r>
      <w:r>
        <w:rPr>
          <w:rFonts w:ascii="Consolas" w:hAnsi="Consolas"/>
          <w:sz w:val="19"/>
        </w:rPr>
        <w:t xml:space="preserve">          arguments:</w:t>
        <w:br/>
      </w:r>
      <w:r>
        <w:rPr>
          <w:rFonts w:ascii="Consolas" w:hAnsi="Consolas"/>
          <w:sz w:val="19"/>
        </w:rPr>
        <w:t xml:space="preserve">            to: ref('dim_customer')</w:t>
        <w:br/>
      </w:r>
      <w:r>
        <w:rPr>
          <w:rFonts w:ascii="Consolas" w:hAnsi="Consolas"/>
          <w:sz w:val="19"/>
        </w:rPr>
        <w:t xml:space="preserve">            field: customer_hk</w:t>
      </w:r>
    </w:p>
    <w:p>
      <w:r>
        <w:t xml:space="preserve">Model-level test for composite grain (e.g. a Data Vault satellite is one row per key per load), from </w:t>
      </w:r>
      <w:hyperlink r:id="rId14">
        <w:r>
          <w:rPr>
            <w:color w:val="0B5CAD"/>
            <w:u w:val="single"/>
          </w:rPr>
          <w:t>models/raw_vault/_raw_vault.yml</w:t>
        </w:r>
      </w:hyperlink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- name: sat_customer_details</w:t>
        <w:br/>
      </w:r>
      <w:r>
        <w:rPr>
          <w:rFonts w:ascii="Consolas" w:hAnsi="Consolas"/>
          <w:sz w:val="19"/>
        </w:rPr>
        <w:t xml:space="preserve">    data_tests:</w:t>
        <w:br/>
      </w:r>
      <w:r>
        <w:rPr>
          <w:rFonts w:ascii="Consolas" w:hAnsi="Consolas"/>
          <w:sz w:val="19"/>
        </w:rPr>
        <w:t xml:space="preserve">      - dbt_utils.unique_combination_of_columns:</w:t>
        <w:br/>
      </w:r>
      <w:r>
        <w:rPr>
          <w:rFonts w:ascii="Consolas" w:hAnsi="Consolas"/>
          <w:sz w:val="19"/>
        </w:rPr>
        <w:t xml:space="preserve">          arguments:</w:t>
        <w:br/>
      </w:r>
      <w:r>
        <w:rPr>
          <w:rFonts w:ascii="Consolas" w:hAnsi="Consolas"/>
          <w:sz w:val="19"/>
        </w:rPr>
        <w:t xml:space="preserve">            combination_of_columns:</w:t>
        <w:br/>
      </w:r>
      <w:r>
        <w:rPr>
          <w:rFonts w:ascii="Consolas" w:hAnsi="Consolas"/>
          <w:sz w:val="19"/>
        </w:rPr>
        <w:t xml:space="preserve">              - customer_hk</w:t>
        <w:br/>
      </w:r>
      <w:r>
        <w:rPr>
          <w:rFonts w:ascii="Consolas" w:hAnsi="Consolas"/>
          <w:sz w:val="19"/>
        </w:rPr>
        <w:t xml:space="preserve">              - load_date</w:t>
      </w:r>
    </w:p>
    <w:p>
      <w:r>
        <w:t xml:space="preserve">Unit test — assert logic against mocked inputs, from </w:t>
      </w:r>
      <w:hyperlink r:id="rId15">
        <w:r>
          <w:rPr>
            <w:color w:val="0B5CAD"/>
            <w:u w:val="single"/>
          </w:rPr>
          <w:t>models/marts/_unit_tests.yml</w:t>
        </w:r>
      </w:hyperlink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unit_tests:</w:t>
        <w:br/>
      </w:r>
      <w:r>
        <w:rPr>
          <w:rFonts w:ascii="Consolas" w:hAnsi="Consolas"/>
          <w:sz w:val="19"/>
        </w:rPr>
        <w:t xml:space="preserve">  - name: fact_orders_computes_total_amount</w:t>
        <w:br/>
      </w:r>
      <w:r>
        <w:rPr>
          <w:rFonts w:ascii="Consolas" w:hAnsi="Consolas"/>
          <w:sz w:val="19"/>
        </w:rPr>
        <w:t xml:space="preserve">    model: fact_orders</w:t>
        <w:br/>
      </w:r>
      <w:r>
        <w:rPr>
          <w:rFonts w:ascii="Consolas" w:hAnsi="Consolas"/>
          <w:sz w:val="19"/>
        </w:rPr>
        <w:t xml:space="preserve">    given:</w:t>
        <w:br/>
      </w:r>
      <w:r>
        <w:rPr>
          <w:rFonts w:ascii="Consolas" w:hAnsi="Consolas"/>
          <w:sz w:val="19"/>
        </w:rPr>
        <w:t xml:space="preserve">      - input: ref('sat_order_details')</w:t>
        <w:br/>
      </w:r>
      <w:r>
        <w:rPr>
          <w:rFonts w:ascii="Consolas" w:hAnsi="Consolas"/>
          <w:sz w:val="19"/>
        </w:rPr>
        <w:t xml:space="preserve">        rows:</w:t>
        <w:br/>
      </w:r>
      <w:r>
        <w:rPr>
          <w:rFonts w:ascii="Consolas" w:hAnsi="Consolas"/>
          <w:sz w:val="19"/>
        </w:rPr>
        <w:t xml:space="preserve">          - {link_customer_product_hk: 'lk1', quantity: 3, unit_price: 25.00}</w:t>
        <w:br/>
      </w:r>
      <w:r>
        <w:rPr>
          <w:rFonts w:ascii="Consolas" w:hAnsi="Consolas"/>
          <w:sz w:val="19"/>
        </w:rPr>
        <w:t xml:space="preserve">    expect:</w:t>
        <w:br/>
      </w:r>
      <w:r>
        <w:rPr>
          <w:rFonts w:ascii="Consolas" w:hAnsi="Consolas"/>
          <w:sz w:val="19"/>
        </w:rPr>
        <w:t xml:space="preserve">      rows:</w:t>
        <w:br/>
      </w:r>
      <w:r>
        <w:rPr>
          <w:rFonts w:ascii="Consolas" w:hAnsi="Consolas"/>
          <w:sz w:val="19"/>
        </w:rPr>
        <w:t xml:space="preserve">        - {link_customer_product_hk: 'lk1', total_amount: 75.00}</w:t>
      </w:r>
    </w:p>
    <w:p>
      <w:r>
        <w:t xml:space="preserve">Source freshness, from </w:t>
      </w:r>
      <w:hyperlink r:id="rId16">
        <w:r>
          <w:rPr>
            <w:color w:val="0B5CAD"/>
            <w:u w:val="single"/>
          </w:rPr>
          <w:t>models/staging/_sources.yml</w:t>
        </w:r>
      </w:hyperlink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sources:</w:t>
        <w:br/>
      </w:r>
      <w:r>
        <w:rPr>
          <w:rFonts w:ascii="Consolas" w:hAnsi="Consolas"/>
          <w:sz w:val="19"/>
        </w:rPr>
        <w:t xml:space="preserve">  - name: raw</w:t>
        <w:br/>
      </w:r>
      <w:r>
        <w:rPr>
          <w:rFonts w:ascii="Consolas" w:hAnsi="Consolas"/>
          <w:sz w:val="19"/>
        </w:rPr>
        <w:t xml:space="preserve">    loaded_at_field: _loaded_at</w:t>
        <w:br/>
      </w:r>
      <w:r>
        <w:rPr>
          <w:rFonts w:ascii="Consolas" w:hAnsi="Consolas"/>
          <w:sz w:val="19"/>
        </w:rPr>
        <w:t xml:space="preserve">    freshness:</w:t>
        <w:br/>
      </w:r>
      <w:r>
        <w:rPr>
          <w:rFonts w:ascii="Consolas" w:hAnsi="Consolas"/>
          <w:sz w:val="19"/>
        </w:rPr>
        <w:t xml:space="preserve">      warn_after:  {count: 24, period: hour}</w:t>
        <w:br/>
      </w:r>
      <w:r>
        <w:rPr>
          <w:rFonts w:ascii="Consolas" w:hAnsi="Consolas"/>
          <w:sz w:val="19"/>
        </w:rPr>
        <w:t xml:space="preserve">      error_after: {count: 48, period: hour}</w:t>
        <w:br/>
      </w:r>
      <w:r>
        <w:rPr>
          <w:rFonts w:ascii="Consolas" w:hAnsi="Consolas"/>
          <w:sz w:val="19"/>
        </w:rPr>
        <w:t xml:space="preserve">    tables:</w:t>
        <w:br/>
      </w:r>
      <w:r>
        <w:rPr>
          <w:rFonts w:ascii="Consolas" w:hAnsi="Consolas"/>
          <w:sz w:val="19"/>
        </w:rPr>
        <w:t xml:space="preserve">      - name: raw_orders</w:t>
        <w:br/>
      </w:r>
      <w:r>
        <w:rPr>
          <w:rFonts w:ascii="Consolas" w:hAnsi="Consolas"/>
          <w:sz w:val="19"/>
        </w:rPr>
        <w:t xml:space="preserve">        freshness:                 # override per table — orders arrive more often</w:t>
        <w:br/>
      </w:r>
      <w:r>
        <w:rPr>
          <w:rFonts w:ascii="Consolas" w:hAnsi="Consolas"/>
          <w:sz w:val="19"/>
        </w:rPr>
        <w:t xml:space="preserve">          warn_after:  {count: 6,  period: hour}</w:t>
        <w:br/>
      </w:r>
      <w:r>
        <w:rPr>
          <w:rFonts w:ascii="Consolas" w:hAnsi="Consolas"/>
          <w:sz w:val="19"/>
        </w:rPr>
        <w:t xml:space="preserve">          error_after: {count: 12, period: hour}</w:t>
      </w:r>
    </w:p>
    <w:p>
      <w:pPr>
        <w:pStyle w:val="Heading3"/>
      </w:pPr>
      <w:r/>
      <w:r>
        <w:t>Fusion note</w:t>
      </w:r>
    </w:p>
    <w:p>
      <w:r>
        <w:t xml:space="preserve">Use </w:t>
      </w:r>
      <w:r>
        <w:rPr>
          <w:rFonts w:ascii="Consolas" w:hAnsi="Consolas"/>
          <w:color w:val="A31415"/>
        </w:rPr>
        <w:t>data_tests:</w:t>
      </w:r>
      <w:r>
        <w:t xml:space="preserve"> (not </w:t>
      </w:r>
      <w:r>
        <w:rPr>
          <w:rFonts w:ascii="Consolas" w:hAnsi="Consolas"/>
          <w:color w:val="A31415"/>
        </w:rPr>
        <w:t>tests:</w:t>
      </w:r>
      <w:r>
        <w:t xml:space="preserve">), and put generic-test parameters under </w:t>
      </w:r>
      <w:r>
        <w:rPr>
          <w:rFonts w:ascii="Consolas" w:hAnsi="Consolas"/>
          <w:color w:val="A31415"/>
        </w:rPr>
        <w:t>arguments:</w:t>
      </w:r>
      <w:r>
        <w:t xml:space="preserve">. </w:t>
      </w:r>
      <w:r>
        <w:rPr>
          <w:rFonts w:ascii="Consolas" w:hAnsi="Consolas"/>
          <w:color w:val="A31415"/>
        </w:rPr>
        <w:t>store_failures: true</w:t>
      </w:r>
      <w:r>
        <w:t xml:space="preserve"> is set project-wide in </w:t>
      </w:r>
      <w:hyperlink r:id="rId11">
        <w:r>
          <w:rPr>
            <w:color w:val="0B5CAD"/>
            <w:u w:val="single"/>
          </w:rPr>
          <w:t>dbt_project.yml</w:t>
        </w:r>
      </w:hyperlink>
      <w:r>
        <w:t xml:space="preserve"> so failing rows are always queryable.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3. Model access &amp; privacy</w:t>
      </w:r>
    </w:p>
    <w:p>
      <w:r>
        <w:rPr>
          <w:b/>
        </w:rPr>
        <w:t>What it is.</w:t>
      </w:r>
      <w:r>
        <w:t xml:space="preserve"> The </w:t>
      </w:r>
      <w:r>
        <w:rPr>
          <w:rFonts w:ascii="Consolas" w:hAnsi="Consolas"/>
          <w:color w:val="A31415"/>
        </w:rPr>
        <w:t>access</w:t>
      </w:r>
      <w:r>
        <w:t xml:space="preserve"> modifier and </w:t>
      </w:r>
      <w:r>
        <w:rPr>
          <w:b/>
        </w:rPr>
        <w:t>groups</w:t>
      </w:r>
      <w:r>
        <w:t xml:space="preserve"> control which *other models* are allowed to </w:t>
      </w:r>
      <w:r>
        <w:rPr>
          <w:rFonts w:ascii="Consolas" w:hAnsi="Consolas"/>
          <w:color w:val="A31415"/>
        </w:rPr>
        <w:t>ref()</w:t>
      </w:r>
      <w:r>
        <w:t xml:space="preserve"> a model — a visibility / API boundary inside the dbt DAG. This is </w:t>
      </w:r>
      <w:r>
        <w:rPr>
          <w:b/>
        </w:rPr>
        <w:t>not</w:t>
      </w:r>
      <w:r>
        <w:t xml:space="preserve"> a warehouse permission: whether a human or BI tool can </w:t>
      </w:r>
      <w:r>
        <w:rPr>
          <w:rFonts w:ascii="Consolas" w:hAnsi="Consolas"/>
          <w:color w:val="A31415"/>
        </w:rPr>
        <w:t>SELECT</w:t>
      </w:r>
      <w:r>
        <w:t xml:space="preserve"> the table is controlled separately by database </w:t>
      </w:r>
      <w:r>
        <w:rPr>
          <w:rFonts w:ascii="Consolas" w:hAnsi="Consolas"/>
          <w:color w:val="A31415"/>
        </w:rPr>
        <w:t>grants:</w:t>
      </w:r>
      <w:r>
        <w:t>. Access governs the *code* dependency graph; grants govern *query* privileges.</w:t>
      </w:r>
    </w:p>
    <w:p>
      <w:pPr>
        <w:pStyle w:val="Heading3"/>
      </w:pPr>
      <w:r/>
      <w:r>
        <w:t>What you can use</w:t>
      </w:r>
    </w:p>
    <w:p>
      <w:pPr>
        <w:pStyle w:val="ListBullet"/>
      </w:pPr>
      <w:r>
        <w:rPr>
          <w:b/>
        </w:rPr>
        <w:t>`access:`</w:t>
      </w:r>
      <w:r>
        <w:t xml:space="preserve"> — one of </w:t>
      </w:r>
      <w:r>
        <w:rPr>
          <w:rFonts w:ascii="Consolas" w:hAnsi="Consolas"/>
          <w:color w:val="A31415"/>
        </w:rPr>
        <w:t>public</w:t>
      </w:r>
      <w:r>
        <w:t xml:space="preserve"> (any model, including other projects, may </w:t>
      </w:r>
      <w:r>
        <w:rPr>
          <w:rFonts w:ascii="Consolas" w:hAnsi="Consolas"/>
          <w:color w:val="A31415"/>
        </w:rPr>
        <w:t>ref()</w:t>
      </w:r>
      <w:r>
        <w:t xml:space="preserve"> it), </w:t>
      </w:r>
      <w:r>
        <w:rPr>
          <w:rFonts w:ascii="Consolas" w:hAnsi="Consolas"/>
          <w:color w:val="A31415"/>
        </w:rPr>
        <w:t>protected</w:t>
      </w:r>
      <w:r>
        <w:t xml:space="preserve"> (default — only models in the same project), or </w:t>
      </w:r>
      <w:r>
        <w:rPr>
          <w:rFonts w:ascii="Consolas" w:hAnsi="Consolas"/>
          <w:color w:val="A31415"/>
        </w:rPr>
        <w:t>private</w:t>
      </w:r>
      <w:r>
        <w:t xml:space="preserve"> (only models in the same </w:t>
      </w:r>
      <w:r>
        <w:rPr>
          <w:b/>
        </w:rPr>
        <w:t>group</w:t>
      </w:r>
      <w:r>
        <w:t>).</w:t>
      </w:r>
    </w:p>
    <w:p>
      <w:pPr>
        <w:pStyle w:val="ListBullet"/>
      </w:pPr>
      <w:r>
        <w:rPr>
          <w:b/>
        </w:rPr>
        <w:t>`groups:`</w:t>
      </w:r>
      <w:r>
        <w:t xml:space="preserve"> — a named group with an accountable </w:t>
      </w:r>
      <w:r>
        <w:rPr>
          <w:rFonts w:ascii="Consolas" w:hAnsi="Consolas"/>
          <w:color w:val="A31415"/>
        </w:rPr>
        <w:t>owner</w:t>
      </w:r>
      <w:r>
        <w:t xml:space="preserve">. Marking internal models </w:t>
      </w:r>
      <w:r>
        <w:rPr>
          <w:rFonts w:ascii="Consolas" w:hAnsi="Consolas"/>
          <w:color w:val="A31415"/>
        </w:rPr>
        <w:t>private</w:t>
      </w:r>
      <w:r>
        <w:t xml:space="preserve"> + assigning them to a group stops anything outside that group from depending on them.</w:t>
      </w:r>
    </w:p>
    <w:p>
      <w:pPr>
        <w:pStyle w:val="ListBullet"/>
      </w:pPr>
      <w:r>
        <w:rPr>
          <w:b/>
        </w:rPr>
        <w:t>Exposures</w:t>
      </w:r>
      <w:r>
        <w:t xml:space="preserve"> — declare downstream consumers (a dashboard, a report) so a model's *blast radius* is visible in the lineage even though the consumer lives outside dbt.</w:t>
      </w:r>
    </w:p>
    <w:p>
      <w:pPr>
        <w:pStyle w:val="ListBullet"/>
      </w:pPr>
      <w:r>
        <w:rPr>
          <w:b/>
        </w:rPr>
        <w:t>`config.meta`</w:t>
      </w:r>
      <w:r>
        <w:t xml:space="preserve"> — adjacent descriptive metadata (e.g. a </w:t>
      </w:r>
      <w:r>
        <w:rPr>
          <w:rFonts w:ascii="Consolas" w:hAnsi="Consolas"/>
          <w:color w:val="A31415"/>
        </w:rPr>
        <w:t>pii: true</w:t>
      </w:r>
      <w:r>
        <w:t xml:space="preserve"> flag, business definitions). Not access control, but the "who/what" often lives here; the </w:t>
      </w:r>
      <w:hyperlink r:id="rId17">
        <w:r>
          <w:rPr>
            <w:color w:val="0B5CAD"/>
            <w:u w:val="single"/>
          </w:rPr>
          <w:t>dbt_yaml_generator</w:t>
        </w:r>
      </w:hyperlink>
      <w:r>
        <w:t xml:space="preserve"> can scaffold it.</w:t>
      </w:r>
    </w:p>
    <w:p>
      <w:pPr>
        <w:pStyle w:val="Heading3"/>
      </w:pPr>
      <w:r/>
      <w:r>
        <w:t>In YAML</w:t>
      </w:r>
    </w:p>
    <w:p>
      <w:r>
        <w:t xml:space="preserve">Define a group with an owner (top of </w:t>
      </w:r>
      <w:hyperlink r:id="rId12">
        <w:r>
          <w:rPr>
            <w:color w:val="0B5CAD"/>
            <w:u w:val="single"/>
          </w:rPr>
          <w:t>models/marts/_marts.yml</w:t>
        </w:r>
      </w:hyperlink>
      <w:r>
        <w:t>):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groups:</w:t>
        <w:br/>
      </w:r>
      <w:r>
        <w:rPr>
          <w:rFonts w:ascii="Consolas" w:hAnsi="Consolas"/>
          <w:sz w:val="19"/>
        </w:rPr>
        <w:t xml:space="preserve">  - name: marts_public</w:t>
        <w:br/>
      </w:r>
      <w:r>
        <w:rPr>
          <w:rFonts w:ascii="Consolas" w:hAnsi="Consolas"/>
          <w:sz w:val="19"/>
        </w:rPr>
        <w:t xml:space="preserve">    owner:</w:t>
        <w:br/>
      </w:r>
      <w:r>
        <w:rPr>
          <w:rFonts w:ascii="Consolas" w:hAnsi="Consolas"/>
          <w:sz w:val="19"/>
        </w:rPr>
        <w:t xml:space="preserve">      name: Analytics Engineering</w:t>
        <w:br/>
      </w:r>
      <w:r>
        <w:rPr>
          <w:rFonts w:ascii="Consolas" w:hAnsi="Consolas"/>
          <w:sz w:val="19"/>
        </w:rPr>
        <w:t xml:space="preserve">      email: analytics@alnz.example</w:t>
      </w:r>
    </w:p>
    <w:p>
      <w:r>
        <w:t xml:space="preserve">Set access + group as a folder default in </w:t>
      </w:r>
      <w:hyperlink r:id="rId11">
        <w:r>
          <w:rPr>
            <w:color w:val="0B5CAD"/>
            <w:u w:val="single"/>
          </w:rPr>
          <w:t>dbt_project.yml</w:t>
        </w:r>
      </w:hyperlink>
      <w:r>
        <w:t>…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alnz_data_vault:</w:t>
        <w:br/>
      </w:r>
      <w:r>
        <w:rPr>
          <w:rFonts w:ascii="Consolas" w:hAnsi="Consolas"/>
          <w:sz w:val="19"/>
        </w:rPr>
        <w:t xml:space="preserve">    marts:</w:t>
        <w:br/>
      </w:r>
      <w:r>
        <w:rPr>
          <w:rFonts w:ascii="Consolas" w:hAnsi="Consolas"/>
          <w:sz w:val="19"/>
        </w:rPr>
        <w:t xml:space="preserve">      +access: public</w:t>
      </w:r>
    </w:p>
    <w:p>
      <w:r>
        <w:t>…and assign the group per model: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models:</w:t>
        <w:br/>
      </w:r>
      <w:r>
        <w:rPr>
          <w:rFonts w:ascii="Consolas" w:hAnsi="Consolas"/>
          <w:sz w:val="19"/>
        </w:rPr>
        <w:t xml:space="preserve">  - name: dim_customer</w:t>
        <w:br/>
      </w:r>
      <w:r>
        <w:rPr>
          <w:rFonts w:ascii="Consolas" w:hAnsi="Consolas"/>
          <w:sz w:val="19"/>
        </w:rPr>
        <w:t xml:space="preserve">    group: marts_public</w:t>
        <w:br/>
      </w:r>
      <w:r>
        <w:rPr>
          <w:rFonts w:ascii="Consolas" w:hAnsi="Consolas"/>
          <w:sz w:val="19"/>
        </w:rPr>
        <w:t xml:space="preserve">    access: public          # optional here — inherited from dbt_project.yml</w:t>
      </w:r>
    </w:p>
    <w:p>
      <w:r>
        <w:t xml:space="preserve">Declare a downstream consumer in </w:t>
      </w:r>
      <w:hyperlink r:id="rId18">
        <w:r>
          <w:rPr>
            <w:color w:val="0B5CAD"/>
            <w:u w:val="single"/>
          </w:rPr>
          <w:t>models/exposures.yml</w:t>
        </w:r>
      </w:hyperlink>
      <w:r>
        <w:t>:</w:t>
      </w:r>
    </w:p>
    <w:p>
      <w:pPr>
        <w:shd w:val="clear" w:fill="F2F2F2"/>
        <w:spacing w:before="120" w:after="120"/>
        <w:ind w:left="120"/>
      </w:pPr>
      <w:r>
        <w:rPr>
          <w:rFonts w:ascii="Consolas" w:hAnsi="Consolas"/>
          <w:sz w:val="19"/>
        </w:rPr>
        <w:t>exposures:</w:t>
        <w:br/>
      </w:r>
      <w:r>
        <w:rPr>
          <w:rFonts w:ascii="Consolas" w:hAnsi="Consolas"/>
          <w:sz w:val="19"/>
        </w:rPr>
        <w:t xml:space="preserve">  - name: revenue_dashboard</w:t>
        <w:br/>
      </w:r>
      <w:r>
        <w:rPr>
          <w:rFonts w:ascii="Consolas" w:hAnsi="Consolas"/>
          <w:sz w:val="19"/>
        </w:rPr>
        <w:t xml:space="preserve">    type: dashboard</w:t>
        <w:br/>
      </w:r>
      <w:r>
        <w:rPr>
          <w:rFonts w:ascii="Consolas" w:hAnsi="Consolas"/>
          <w:sz w:val="19"/>
        </w:rPr>
        <w:t xml:space="preserve">    url: https://bi.alnz.example/dashboards/revenue</w:t>
        <w:br/>
      </w:r>
      <w:r>
        <w:rPr>
          <w:rFonts w:ascii="Consolas" w:hAnsi="Consolas"/>
          <w:sz w:val="19"/>
        </w:rPr>
        <w:t xml:space="preserve">    depends_on:</w:t>
        <w:br/>
      </w:r>
      <w:r>
        <w:rPr>
          <w:rFonts w:ascii="Consolas" w:hAnsi="Consolas"/>
          <w:sz w:val="19"/>
        </w:rPr>
        <w:t xml:space="preserve">      - ref('fact_orders')</w:t>
        <w:br/>
      </w:r>
      <w:r>
        <w:rPr>
          <w:rFonts w:ascii="Consolas" w:hAnsi="Consolas"/>
          <w:sz w:val="19"/>
        </w:rPr>
        <w:t xml:space="preserve">      - ref('dim_customer')</w:t>
        <w:br/>
      </w:r>
      <w:r>
        <w:rPr>
          <w:rFonts w:ascii="Consolas" w:hAnsi="Consolas"/>
          <w:sz w:val="19"/>
        </w:rPr>
        <w:t xml:space="preserve">    owner:</w:t>
        <w:br/>
      </w:r>
      <w:r>
        <w:rPr>
          <w:rFonts w:ascii="Consolas" w:hAnsi="Consolas"/>
          <w:sz w:val="19"/>
        </w:rPr>
        <w:t xml:space="preserve">      name: Analytics Engineering</w:t>
        <w:br/>
      </w:r>
      <w:r>
        <w:rPr>
          <w:rFonts w:ascii="Consolas" w:hAnsi="Consolas"/>
          <w:sz w:val="19"/>
        </w:rPr>
        <w:t xml:space="preserve">      email: analytics@alnz.example</w:t>
      </w:r>
    </w:p>
    <w:p>
      <w:r>
        <w:t xml:space="preserve">The typical pattern: </w:t>
      </w:r>
      <w:r>
        <w:rPr>
          <w:b/>
        </w:rPr>
        <w:t>public + contracted marts</w:t>
      </w:r>
      <w:r>
        <w:t xml:space="preserve"> as the consumer-facing interface, </w:t>
      </w:r>
      <w:r>
        <w:rPr>
          <w:b/>
        </w:rPr>
        <w:t>private/protected internal layers</w:t>
      </w:r>
      <w:r>
        <w:t xml:space="preserve"> (staging, raw vault) that no one outside the team may </w:t>
      </w:r>
      <w:r>
        <w:rPr>
          <w:rFonts w:ascii="Consolas" w:hAnsi="Consolas"/>
          <w:color w:val="A31415"/>
        </w:rPr>
        <w:t>ref()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Quick reference — which file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</w:tr>
      <w:tr>
        <w:tc>
          <w:tcPr>
            <w:tcW w:type="dxa" w:w="4320"/>
          </w:tcPr>
          <w:p>
            <w:r/>
            <w:hyperlink r:id="rId11">
              <w:r>
                <w:rPr>
                  <w:color w:val="0B5CAD"/>
                  <w:u w:val="single"/>
                </w:rPr>
                <w:t>dbt_project.yml</w:t>
              </w:r>
            </w:hyperlink>
          </w:p>
        </w:tc>
        <w:tc>
          <w:tcPr>
            <w:tcW w:type="dxa" w:w="4320"/>
          </w:tcPr>
          <w:p>
            <w:r/>
            <w:r>
              <w:t xml:space="preserve">Project-wide defaults &amp; toggles: </w:t>
            </w:r>
            <w:r>
              <w:rPr>
                <w:rFonts w:ascii="Consolas" w:hAnsi="Consolas"/>
                <w:color w:val="A31415"/>
              </w:rPr>
              <w:t>+contract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+access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+store_failures</w:t>
            </w:r>
            <w:r>
              <w:t xml:space="preserve">, package </w:t>
            </w:r>
            <w:r>
              <w:rPr>
                <w:rFonts w:ascii="Consolas" w:hAnsi="Consolas"/>
                <w:color w:val="A31415"/>
              </w:rPr>
              <w:t>vars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415"/>
              </w:rPr>
              <w:t>models/&lt;folder&gt;/_&lt;folder&gt;.yml</w:t>
            </w:r>
          </w:p>
        </w:tc>
        <w:tc>
          <w:tcPr>
            <w:tcW w:type="dxa" w:w="4320"/>
          </w:tcPr>
          <w:p>
            <w:r/>
            <w:r>
              <w:t xml:space="preserve">Per-model detail: </w:t>
            </w:r>
            <w:r>
              <w:rPr>
                <w:rFonts w:ascii="Consolas" w:hAnsi="Consolas"/>
                <w:color w:val="A31415"/>
              </w:rPr>
              <w:t>columns</w:t>
            </w:r>
            <w:r>
              <w:t xml:space="preserve"> + </w:t>
            </w:r>
            <w:r>
              <w:rPr>
                <w:rFonts w:ascii="Consolas" w:hAnsi="Consolas"/>
                <w:color w:val="A31415"/>
              </w:rPr>
              <w:t>data_type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constraints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versions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data_tests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access</w:t>
            </w:r>
            <w:r>
              <w:t xml:space="preserve">, </w:t>
            </w:r>
            <w:r>
              <w:rPr>
                <w:rFonts w:ascii="Consolas" w:hAnsi="Consolas"/>
                <w:color w:val="A31415"/>
              </w:rPr>
              <w:t>group</w:t>
            </w:r>
          </w:p>
        </w:tc>
      </w:tr>
      <w:tr>
        <w:tc>
          <w:tcPr>
            <w:tcW w:type="dxa" w:w="4320"/>
          </w:tcPr>
          <w:p>
            <w:r/>
            <w:hyperlink r:id="rId16">
              <w:r>
                <w:rPr>
                  <w:color w:val="0B5CAD"/>
                  <w:u w:val="single"/>
                </w:rPr>
                <w:t>models/staging/_sources.yml</w:t>
              </w:r>
            </w:hyperlink>
          </w:p>
        </w:tc>
        <w:tc>
          <w:tcPr>
            <w:tcW w:type="dxa" w:w="4320"/>
          </w:tcPr>
          <w:p>
            <w:r/>
            <w:r>
              <w:t xml:space="preserve">Source declarations + </w:t>
            </w:r>
            <w:r>
              <w:rPr>
                <w:rFonts w:ascii="Consolas" w:hAnsi="Consolas"/>
                <w:color w:val="A31415"/>
              </w:rPr>
              <w:t>freshness</w:t>
            </w:r>
            <w:r>
              <w:t xml:space="preserve"> thresholds</w:t>
            </w:r>
          </w:p>
        </w:tc>
      </w:tr>
      <w:tr>
        <w:tc>
          <w:tcPr>
            <w:tcW w:type="dxa" w:w="4320"/>
          </w:tcPr>
          <w:p>
            <w:r/>
            <w:hyperlink r:id="rId18">
              <w:r>
                <w:rPr>
                  <w:color w:val="0B5CAD"/>
                  <w:u w:val="single"/>
                </w:rPr>
                <w:t>models/exposures.yml</w:t>
              </w:r>
            </w:hyperlink>
          </w:p>
        </w:tc>
        <w:tc>
          <w:tcPr>
            <w:tcW w:type="dxa" w:w="4320"/>
          </w:tcPr>
          <w:p>
            <w:r/>
            <w:r>
              <w:t>Downstream consumers (dashboards, reports) for blast-radius visibility</w:t>
            </w:r>
          </w:p>
        </w:tc>
      </w:tr>
      <w:tr>
        <w:tc>
          <w:tcPr>
            <w:tcW w:type="dxa" w:w="4320"/>
          </w:tcPr>
          <w:p>
            <w:r/>
            <w:hyperlink r:id="rId13">
              <w:r>
                <w:rPr>
                  <w:color w:val="0B5CAD"/>
                  <w:u w:val="single"/>
                </w:rPr>
                <w:t>tests/</w:t>
              </w:r>
            </w:hyperlink>
            <w:r>
              <w:rPr>
                <w:rFonts w:ascii="Consolas" w:hAnsi="Consolas"/>
                <w:color w:val="A31415"/>
              </w:rPr>
              <w:t>*.sql</w:t>
            </w:r>
          </w:p>
        </w:tc>
        <w:tc>
          <w:tcPr>
            <w:tcW w:type="dxa" w:w="4320"/>
          </w:tcPr>
          <w:p>
            <w:r/>
            <w:r>
              <w:t>Singular (custom SQL) tests</w:t>
            </w:r>
          </w:p>
        </w:tc>
      </w:tr>
    </w:tbl>
    <w:p/>
    <w:p>
      <w:r>
        <w:rPr>
          <w:b/>
        </w:rPr>
        <w:t>Generated vs hand-authored.</w:t>
      </w:r>
      <w:r>
        <w:t xml:space="preserve"> The </w:t>
      </w:r>
      <w:hyperlink r:id="rId17">
        <w:r>
          <w:rPr>
            <w:color w:val="0B5CAD"/>
            <w:u w:val="single"/>
          </w:rPr>
          <w:t>dbt_yaml_generator</w:t>
        </w:r>
      </w:hyperlink>
      <w:r>
        <w:t xml:space="preserve"> package can scaffold the </w:t>
      </w:r>
      <w:r>
        <w:rPr>
          <w:rFonts w:ascii="Consolas" w:hAnsi="Consolas"/>
          <w:color w:val="A31415"/>
        </w:rPr>
        <w:t>columns:</w:t>
      </w:r>
      <w:r>
        <w:t xml:space="preserve">, </w:t>
      </w:r>
      <w:r>
        <w:rPr>
          <w:rFonts w:ascii="Consolas" w:hAnsi="Consolas"/>
          <w:color w:val="A31415"/>
        </w:rPr>
        <w:t>data_type:</w:t>
      </w:r>
      <w:r>
        <w:t xml:space="preserve">, and </w:t>
      </w:r>
      <w:r>
        <w:rPr>
          <w:rFonts w:ascii="Consolas" w:hAnsi="Consolas"/>
          <w:color w:val="A31415"/>
        </w:rPr>
        <w:t>config.meta:</w:t>
      </w:r>
      <w:r>
        <w:t xml:space="preserve"> portions of a model's YAML from a column inventory. The governance pieces — </w:t>
      </w:r>
      <w:r>
        <w:rPr>
          <w:rFonts w:ascii="Consolas" w:hAnsi="Consolas"/>
          <w:color w:val="A31415"/>
        </w:rPr>
        <w:t>access</w:t>
      </w:r>
      <w:r>
        <w:t xml:space="preserve">, </w:t>
      </w:r>
      <w:r>
        <w:rPr>
          <w:rFonts w:ascii="Consolas" w:hAnsi="Consolas"/>
          <w:color w:val="A31415"/>
        </w:rPr>
        <w:t>group</w:t>
      </w:r>
      <w:r>
        <w:t xml:space="preserve">, </w:t>
      </w:r>
      <w:r>
        <w:rPr>
          <w:rFonts w:ascii="Consolas" w:hAnsi="Consolas"/>
          <w:color w:val="A31415"/>
        </w:rPr>
        <w:t>constraints</w:t>
      </w:r>
      <w:r>
        <w:t xml:space="preserve">, </w:t>
      </w:r>
      <w:r>
        <w:rPr>
          <w:rFonts w:ascii="Consolas" w:hAnsi="Consolas"/>
          <w:color w:val="A31415"/>
        </w:rPr>
        <w:t>data_tests</w:t>
      </w:r>
      <w:r>
        <w:t xml:space="preserve">, </w:t>
      </w:r>
      <w:r>
        <w:rPr>
          <w:rFonts w:ascii="Consolas" w:hAnsi="Consolas"/>
          <w:color w:val="A31415"/>
        </w:rPr>
        <w:t>versions</w:t>
      </w:r>
      <w:r>
        <w:t xml:space="preserve"> — are authored by hand, so you stay in control of what promises each model makes.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ATA_QUALITY.md" TargetMode="External"/><Relationship Id="rId10" Type="http://schemas.openxmlformats.org/officeDocument/2006/relationships/hyperlink" Target="PROPOSAL-data-quality-and-contracts.md" TargetMode="External"/><Relationship Id="rId11" Type="http://schemas.openxmlformats.org/officeDocument/2006/relationships/hyperlink" Target="../dbt_project.yml" TargetMode="External"/><Relationship Id="rId12" Type="http://schemas.openxmlformats.org/officeDocument/2006/relationships/hyperlink" Target="../models/marts/_marts.yml" TargetMode="External"/><Relationship Id="rId13" Type="http://schemas.openxmlformats.org/officeDocument/2006/relationships/hyperlink" Target="../tests/" TargetMode="External"/><Relationship Id="rId14" Type="http://schemas.openxmlformats.org/officeDocument/2006/relationships/hyperlink" Target="../models/raw_vault/_raw_vault.yml" TargetMode="External"/><Relationship Id="rId15" Type="http://schemas.openxmlformats.org/officeDocument/2006/relationships/hyperlink" Target="../models/marts/_unit_tests.yml" TargetMode="External"/><Relationship Id="rId16" Type="http://schemas.openxmlformats.org/officeDocument/2006/relationships/hyperlink" Target="../models/staging/_sources.yml" TargetMode="External"/><Relationship Id="rId17" Type="http://schemas.openxmlformats.org/officeDocument/2006/relationships/hyperlink" Target="../dbt_yaml_generator/" TargetMode="External"/><Relationship Id="rId18" Type="http://schemas.openxmlformats.org/officeDocument/2006/relationships/hyperlink" Target="../models/exposures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