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color w:val="17365d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rtl w:val="0"/>
        </w:rPr>
        <w:t xml:space="preserve">ROYAUME DU MAROC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color w:val="17365d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rtl w:val="0"/>
        </w:rPr>
        <w:t xml:space="preserve">MINISTERE DE L’EDUCATION NATIONALE DU PRESCOLAIRE ET DES SPORTS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color w:val="17365d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rtl w:val="0"/>
        </w:rPr>
        <w:t xml:space="preserve">ACADEMIE REGIONALE D’EDUCATION ET DE FORMATION TANGER – TETOUAN- AL HOCEIMA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rtl w:val="0"/>
        </w:rPr>
        <w:t xml:space="preserve">DIRECTION MDIQ-FNIDEQ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567" w:firstLine="0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sz w:val="28"/>
          <w:szCs w:val="28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AVIS D’APPEL D’OFFRES OUVERT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67" w:firstLine="0"/>
        <w:jc w:val="center"/>
        <w:rPr>
          <w:rFonts w:ascii="Arabic Typesetting" w:cs="Arabic Typesetting" w:eastAsia="Arabic Typesetting" w:hAnsi="Arabic Typesetting"/>
          <w:sz w:val="32"/>
          <w:szCs w:val="32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N°${num_avis}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945"/>
        </w:tabs>
        <w:spacing w:line="240" w:lineRule="auto"/>
        <w:ind w:left="567" w:firstLine="426.0000000000001"/>
        <w:rPr>
          <w:rFonts w:ascii="Arabic Typesetting" w:cs="Arabic Typesetting" w:eastAsia="Arabic Typesetting" w:hAnsi="Arabic Typesetting"/>
          <w:sz w:val="32"/>
          <w:szCs w:val="32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Le ${date_ouverture} à partir  ${heure},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il sera procédé dans la salle des réunions de la direction du Ministère de l’Education Nationale, du préscolaire et des sports  à MDIQ-FNIDEQ AV MOUSSA BNOU NOUSSAYR –QUARTIER RABAT-, à l’ouverture des plis relatifs aux appels d’offres ouverts sur offres des prix :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2775"/>
        <w:gridCol w:w="2160"/>
        <w:gridCol w:w="3585"/>
        <w:tblGridChange w:id="0">
          <w:tblGrid>
            <w:gridCol w:w="1965"/>
            <w:gridCol w:w="2775"/>
            <w:gridCol w:w="2160"/>
            <w:gridCol w:w="3585"/>
          </w:tblGrid>
        </w:tblGridChange>
      </w:tblGrid>
      <w:tr>
        <w:trPr>
          <w:cantSplit w:val="0"/>
          <w:trHeight w:val="9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line="240" w:lineRule="auto"/>
              <w:jc w:val="center"/>
              <w:rPr>
                <w:rFonts w:ascii="Arabic Typesetting" w:cs="Arabic Typesetting" w:eastAsia="Arabic Typesetting" w:hAnsi="Arabic Typesetting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highlight w:val="white"/>
                <w:rtl w:val="0"/>
              </w:rPr>
              <w:t xml:space="preserve">AOO°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line="240" w:lineRule="auto"/>
              <w:jc w:val="center"/>
              <w:rPr>
                <w:rFonts w:ascii="Arabic Typesetting" w:cs="Arabic Typesetting" w:eastAsia="Arabic Typesetting" w:hAnsi="Arabic Typesetting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highlight w:val="white"/>
                <w:rtl w:val="0"/>
              </w:rPr>
              <w:t xml:space="preserve">Objet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highlight w:val="white"/>
                <w:rtl w:val="0"/>
              </w:rPr>
              <w:t xml:space="preserve">Cautionnement provisoire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highlight w:val="white"/>
                <w:rtl w:val="0"/>
              </w:rPr>
              <w:t xml:space="preserve">En dirhams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120" w:line="240" w:lineRule="auto"/>
              <w:jc w:val="center"/>
              <w:rPr>
                <w:rFonts w:ascii="Arabic Typesetting" w:cs="Arabic Typesetting" w:eastAsia="Arabic Typesetting" w:hAnsi="Arabic Typesetting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highlight w:val="white"/>
                <w:rtl w:val="0"/>
              </w:rPr>
              <w:t xml:space="preserve">L'estimation du coût des prestations En dirhams TTC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3945"/>
        </w:tabs>
        <w:spacing w:line="335.99999999999994" w:lineRule="auto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{block_name}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760"/>
        <w:gridCol w:w="2175"/>
        <w:gridCol w:w="3585"/>
        <w:tblGridChange w:id="0">
          <w:tblGrid>
            <w:gridCol w:w="1980"/>
            <w:gridCol w:w="2760"/>
            <w:gridCol w:w="217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${3}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3945"/>
        </w:tabs>
        <w:spacing w:line="335.99999999999994" w:lineRule="auto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{/block_name}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945"/>
        </w:tabs>
        <w:spacing w:line="276" w:lineRule="auto"/>
        <w:ind w:left="567" w:firstLine="426.0000000000001"/>
        <w:jc w:val="both"/>
        <w:rPr>
          <w:rFonts w:ascii="Arabic Typesetting" w:cs="Arabic Typesetting" w:eastAsia="Arabic Typesetting" w:hAnsi="Arabic Typesetting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Le dossier de l’appel d’offres peut être retiré au Bureau des marchés relevant de la DP du Ministère de l’Education Nationale, du préscolaire et des sports à MDIQ-FNIDEQ AV MOUSSA BNOU NOUSSAYR –QUARTIER RABAT-, ils peuvent également être téléchargés à partir du portail des marchés de l’Etat : </w:t>
      </w:r>
      <w:hyperlink r:id="rId6">
        <w:r w:rsidDel="00000000" w:rsidR="00000000" w:rsidRPr="00000000">
          <w:rPr>
            <w:rFonts w:ascii="Arabic Typesetting" w:cs="Arabic Typesetting" w:eastAsia="Arabic Typesetting" w:hAnsi="Arabic Typesetting"/>
            <w:b w:val="1"/>
            <w:color w:val="0070c0"/>
            <w:sz w:val="32"/>
            <w:szCs w:val="32"/>
            <w:highlight w:val="white"/>
            <w:u w:val="single"/>
            <w:rtl w:val="0"/>
          </w:rPr>
          <w:t xml:space="preserve">www.marchespublics.gov.ma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567" w:firstLine="0"/>
        <w:jc w:val="both"/>
        <w:rPr>
          <w:rFonts w:ascii="Arabic Typesetting" w:cs="Arabic Typesetting" w:eastAsia="Arabic Typesetting" w:hAnsi="Arabic Typesetting"/>
          <w:sz w:val="32"/>
          <w:szCs w:val="32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Le contenu ainsi que la présentation des dossiers des concurrents doit être conforme aux dispositions des articles 27, 29 et 31 du décret N° 2-12-349 du 8 Joumada Ier 1434 (20mars 2013) relatif aux marchés publics.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945"/>
        </w:tabs>
        <w:spacing w:line="276" w:lineRule="auto"/>
        <w:ind w:left="567" w:firstLine="426.0000000000001"/>
        <w:jc w:val="both"/>
        <w:rPr>
          <w:rFonts w:ascii="Arabic Typesetting" w:cs="Arabic Typesetting" w:eastAsia="Arabic Typesetting" w:hAnsi="Arabic Typesetting"/>
          <w:sz w:val="32"/>
          <w:szCs w:val="32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Les concurrents peuvent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851"/>
        </w:tabs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Soit déposer contre récépissé leurs plis dans le Bureau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des marchés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relevant de la DP du Ministère de l’Education Nationale,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du préscolaire et des sports à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 MDIQ-FNIDEQ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851"/>
        </w:tabs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Soit envoyer leurs plis, par courrier recommandé avec accusé de réception, au Bureau précité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851"/>
        </w:tabs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28"/>
          <w:szCs w:val="28"/>
          <w:highlight w:val="white"/>
          <w:rtl w:val="0"/>
        </w:rPr>
        <w:t xml:space="preserve">Soit les remettre au président de la commission de l’appel d’offres au début de la séance et avant l’ouverture des plis.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851"/>
        </w:tabs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Les concurrents peuvent soumissionner par voie électronique conformément à l’arrêté N° 20-14 en date du : 04/09/2014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2"/>
        </w:numPr>
        <w:spacing w:line="240" w:lineRule="auto"/>
        <w:ind w:left="1211" w:hanging="360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N.B. : - Le cautionnement provisoire doivent être libellé au nom de la direction provinciale de L’AREFTTH à M’diq- Fnideq.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2"/>
        </w:numPr>
        <w:spacing w:line="240" w:lineRule="auto"/>
        <w:ind w:left="1211" w:hanging="360"/>
        <w:rPr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0"/>
        </w:rPr>
        <w:t xml:space="preserve">Les pièces justificatives à fournir par tous les concurrents sont celles  indiquées dans le règlement de la consultation.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Arabic Typesetting" w:cs="Arabic Typesetting" w:eastAsia="Arabic Typesetting" w:hAnsi="Arabic Typesetting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spacing w:line="240" w:lineRule="auto"/>
        <w:jc w:val="center"/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Lines w:val="0"/>
        <w:bidi w:val="1"/>
        <w:spacing w:after="0" w:before="0" w:line="240" w:lineRule="auto"/>
        <w:ind w:right="284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153"/>
          <w:tab w:val="right" w:pos="8306"/>
        </w:tabs>
        <w:bidi w:val="1"/>
        <w:spacing w:line="240" w:lineRule="auto"/>
        <w:jc w:val="center"/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المملكة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المغربية</w:t>
      </w:r>
    </w:p>
    <w:p w:rsidR="00000000" w:rsidDel="00000000" w:rsidP="00000000" w:rsidRDefault="00000000" w:rsidRPr="00000000" w14:paraId="00000022">
      <w:pPr>
        <w:tabs>
          <w:tab w:val="center" w:pos="4153"/>
          <w:tab w:val="right" w:pos="8306"/>
        </w:tabs>
        <w:bidi w:val="1"/>
        <w:spacing w:line="240" w:lineRule="auto"/>
        <w:jc w:val="center"/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وزارة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التربية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والتعليم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الاولي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الرياضة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spacing w:line="240" w:lineRule="auto"/>
        <w:jc w:val="center"/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الأكاديمية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الجهوية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للتربية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والتكوين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لجهة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طنجة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تطوان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الحسيمة</w:t>
      </w:r>
    </w:p>
    <w:p w:rsidR="00000000" w:rsidDel="00000000" w:rsidP="00000000" w:rsidRDefault="00000000" w:rsidRPr="00000000" w14:paraId="00000024">
      <w:pPr>
        <w:tabs>
          <w:tab w:val="center" w:pos="4153"/>
          <w:tab w:val="right" w:pos="8306"/>
        </w:tabs>
        <w:bidi w:val="1"/>
        <w:spacing w:line="240" w:lineRule="auto"/>
        <w:jc w:val="center"/>
        <w:rPr>
          <w:rFonts w:ascii="Arimo" w:cs="Arimo" w:eastAsia="Arimo" w:hAnsi="Arimo"/>
          <w:sz w:val="28"/>
          <w:szCs w:val="28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مديرية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المضيق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28"/>
          <w:szCs w:val="28"/>
          <w:rtl w:val="1"/>
        </w:rPr>
        <w:t xml:space="preserve">الفنيدق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Lines w:val="0"/>
        <w:bidi w:val="1"/>
        <w:spacing w:after="0" w:before="0" w:line="240" w:lineRule="auto"/>
        <w:ind w:right="284"/>
        <w:jc w:val="center"/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إعــــلان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عن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طلب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عروض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مفتوح</w:t>
      </w:r>
    </w:p>
    <w:p w:rsidR="00000000" w:rsidDel="00000000" w:rsidP="00000000" w:rsidRDefault="00000000" w:rsidRPr="00000000" w14:paraId="00000026">
      <w:pPr>
        <w:pStyle w:val="Heading4"/>
        <w:keepLines w:val="0"/>
        <w:bidi w:val="1"/>
        <w:spacing w:after="0" w:before="0" w:line="240" w:lineRule="auto"/>
        <w:ind w:right="284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رـــقم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17365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color w:val="000000"/>
          <w:sz w:val="32"/>
          <w:szCs w:val="32"/>
          <w:highlight w:val="white"/>
          <w:rtl w:val="0"/>
        </w:rPr>
        <w:t xml:space="preserve">${num_avis}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ind w:left="-4" w:firstLine="428"/>
        <w:jc w:val="both"/>
        <w:rPr>
          <w:rFonts w:ascii="Arabic Typesetting" w:cs="Arabic Typesetting" w:eastAsia="Arabic Typesetting" w:hAnsi="Arabic Typesetting"/>
          <w:b w:val="1"/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${date_ouverture}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ابتداء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  <w:rtl w:val="0"/>
        </w:rPr>
        <w:t xml:space="preserve">${heure}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،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سيتم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قاعة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الاجتماعات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بمديرية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وزارة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التربية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الوطنية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والتعليم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الاولي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والرياضة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بالمضيق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الفنيدق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شارع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موسى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نصير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حي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الرباط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فتح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الاظرفة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المتعلقة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بطلبات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العروض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المفتوحة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 w14:paraId="00000028">
      <w:pPr>
        <w:bidi w:val="1"/>
        <w:spacing w:line="240" w:lineRule="auto"/>
        <w:ind w:left="-4" w:firstLine="428"/>
        <w:jc w:val="both"/>
        <w:rPr>
          <w:rFonts w:ascii="Arabic Typesetting" w:cs="Arabic Typesetting" w:eastAsia="Arabic Typesetting" w:hAnsi="Arabic Typesetti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3945"/>
        <w:gridCol w:w="1980"/>
        <w:gridCol w:w="2640"/>
        <w:tblGridChange w:id="0">
          <w:tblGrid>
            <w:gridCol w:w="1935"/>
            <w:gridCol w:w="3945"/>
            <w:gridCol w:w="1980"/>
            <w:gridCol w:w="2640"/>
          </w:tblGrid>
        </w:tblGridChange>
      </w:tblGrid>
      <w:tr>
        <w:trPr>
          <w:cantSplit w:val="0"/>
          <w:trHeight w:val="11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bidi w:val="1"/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رقم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طلب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العروض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bidi w:val="1"/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الموضوع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bidi w:val="1"/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تقدير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كلفة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الأعمال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المعدة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من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طرف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صاحب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المشروع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،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المبلغ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بالدرهم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مع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احتساب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الرسوم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bidi w:val="1"/>
              <w:spacing w:line="240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الضمان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abic Typesetting" w:cs="Arabic Typesetting" w:eastAsia="Arabic Typesetting" w:hAnsi="Arabic Typesetting"/>
                <w:b w:val="1"/>
                <w:sz w:val="32"/>
                <w:szCs w:val="32"/>
                <w:rtl w:val="1"/>
              </w:rPr>
              <w:t xml:space="preserve">المؤقت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pos="3945"/>
        </w:tabs>
        <w:spacing w:line="335.99999999999994" w:lineRule="auto"/>
        <w:jc w:val="both"/>
        <w:rPr>
          <w:rFonts w:ascii="Courier New" w:cs="Courier New" w:eastAsia="Courier New" w:hAnsi="Courier New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945"/>
        </w:tabs>
        <w:spacing w:line="335.99999999999994" w:lineRule="auto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{blockk}</w:t>
      </w: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50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915"/>
        <w:gridCol w:w="1995"/>
        <w:gridCol w:w="2610"/>
        <w:tblGridChange w:id="0">
          <w:tblGrid>
            <w:gridCol w:w="1980"/>
            <w:gridCol w:w="3915"/>
            <w:gridCol w:w="199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Arabic Typesetting" w:cs="Arabic Typesetting" w:eastAsia="Arabic Typesetting" w:hAnsi="Arabic Typesetting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3945"/>
              </w:tabs>
              <w:spacing w:line="335.99999999999994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  <w:rtl w:val="0"/>
              </w:rPr>
              <w:t xml:space="preserve">${3}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3945"/>
        </w:tabs>
        <w:spacing w:line="335.99999999999994" w:lineRule="auto"/>
        <w:jc w:val="both"/>
        <w:rPr>
          <w:rFonts w:ascii="Arabic Typesetting" w:cs="Arabic Typesetting" w:eastAsia="Arabic Typesetting" w:hAnsi="Arabic Typesetting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{/blockk}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276" w:lineRule="auto"/>
        <w:ind w:firstLine="428"/>
        <w:jc w:val="both"/>
        <w:rPr>
          <w:rFonts w:ascii="Arabic Typesetting" w:cs="Arabic Typesetting" w:eastAsia="Arabic Typesetting" w:hAnsi="Arabic Typesetting"/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يمكن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سحب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ملف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طلب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العروض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مكتب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الصفقات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التابع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لمديرية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وزارة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التربية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الوطنية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التعليم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الاولي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والرياضة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بالمضيق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الفنيدق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شارع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موسى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نصير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حي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الرباط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ويمكن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كذلك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تحميلها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إلكترونيا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بوابة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صفقات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الدولة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: </w:t>
      </w:r>
      <w:hyperlink r:id="rId7">
        <w:r w:rsidDel="00000000" w:rsidR="00000000" w:rsidRPr="00000000">
          <w:rPr>
            <w:rFonts w:ascii="Arabic Typesetting" w:cs="Arabic Typesetting" w:eastAsia="Arabic Typesetting" w:hAnsi="Arabic Typesetting"/>
            <w:color w:val="0000ff"/>
            <w:sz w:val="32"/>
            <w:szCs w:val="32"/>
            <w:u w:val="single"/>
            <w:rtl w:val="0"/>
          </w:rPr>
          <w:t xml:space="preserve">www.marchespublics.gov.ma</w:t>
        </w:r>
      </w:hyperlink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line="276" w:lineRule="auto"/>
        <w:ind w:firstLine="428"/>
        <w:jc w:val="both"/>
        <w:rPr>
          <w:rFonts w:ascii="Arabic Typesetting" w:cs="Arabic Typesetting" w:eastAsia="Arabic Typesetting" w:hAnsi="Arabic Typesetting"/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يجب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أن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يكون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محتوى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وتقديم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وإيداع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ملفات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المتنافسين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مطابق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لمقتضيات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المواد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yellow"/>
          <w:rtl w:val="1"/>
        </w:rPr>
        <w:t xml:space="preserve">27 ،29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yellow"/>
          <w:rtl w:val="1"/>
        </w:rPr>
        <w:t xml:space="preserve">و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highlight w:val="yellow"/>
          <w:rtl w:val="1"/>
        </w:rPr>
        <w:t xml:space="preserve">31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المرسوم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رقم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2.12.349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الصادر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8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جمادى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الأولى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1434 (20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مارس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2013)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المتعلق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بالصفقات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العمومية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line="276" w:lineRule="auto"/>
        <w:jc w:val="both"/>
        <w:rPr>
          <w:rFonts w:ascii="Arabic Typesetting" w:cs="Arabic Typesetting" w:eastAsia="Arabic Typesetting" w:hAnsi="Arabic Typesetting"/>
          <w:b w:val="1"/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ويمكن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للمتنافسين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pos="282"/>
        </w:tabs>
        <w:bidi w:val="1"/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إما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إيداع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أظرفتهم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مقابل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وصل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مكتب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الصفقات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التابع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لوزارة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التربية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الوطنية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التعليم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الاولي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والرياضة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بالمضيق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الفنيدق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0"/>
        </w:rPr>
        <w:t xml:space="preserve"> 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right" w:pos="425"/>
        </w:tabs>
        <w:bidi w:val="1"/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إما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إرسالها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طريق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البريد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المضمون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بإفادة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بالاستلام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المكتب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المذكور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right" w:pos="425"/>
        </w:tabs>
        <w:bidi w:val="1"/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إما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تسليمها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مباشرة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لرئيس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لجنة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طلب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العروض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عند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بداية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الجلسة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وقبل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فتح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الأظرفة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right" w:pos="425"/>
        </w:tabs>
        <w:bidi w:val="1"/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ويسمح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بإيداع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سحب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الملفات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الطريق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الإلكترونية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طبقا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للقرار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20-14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بتاريخ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04/09/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240" w:lineRule="auto"/>
        <w:ind w:left="720" w:right="360" w:firstLine="0"/>
        <w:jc w:val="both"/>
        <w:rPr>
          <w:rFonts w:ascii="Arabic Typesetting" w:cs="Arabic Typesetting" w:eastAsia="Arabic Typesetting" w:hAnsi="Arabic Typesetti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240" w:lineRule="auto"/>
        <w:ind w:left="720" w:right="360" w:firstLine="0"/>
        <w:jc w:val="both"/>
        <w:rPr>
          <w:rFonts w:ascii="Arabic Typesetting" w:cs="Arabic Typesetting" w:eastAsia="Arabic Typesetting" w:hAnsi="Arabic Typesetting"/>
          <w:sz w:val="32"/>
          <w:szCs w:val="32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تنبيه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هام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الضمان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المؤقت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يجب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أن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يكون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باسم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المديرية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الإقليمية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للأكاديمية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الجهوية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للتربية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والتكوين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جهة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طنجة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–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تطوان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–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الحسيمة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بالمضيق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- 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الفنيدق</w:t>
      </w:r>
      <w:r w:rsidDel="00000000" w:rsidR="00000000" w:rsidRPr="00000000">
        <w:rPr>
          <w:rFonts w:ascii="Arabic Typesetting" w:cs="Arabic Typesetting" w:eastAsia="Arabic Typesetting" w:hAnsi="Arabic Typesetting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line="240" w:lineRule="auto"/>
        <w:ind w:left="720" w:right="360" w:firstLine="0"/>
        <w:jc w:val="both"/>
        <w:rPr>
          <w:rFonts w:ascii="Arabic Typesetting" w:cs="Arabic Typesetting" w:eastAsia="Arabic Typesetting" w:hAnsi="Arabic Typesetting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276" w:lineRule="auto"/>
        <w:ind w:firstLine="428"/>
        <w:jc w:val="center"/>
        <w:rPr>
          <w:rFonts w:ascii="Arabic Typesetting" w:cs="Arabic Typesetting" w:eastAsia="Arabic Typesetting" w:hAnsi="Arabic Typesetting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إن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الوثائق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المثبتة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الواجب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الإدلاء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بها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هي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تلك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المقررة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نظام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الاستشارة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566.9291338582675" w:right="28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abic Typesetting"/>
  <w:font w:name="Times New Roman"/>
  <w:font w:name="Courier New"/>
  <w:font w:name="Sakkal Majall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21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rchespublics.gov.ma" TargetMode="External"/><Relationship Id="rId7" Type="http://schemas.openxmlformats.org/officeDocument/2006/relationships/hyperlink" Target="http://www.marchespublics.gov.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