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36"/>
          <w:tab w:val="right" w:pos="9072"/>
          <w:tab w:val="center" w:pos="4394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${block_juries}</w:t>
      </w:r>
    </w:p>
    <w:p w:rsidR="00000000" w:rsidDel="00000000" w:rsidP="00000000" w:rsidRDefault="00000000" w:rsidRPr="00000000" w14:paraId="00000002">
      <w:pPr>
        <w:tabs>
          <w:tab w:val="center" w:pos="4536"/>
          <w:tab w:val="right" w:pos="9072"/>
          <w:tab w:val="center" w:pos="4394"/>
        </w:tabs>
        <w:bidi w:val="1"/>
        <w:spacing w:line="240" w:lineRule="auto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M’diq, le :  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gnmfn gh nnxg nhcg fghx fgch m</w:t>
      </w:r>
    </w:p>
    <w:p w:rsidR="00000000" w:rsidDel="00000000" w:rsidP="00000000" w:rsidRDefault="00000000" w:rsidRPr="00000000" w14:paraId="00000003">
      <w:pPr>
        <w:tabs>
          <w:tab w:val="center" w:pos="4536"/>
          <w:tab w:val="right" w:pos="9072"/>
          <w:tab w:val="center" w:pos="4394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536"/>
          <w:tab w:val="right" w:pos="9072"/>
        </w:tabs>
        <w:bidi w:val="1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Le directeur provincial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ind w:right="-51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Monsieur</w:t>
      </w:r>
    </w:p>
    <w:p w:rsidR="00000000" w:rsidDel="00000000" w:rsidP="00000000" w:rsidRDefault="00000000" w:rsidRPr="00000000" w14:paraId="00000007">
      <w:pPr>
        <w:tabs>
          <w:tab w:val="left" w:pos="284"/>
        </w:tabs>
        <w:spacing w:line="276" w:lineRule="auto"/>
        <w:ind w:left="284" w:right="-51" w:firstLine="0"/>
        <w:jc w:val="center"/>
        <w:rPr>
          <w:rFonts w:ascii="Arabic Typesetting" w:cs="Arabic Typesetting" w:eastAsia="Arabic Typesetting" w:hAnsi="Arabic Typesetting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${1} ${0}</w:t>
      </w:r>
      <w:r w:rsidDel="00000000" w:rsidR="00000000" w:rsidRPr="00000000">
        <w:rPr>
          <w:rFonts w:ascii="Arabic Typesetting" w:cs="Arabic Typesetting" w:eastAsia="Arabic Typesetting" w:hAnsi="Arabic Typesetting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left" w:pos="284"/>
        </w:tabs>
        <w:spacing w:line="276" w:lineRule="auto"/>
        <w:ind w:left="284" w:right="-51" w:firstLine="0"/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4"/>
        </w:tabs>
        <w:spacing w:after="200" w:line="276" w:lineRule="auto"/>
        <w:ind w:left="284" w:right="-51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 la direction provinciale du MENFPESRS de Mdiq-Fnideq</w:t>
      </w:r>
    </w:p>
    <w:p w:rsidR="00000000" w:rsidDel="00000000" w:rsidP="00000000" w:rsidRDefault="00000000" w:rsidRPr="00000000" w14:paraId="0000000A">
      <w:pPr>
        <w:tabs>
          <w:tab w:val="left" w:pos="284"/>
        </w:tabs>
        <w:spacing w:after="200" w:line="276" w:lineRule="auto"/>
        <w:ind w:left="284" w:right="-51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Objet :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Convocation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40" w:lineRule="auto"/>
        <w:jc w:val="right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Monsieur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284" w:firstLine="709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Vu les dispositions du Décret n° 2-12-349 du 8 joumada Ier 1434 (20 mars 2013) relatif aux marchés publics ;</w:t>
      </w:r>
    </w:p>
    <w:p w:rsidR="00000000" w:rsidDel="00000000" w:rsidP="00000000" w:rsidRDefault="00000000" w:rsidRPr="00000000" w14:paraId="0000000E">
      <w:pPr>
        <w:spacing w:line="240" w:lineRule="auto"/>
        <w:ind w:left="-284" w:firstLine="709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Vu la  Loi n° 69-00 relative au contrôle financier de l‘Etat sur les entreprises publiques et autres organismes ;</w:t>
      </w:r>
    </w:p>
    <w:p w:rsidR="00000000" w:rsidDel="00000000" w:rsidP="00000000" w:rsidRDefault="00000000" w:rsidRPr="00000000" w14:paraId="0000000F">
      <w:pPr>
        <w:spacing w:after="200" w:line="240" w:lineRule="auto"/>
        <w:ind w:right="-51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Vu la Décision n° 02/EXP/2020 concernant  les appels d’offres sur offres de prix suivants :</w:t>
      </w:r>
    </w:p>
    <w:tbl>
      <w:tblPr>
        <w:tblStyle w:val="Table1"/>
        <w:tblW w:w="1077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8505"/>
        <w:tblGridChange w:id="0">
          <w:tblGrid>
            <w:gridCol w:w="2269"/>
            <w:gridCol w:w="8505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AOO° 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3945"/>
              </w:tabs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Objet</w:t>
            </w:r>
          </w:p>
        </w:tc>
      </w:tr>
    </w:tbl>
    <w:p w:rsidR="00000000" w:rsidDel="00000000" w:rsidP="00000000" w:rsidRDefault="00000000" w:rsidRPr="00000000" w14:paraId="00000012">
      <w:pPr>
        <w:spacing w:after="200" w:line="240" w:lineRule="auto"/>
        <w:ind w:right="-51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${block_offre}</w:t>
      </w:r>
    </w:p>
    <w:tbl>
      <w:tblPr>
        <w:tblStyle w:val="Table2"/>
        <w:tblW w:w="1077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8505"/>
        <w:tblGridChange w:id="0">
          <w:tblGrid>
            <w:gridCol w:w="2269"/>
            <w:gridCol w:w="8505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${num_offre}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3945"/>
              </w:tabs>
              <w:spacing w:after="120"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${objet_offre}</w:t>
            </w:r>
          </w:p>
        </w:tc>
      </w:tr>
    </w:tbl>
    <w:p w:rsidR="00000000" w:rsidDel="00000000" w:rsidP="00000000" w:rsidRDefault="00000000" w:rsidRPr="00000000" w14:paraId="00000015">
      <w:pPr>
        <w:spacing w:after="200" w:line="240" w:lineRule="auto"/>
        <w:ind w:right="-51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${/block_offre}</w:t>
      </w:r>
    </w:p>
    <w:p w:rsidR="00000000" w:rsidDel="00000000" w:rsidP="00000000" w:rsidRDefault="00000000" w:rsidRPr="00000000" w14:paraId="00000016">
      <w:pPr>
        <w:spacing w:line="360" w:lineRule="auto"/>
        <w:ind w:left="284" w:firstLine="709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J’ai l’honneur de vous convoquer pour participer aux travaux de la commission d’appel d’offre en date du ${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date_avis_ouver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} à ${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heure_avis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} et ce  à la salle des réunions de cette direction provinciale. </w:t>
      </w:r>
    </w:p>
    <w:p w:rsidR="00000000" w:rsidDel="00000000" w:rsidP="00000000" w:rsidRDefault="00000000" w:rsidRPr="00000000" w14:paraId="00000017">
      <w:pPr>
        <w:spacing w:line="360" w:lineRule="auto"/>
        <w:ind w:left="284" w:firstLine="709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Veuillez agréer, l’expression de ma parfaite considération.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${/block_juries}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abic Typesetting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-934874</wp:posOffset>
          </wp:positionH>
          <wp:positionV relativeFrom="paragraph">
            <wp:posOffset>71250</wp:posOffset>
          </wp:positionV>
          <wp:extent cx="7598410" cy="33337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8410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695325</wp:posOffset>
              </wp:positionH>
              <wp:positionV relativeFrom="paragraph">
                <wp:posOffset>180975</wp:posOffset>
              </wp:positionV>
              <wp:extent cx="4343400" cy="400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79063" y="3584738"/>
                        <a:ext cx="43338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bidi w:val="1"/>
                            <w:spacing w:after="0" w:before="0" w:line="240"/>
                            <w:ind w:left="0" w:right="0" w:firstLine="0"/>
                            <w:jc w:val="center"/>
                            <w:textDirection w:val="tbRl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Service A.A.F.C.E.P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 Quartier Rabat B. P. 411    0539664028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0539663872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695325</wp:posOffset>
              </wp:positionH>
              <wp:positionV relativeFrom="paragraph">
                <wp:posOffset>180975</wp:posOffset>
              </wp:positionV>
              <wp:extent cx="4343400" cy="400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153"/>
        <w:tab w:val="right" w:pos="8306"/>
        <w:tab w:val="left" w:pos="0"/>
      </w:tabs>
      <w:spacing w:line="240" w:lineRule="auto"/>
      <w:ind w:left="152.99999999999997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0" distR="0">
          <wp:extent cx="3358296" cy="999263"/>
          <wp:effectExtent b="0" l="0" r="0" t="0"/>
          <wp:docPr descr="C:\Users\Nadia\Desktop\IMG-20170410-WA0000.jpg" id="3" name="image2.jpg"/>
          <a:graphic>
            <a:graphicData uri="http://schemas.openxmlformats.org/drawingml/2006/picture">
              <pic:pic>
                <pic:nvPicPr>
                  <pic:cNvPr descr="C:\Users\Nadia\Desktop\IMG-20170410-WA0000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58296" cy="999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>
        <w:rFonts w:ascii="Garamond" w:cs="Garamond" w:eastAsia="Garamond" w:hAnsi="Garamond"/>
        <w:b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ACADEMIE REGIONALE DE L’EDUCATION ET DE FORMATION</w:t>
    </w:r>
  </w:p>
  <w:p w:rsidR="00000000" w:rsidDel="00000000" w:rsidP="00000000" w:rsidRDefault="00000000" w:rsidRPr="00000000" w14:paraId="00000024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>
        <w:rFonts w:ascii="Garamond" w:cs="Garamond" w:eastAsia="Garamond" w:hAnsi="Garamond"/>
        <w:b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REGION TANGER – TETOUAN- AL HOCEIMA</w:t>
    </w:r>
  </w:p>
  <w:p w:rsidR="00000000" w:rsidDel="00000000" w:rsidP="00000000" w:rsidRDefault="00000000" w:rsidRPr="00000000" w14:paraId="00000025">
    <w:pPr>
      <w:pBdr>
        <w:bottom w:color="622423" w:space="3" w:sz="24" w:val="single"/>
      </w:pBdr>
      <w:tabs>
        <w:tab w:val="center" w:pos="4153"/>
        <w:tab w:val="right" w:pos="8306"/>
      </w:tabs>
      <w:spacing w:line="240" w:lineRule="auto"/>
      <w:jc w:val="center"/>
      <w:rPr>
        <w:rFonts w:ascii="Garamond" w:cs="Garamond" w:eastAsia="Garamond" w:hAnsi="Garamond"/>
        <w:b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sz w:val="24"/>
        <w:szCs w:val="24"/>
        <w:rtl w:val="0"/>
      </w:rPr>
      <w:t xml:space="preserve">Direction provinciale de M’diq - Fnideq 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