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Décision </w:t>
      </w: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n°${num_avis}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284" w:firstLine="0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-Le directeur provincial chargé du ministère de l’Éducation nationale et de la formation professionnelle de M’diq-Fnideq</w:t>
        <w:tab/>
      </w:r>
    </w:p>
    <w:p w:rsidR="00000000" w:rsidDel="00000000" w:rsidP="00000000" w:rsidRDefault="00000000" w:rsidRPr="00000000" w14:paraId="00000004">
      <w:pPr>
        <w:spacing w:line="240" w:lineRule="auto"/>
        <w:ind w:left="-284" w:right="-51" w:firstLine="0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-Vu les dispositions du Décret n° 2-12-349 du 8 joumada Ier 1434 (20 mars 2013) relatif aux marchés publics</w:t>
      </w:r>
    </w:p>
    <w:p w:rsidR="00000000" w:rsidDel="00000000" w:rsidP="00000000" w:rsidRDefault="00000000" w:rsidRPr="00000000" w14:paraId="00000005">
      <w:pPr>
        <w:spacing w:line="240" w:lineRule="auto"/>
        <w:ind w:left="-284" w:firstLine="0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-Vu la Loi n° 69-00 relative au contrôle financier de L’état sur les entreprises publiques et autres organismes</w:t>
      </w:r>
    </w:p>
    <w:p w:rsidR="00000000" w:rsidDel="00000000" w:rsidP="00000000" w:rsidRDefault="00000000" w:rsidRPr="00000000" w14:paraId="00000006">
      <w:pPr>
        <w:spacing w:line="240" w:lineRule="auto"/>
        <w:ind w:left="-851" w:firstLine="0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right="-51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Décide :</w:t>
      </w:r>
    </w:p>
    <w:p w:rsidR="00000000" w:rsidDel="00000000" w:rsidP="00000000" w:rsidRDefault="00000000" w:rsidRPr="00000000" w14:paraId="00000008">
      <w:pPr>
        <w:spacing w:line="240" w:lineRule="auto"/>
        <w:ind w:right="-426"/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Article premier : composition de la commission d’appel d’offre.</w:t>
      </w:r>
    </w:p>
    <w:p w:rsidR="00000000" w:rsidDel="00000000" w:rsidP="00000000" w:rsidRDefault="00000000" w:rsidRPr="00000000" w14:paraId="00000009">
      <w:pPr>
        <w:spacing w:line="240" w:lineRule="auto"/>
        <w:ind w:right="-426"/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right="-51"/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La commission d’appel d’offre sur offres de prix suivants : </w:t>
      </w:r>
    </w:p>
    <w:tbl>
      <w:tblPr>
        <w:tblStyle w:val="Table1"/>
        <w:tblW w:w="10774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9"/>
        <w:gridCol w:w="8505"/>
        <w:tblGridChange w:id="0">
          <w:tblGrid>
            <w:gridCol w:w="2269"/>
            <w:gridCol w:w="8505"/>
          </w:tblGrid>
        </w:tblGridChange>
      </w:tblGrid>
      <w:tr>
        <w:trPr>
          <w:cantSplit w:val="0"/>
          <w:trHeight w:val="4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120" w:line="276" w:lineRule="auto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AOO° 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pos="3945"/>
              </w:tabs>
              <w:spacing w:after="120" w:line="276" w:lineRule="auto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Objet</w:t>
            </w:r>
          </w:p>
        </w:tc>
      </w:tr>
    </w:tbl>
    <w:p w:rsidR="00000000" w:rsidDel="00000000" w:rsidP="00000000" w:rsidRDefault="00000000" w:rsidRPr="00000000" w14:paraId="0000000D">
      <w:pPr>
        <w:spacing w:line="335.99999999999994" w:lineRule="auto"/>
        <w:ind w:right="-51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${block_offre}</w:t>
      </w: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9"/>
        <w:gridCol w:w="8505"/>
        <w:tblGridChange w:id="0">
          <w:tblGrid>
            <w:gridCol w:w="2269"/>
            <w:gridCol w:w="8505"/>
          </w:tblGrid>
        </w:tblGridChange>
      </w:tblGrid>
      <w:tr>
        <w:trPr>
          <w:cantSplit w:val="0"/>
          <w:trHeight w:val="4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120" w:line="276" w:lineRule="auto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${num_offre}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3945"/>
              </w:tabs>
              <w:spacing w:after="120" w:line="276" w:lineRule="auto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${objet_offre}</w:t>
            </w:r>
          </w:p>
        </w:tc>
      </w:tr>
    </w:tbl>
    <w:p w:rsidR="00000000" w:rsidDel="00000000" w:rsidP="00000000" w:rsidRDefault="00000000" w:rsidRPr="00000000" w14:paraId="00000010">
      <w:pPr>
        <w:spacing w:line="335.99999999999994" w:lineRule="auto"/>
        <w:ind w:right="-51"/>
        <w:jc w:val="both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{/block_offre}</w:t>
      </w:r>
    </w:p>
    <w:p w:rsidR="00000000" w:rsidDel="00000000" w:rsidP="00000000" w:rsidRDefault="00000000" w:rsidRPr="00000000" w14:paraId="00000011">
      <w:pPr>
        <w:spacing w:line="335.99999999999994" w:lineRule="auto"/>
        <w:ind w:right="-51"/>
        <w:jc w:val="both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right="-51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Comprend les membres ci-après énoncés :</w:t>
      </w:r>
    </w:p>
    <w:p w:rsidR="00000000" w:rsidDel="00000000" w:rsidP="00000000" w:rsidRDefault="00000000" w:rsidRPr="00000000" w14:paraId="00000013">
      <w:pPr>
        <w:spacing w:line="335.99999999999994" w:lineRule="auto"/>
        <w:ind w:right="-51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{block_juries}</w:t>
      </w:r>
      <w:r w:rsidDel="00000000" w:rsidR="00000000" w:rsidRPr="00000000">
        <w:rPr>
          <w:rtl w:val="0"/>
        </w:rPr>
      </w:r>
    </w:p>
    <w:tbl>
      <w:tblPr>
        <w:tblStyle w:val="Table3"/>
        <w:tblW w:w="10480.0" w:type="dxa"/>
        <w:jc w:val="center"/>
        <w:tblLayout w:type="fixed"/>
        <w:tblLook w:val="0400"/>
      </w:tblPr>
      <w:tblGrid>
        <w:gridCol w:w="2880"/>
        <w:gridCol w:w="220"/>
        <w:gridCol w:w="5700"/>
        <w:gridCol w:w="1680"/>
        <w:tblGridChange w:id="0">
          <w:tblGrid>
            <w:gridCol w:w="2880"/>
            <w:gridCol w:w="220"/>
            <w:gridCol w:w="5700"/>
            <w:gridCol w:w="168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${0}  ${1}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${2}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(${3})</w:t>
            </w:r>
          </w:p>
        </w:tc>
      </w:tr>
    </w:tbl>
    <w:p w:rsidR="00000000" w:rsidDel="00000000" w:rsidP="00000000" w:rsidRDefault="00000000" w:rsidRPr="00000000" w14:paraId="00000018">
      <w:pPr>
        <w:spacing w:line="335.99999999999994" w:lineRule="auto"/>
        <w:ind w:right="-51"/>
        <w:jc w:val="both"/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{/block_juries}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right="-51"/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Article 2 : Dispositions d’exécution.</w:t>
      </w:r>
    </w:p>
    <w:p w:rsidR="00000000" w:rsidDel="00000000" w:rsidP="00000000" w:rsidRDefault="00000000" w:rsidRPr="00000000" w14:paraId="0000001A">
      <w:pPr>
        <w:tabs>
          <w:tab w:val="center" w:pos="4536"/>
          <w:tab w:val="right" w:pos="9072"/>
        </w:tabs>
        <w:spacing w:line="36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L’exécution de la décision est confiée à la diligence du chef de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Service des affaires administratives financières, constructions, équipements et patrimoines.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{blockk_juries}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jc w:val="right"/>
        <w:rPr>
          <w:rFonts w:ascii="Garamond" w:cs="Garamond" w:eastAsia="Garamond" w:hAnsi="Garamond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MDIQ LE    </w:t>
      </w:r>
      <w:r w:rsidDel="00000000" w:rsidR="00000000" w:rsidRPr="00000000">
        <w:rPr>
          <w:rFonts w:ascii="Calibri" w:cs="Calibri" w:eastAsia="Calibri" w:hAnsi="Calibri"/>
          <w:color w:val="ffffff"/>
          <w:rtl w:val="0"/>
        </w:rPr>
        <w:t xml:space="preserve">dgfndrftnfdng fgnfgnfm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line="240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M. le Directeur provincial Du M.E.N.F.P.E.S.R.S.</w:t>
      </w:r>
    </w:p>
    <w:p w:rsidR="00000000" w:rsidDel="00000000" w:rsidP="00000000" w:rsidRDefault="00000000" w:rsidRPr="00000000" w14:paraId="00000026">
      <w:pPr>
        <w:bidi w:val="1"/>
        <w:spacing w:line="240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MDIQ-FNIDEQ</w:t>
      </w:r>
    </w:p>
    <w:p w:rsidR="00000000" w:rsidDel="00000000" w:rsidP="00000000" w:rsidRDefault="00000000" w:rsidRPr="00000000" w14:paraId="00000027">
      <w:pPr>
        <w:bidi w:val="1"/>
        <w:spacing w:line="240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line="240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29">
      <w:pPr>
        <w:spacing w:line="276" w:lineRule="auto"/>
        <w:ind w:left="720" w:right="-51" w:firstLine="0"/>
        <w:jc w:val="left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                                                            M.</w:t>
      </w:r>
    </w:p>
    <w:p w:rsidR="00000000" w:rsidDel="00000000" w:rsidP="00000000" w:rsidRDefault="00000000" w:rsidRPr="00000000" w14:paraId="0000002A">
      <w:pPr>
        <w:spacing w:line="276" w:lineRule="auto"/>
        <w:ind w:left="720" w:right="-51" w:firstLine="0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${1} ${0}</w:t>
      </w:r>
    </w:p>
    <w:p w:rsidR="00000000" w:rsidDel="00000000" w:rsidP="00000000" w:rsidRDefault="00000000" w:rsidRPr="00000000" w14:paraId="0000002B">
      <w:pPr>
        <w:spacing w:line="276" w:lineRule="auto"/>
        <w:ind w:left="720" w:right="-51" w:firstLine="0"/>
        <w:jc w:val="left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${2}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8214"/>
        </w:tabs>
        <w:spacing w:line="240" w:lineRule="auto"/>
        <w:jc w:val="left"/>
        <w:rPr>
          <w:rFonts w:ascii="Garamond" w:cs="Garamond" w:eastAsia="Garamond" w:hAnsi="Garamond"/>
          <w:b w:val="1"/>
          <w:sz w:val="2"/>
          <w:szCs w:val="2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pos="4536"/>
          <w:tab w:val="right" w:pos="9072"/>
        </w:tabs>
        <w:spacing w:line="240" w:lineRule="auto"/>
        <w:jc w:val="center"/>
        <w:rPr>
          <w:rFonts w:ascii="Garamond" w:cs="Garamond" w:eastAsia="Garamond" w:hAnsi="Garamond"/>
          <w:b w:val="1"/>
          <w:sz w:val="48"/>
          <w:szCs w:val="4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u w:val="single"/>
          <w:rtl w:val="0"/>
        </w:rPr>
        <w:t xml:space="preserve">Bordereau d’envoi</w:t>
      </w:r>
    </w:p>
    <w:p w:rsidR="00000000" w:rsidDel="00000000" w:rsidP="00000000" w:rsidRDefault="00000000" w:rsidRPr="00000000" w14:paraId="00000030">
      <w:pPr>
        <w:tabs>
          <w:tab w:val="center" w:pos="4536"/>
          <w:tab w:val="right" w:pos="9072"/>
        </w:tabs>
        <w:spacing w:line="240" w:lineRule="auto"/>
        <w:jc w:val="right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15.0" w:type="dxa"/>
        <w:jc w:val="left"/>
        <w:tblInd w:w="-497.0" w:type="dxa"/>
        <w:tblLayout w:type="fixed"/>
        <w:tblLook w:val="0400"/>
      </w:tblPr>
      <w:tblGrid>
        <w:gridCol w:w="8505"/>
        <w:gridCol w:w="2410"/>
        <w:tblGridChange w:id="0">
          <w:tblGrid>
            <w:gridCol w:w="8505"/>
            <w:gridCol w:w="24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Désignation des pièces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Observations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_vous trouvez ci-joint: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Pour nous faire part de vos remarques et observations éventuelles avant la publication de l’avis d’appel d’offre.</w:t>
            </w:r>
          </w:p>
        </w:tc>
      </w:tr>
      <w:tr>
        <w:trPr>
          <w:cantSplit w:val="0"/>
          <w:trHeight w:val="64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Les dossiers complets relatifs à l’avis N°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rtl w:val="0"/>
              </w:rPr>
              <w:t xml:space="preserve">${num_avis}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Dont l’appel d’offre sur offre de prix suivant :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urier New" w:cs="Courier New" w:eastAsia="Courier New" w:hAnsi="Courier New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404040"/>
                <w:sz w:val="18"/>
                <w:szCs w:val="18"/>
                <w:rtl w:val="0"/>
              </w:rPr>
              <w:t xml:space="preserve">{blockk_offre}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urier New" w:cs="Courier New" w:eastAsia="Courier New" w:hAnsi="Courier New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${num_offre} Du ${date_avis_ouver} relatif à ${objet_offre} dépendant de la direction provinciale de MDIQ-FNIDEQ en lot unique, exercice 2022.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404040"/>
                <w:sz w:val="18"/>
                <w:szCs w:val="18"/>
                <w:rtl w:val="0"/>
              </w:rPr>
              <w:t xml:space="preserve">{/blockk_offre}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tabs>
          <w:tab w:val="center" w:pos="4536"/>
          <w:tab w:val="right" w:pos="9072"/>
        </w:tabs>
        <w:spacing w:line="240" w:lineRule="auto"/>
        <w:jc w:val="center"/>
        <w:rPr>
          <w:rFonts w:ascii="Garamond" w:cs="Garamond" w:eastAsia="Garamond" w:hAnsi="Garamond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35.99999999999994" w:lineRule="auto"/>
        <w:ind w:right="-51"/>
        <w:jc w:val="both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5.99999999999994" w:lineRule="auto"/>
        <w:ind w:right="-51"/>
        <w:jc w:val="both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{/blockk_juries}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425.1968503937008" w:left="1440" w:right="1440" w:header="15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693900</wp:posOffset>
              </wp:positionH>
              <wp:positionV relativeFrom="paragraph">
                <wp:posOffset>28575</wp:posOffset>
              </wp:positionV>
              <wp:extent cx="4343400" cy="400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79063" y="3584738"/>
                        <a:ext cx="433387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bidi w:val="1"/>
                            <w:spacing w:after="0" w:before="0" w:line="240"/>
                            <w:ind w:left="0" w:right="0" w:firstLine="0"/>
                            <w:jc w:val="center"/>
                            <w:textDirection w:val="tbRl"/>
                          </w:pPr>
                          <w:r w:rsidDel="00000000" w:rsidR="00000000" w:rsidRPr="00000000">
                            <w:rPr>
                              <w:rFonts w:ascii="Script MT Bold" w:cs="Script MT Bold" w:eastAsia="Script MT Bold" w:hAnsi="Script MT Bold"/>
                              <w:b w:val="1"/>
                              <w:i w:val="1"/>
                              <w:smallCaps w:val="0"/>
                              <w:strike w:val="0"/>
                              <w:color w:val="002060"/>
                              <w:sz w:val="16"/>
                              <w:vertAlign w:val="baseline"/>
                            </w:rPr>
                            <w:t xml:space="preserve">Service A.A.F.C.E.P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Script MT Bold" w:cs="Script MT Bold" w:eastAsia="Script MT Bold" w:hAnsi="Script MT Bold"/>
                              <w:b w:val="1"/>
                              <w:i w:val="1"/>
                              <w:smallCaps w:val="0"/>
                              <w:strike w:val="0"/>
                              <w:color w:val="00206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Script MT Bold" w:cs="Script MT Bold" w:eastAsia="Script MT Bold" w:hAnsi="Script MT Bold"/>
                              <w:b w:val="1"/>
                              <w:i w:val="1"/>
                              <w:smallCaps w:val="0"/>
                              <w:strike w:val="0"/>
                              <w:color w:val="002060"/>
                              <w:sz w:val="16"/>
                              <w:vertAlign w:val="baseline"/>
                            </w:rPr>
                            <w:t xml:space="preserve"> Quartier Rabat B. P. 411    0539664028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Script MT Bold" w:cs="Script MT Bold" w:eastAsia="Script MT Bold" w:hAnsi="Script MT Bold"/>
                              <w:b w:val="1"/>
                              <w:i w:val="1"/>
                              <w:smallCaps w:val="0"/>
                              <w:strike w:val="0"/>
                              <w:color w:val="002060"/>
                              <w:sz w:val="16"/>
                              <w:vertAlign w:val="baseline"/>
                            </w:rPr>
                            <w:t xml:space="preserve">0539663872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693900</wp:posOffset>
              </wp:positionH>
              <wp:positionV relativeFrom="paragraph">
                <wp:posOffset>28575</wp:posOffset>
              </wp:positionV>
              <wp:extent cx="4343400" cy="40005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3400" cy="400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-934874</wp:posOffset>
          </wp:positionH>
          <wp:positionV relativeFrom="paragraph">
            <wp:posOffset>-57149</wp:posOffset>
          </wp:positionV>
          <wp:extent cx="7598410" cy="333375"/>
          <wp:effectExtent b="0" l="0" r="0" t="0"/>
          <wp:wrapNone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98410" cy="3333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tabs>
        <w:tab w:val="center" w:pos="4153"/>
        <w:tab w:val="right" w:pos="8306"/>
        <w:tab w:val="left" w:pos="0"/>
      </w:tabs>
      <w:spacing w:line="240" w:lineRule="auto"/>
      <w:ind w:left="152.99999999999997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drawing>
        <wp:inline distB="0" distT="0" distL="0" distR="0">
          <wp:extent cx="3358296" cy="999263"/>
          <wp:effectExtent b="0" l="0" r="0" t="0"/>
          <wp:docPr descr="C:\Users\Nadia\Desktop\IMG-20170410-WA0000.jpg" id="2" name="image1.jpg"/>
          <a:graphic>
            <a:graphicData uri="http://schemas.openxmlformats.org/drawingml/2006/picture">
              <pic:pic>
                <pic:nvPicPr>
                  <pic:cNvPr descr="C:\Users\Nadia\Desktop\IMG-20170410-WA0000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58296" cy="9992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bottom w:color="622423" w:space="3" w:sz="24" w:val="single"/>
      </w:pBdr>
      <w:tabs>
        <w:tab w:val="center" w:pos="4153"/>
        <w:tab w:val="right" w:pos="8306"/>
      </w:tabs>
      <w:spacing w:line="240" w:lineRule="auto"/>
      <w:jc w:val="center"/>
      <w:rPr>
        <w:rFonts w:ascii="Garamond" w:cs="Garamond" w:eastAsia="Garamond" w:hAnsi="Garamond"/>
        <w:b w:val="1"/>
        <w:sz w:val="24"/>
        <w:szCs w:val="24"/>
      </w:rPr>
    </w:pPr>
    <w:r w:rsidDel="00000000" w:rsidR="00000000" w:rsidRPr="00000000">
      <w:rPr>
        <w:rFonts w:ascii="Garamond" w:cs="Garamond" w:eastAsia="Garamond" w:hAnsi="Garamond"/>
        <w:b w:val="1"/>
        <w:sz w:val="24"/>
        <w:szCs w:val="24"/>
        <w:rtl w:val="0"/>
      </w:rPr>
      <w:t xml:space="preserve">ACADEMIE REGIONALE DE L’EDUCATION ET DE FORMATION</w:t>
    </w:r>
  </w:p>
  <w:p w:rsidR="00000000" w:rsidDel="00000000" w:rsidP="00000000" w:rsidRDefault="00000000" w:rsidRPr="00000000" w14:paraId="0000004C">
    <w:pPr>
      <w:pBdr>
        <w:bottom w:color="622423" w:space="3" w:sz="24" w:val="single"/>
      </w:pBdr>
      <w:tabs>
        <w:tab w:val="center" w:pos="4153"/>
        <w:tab w:val="right" w:pos="8306"/>
      </w:tabs>
      <w:spacing w:line="240" w:lineRule="auto"/>
      <w:jc w:val="center"/>
      <w:rPr>
        <w:rFonts w:ascii="Garamond" w:cs="Garamond" w:eastAsia="Garamond" w:hAnsi="Garamond"/>
        <w:b w:val="1"/>
        <w:sz w:val="24"/>
        <w:szCs w:val="24"/>
      </w:rPr>
    </w:pPr>
    <w:r w:rsidDel="00000000" w:rsidR="00000000" w:rsidRPr="00000000">
      <w:rPr>
        <w:rFonts w:ascii="Garamond" w:cs="Garamond" w:eastAsia="Garamond" w:hAnsi="Garamond"/>
        <w:b w:val="1"/>
        <w:sz w:val="24"/>
        <w:szCs w:val="24"/>
        <w:rtl w:val="0"/>
      </w:rPr>
      <w:t xml:space="preserve">REGION TANGER – TETOUAN- AL HOCEIMA</w:t>
    </w:r>
  </w:p>
  <w:p w:rsidR="00000000" w:rsidDel="00000000" w:rsidP="00000000" w:rsidRDefault="00000000" w:rsidRPr="00000000" w14:paraId="0000004D">
    <w:pPr>
      <w:pBdr>
        <w:bottom w:color="622423" w:space="3" w:sz="24" w:val="single"/>
      </w:pBdr>
      <w:tabs>
        <w:tab w:val="center" w:pos="4153"/>
        <w:tab w:val="right" w:pos="8306"/>
      </w:tabs>
      <w:spacing w:line="240" w:lineRule="auto"/>
      <w:jc w:val="center"/>
      <w:rPr/>
    </w:pPr>
    <w:r w:rsidDel="00000000" w:rsidR="00000000" w:rsidRPr="00000000">
      <w:rPr>
        <w:rFonts w:ascii="Garamond" w:cs="Garamond" w:eastAsia="Garamond" w:hAnsi="Garamond"/>
        <w:b w:val="1"/>
        <w:sz w:val="24"/>
        <w:szCs w:val="24"/>
        <w:rtl w:val="0"/>
      </w:rPr>
      <w:t xml:space="preserve">Direction provinciale de M’diq - Fnideq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