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C33E" w14:textId="77777777" w:rsidR="00745801" w:rsidRDefault="00745801">
      <w:pPr>
        <w:widowControl w:val="0"/>
        <w:pBdr>
          <w:top w:val="nil"/>
          <w:left w:val="nil"/>
          <w:bottom w:val="nil"/>
          <w:right w:val="nil"/>
          <w:between w:val="nil"/>
        </w:pBdr>
        <w:spacing w:line="276" w:lineRule="auto"/>
      </w:pPr>
    </w:p>
    <w:p w14:paraId="7A0BDEA9" w14:textId="77777777" w:rsidR="00745801" w:rsidRDefault="00000000">
      <w:pPr>
        <w:tabs>
          <w:tab w:val="left" w:pos="8580"/>
        </w:tabs>
        <w:jc w:val="both"/>
        <w:rPr>
          <w:sz w:val="16"/>
          <w:szCs w:val="16"/>
        </w:rPr>
      </w:pPr>
      <w:r>
        <w:rPr>
          <w:sz w:val="16"/>
          <w:szCs w:val="16"/>
        </w:rPr>
        <w:tab/>
      </w:r>
    </w:p>
    <w:p w14:paraId="346A01FD" w14:textId="77777777" w:rsidR="00745801" w:rsidRDefault="00000000">
      <w:pPr>
        <w:jc w:val="center"/>
        <w:rPr>
          <w:sz w:val="16"/>
          <w:szCs w:val="16"/>
        </w:rPr>
      </w:pPr>
      <w:r>
        <w:rPr>
          <w:noProof/>
        </w:rPr>
        <w:drawing>
          <wp:inline distT="0" distB="0" distL="0" distR="0" wp14:anchorId="725060EE" wp14:editId="10A37BAE">
            <wp:extent cx="3896248" cy="88968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96248" cy="889686"/>
                    </a:xfrm>
                    <a:prstGeom prst="rect">
                      <a:avLst/>
                    </a:prstGeom>
                    <a:ln/>
                  </pic:spPr>
                </pic:pic>
              </a:graphicData>
            </a:graphic>
          </wp:inline>
        </w:drawing>
      </w:r>
    </w:p>
    <w:p w14:paraId="61DB25D8" w14:textId="77777777" w:rsidR="00745801" w:rsidRDefault="00745801">
      <w:pPr>
        <w:jc w:val="both"/>
        <w:rPr>
          <w:sz w:val="16"/>
          <w:szCs w:val="16"/>
        </w:rPr>
      </w:pPr>
    </w:p>
    <w:p w14:paraId="2F47AEA1" w14:textId="77777777" w:rsidR="00745801" w:rsidRDefault="00000000">
      <w:pPr>
        <w:jc w:val="both"/>
        <w:rPr>
          <w:sz w:val="16"/>
          <w:szCs w:val="16"/>
        </w:rPr>
      </w:pPr>
      <w:r>
        <w:rPr>
          <w:noProof/>
        </w:rPr>
        <mc:AlternateContent>
          <mc:Choice Requires="wpg">
            <w:drawing>
              <wp:anchor distT="0" distB="0" distL="114300" distR="114300" simplePos="0" relativeHeight="251658240" behindDoc="0" locked="0" layoutInCell="1" hidden="0" allowOverlap="1" wp14:anchorId="6ACC875E" wp14:editId="43721417">
                <wp:simplePos x="0" y="0"/>
                <wp:positionH relativeFrom="column">
                  <wp:posOffset>1155700</wp:posOffset>
                </wp:positionH>
                <wp:positionV relativeFrom="paragraph">
                  <wp:posOffset>0</wp:posOffset>
                </wp:positionV>
                <wp:extent cx="4419600" cy="463550"/>
                <wp:effectExtent l="0" t="0" r="0" b="0"/>
                <wp:wrapNone/>
                <wp:docPr id="1" name="Forme libre : forme 1"/>
                <wp:cNvGraphicFramePr/>
                <a:graphic xmlns:a="http://schemas.openxmlformats.org/drawingml/2006/main">
                  <a:graphicData uri="http://schemas.microsoft.com/office/word/2010/wordprocessingShape">
                    <wps:wsp>
                      <wps:cNvSpPr/>
                      <wps:spPr>
                        <a:xfrm>
                          <a:off x="3145725" y="3557750"/>
                          <a:ext cx="4400550" cy="444500"/>
                        </a:xfrm>
                        <a:custGeom>
                          <a:avLst/>
                          <a:gdLst/>
                          <a:ahLst/>
                          <a:cxnLst/>
                          <a:rect l="l" t="t" r="r" b="b"/>
                          <a:pathLst>
                            <a:path w="4400550" h="444500" extrusionOk="0">
                              <a:moveTo>
                                <a:pt x="0" y="0"/>
                              </a:moveTo>
                              <a:lnTo>
                                <a:pt x="0" y="444500"/>
                              </a:lnTo>
                              <a:lnTo>
                                <a:pt x="4400550" y="444500"/>
                              </a:lnTo>
                              <a:lnTo>
                                <a:pt x="4400550" y="0"/>
                              </a:lnTo>
                              <a:close/>
                            </a:path>
                          </a:pathLst>
                        </a:custGeom>
                        <a:noFill/>
                        <a:ln>
                          <a:noFill/>
                        </a:ln>
                      </wps:spPr>
                      <wps:txbx>
                        <w:txbxContent>
                          <w:p w14:paraId="08DBACF4" w14:textId="77777777" w:rsidR="00745801" w:rsidRDefault="00000000">
                            <w:pPr>
                              <w:jc w:val="center"/>
                              <w:textDirection w:val="btLr"/>
                            </w:pPr>
                            <w:r>
                              <w:rPr>
                                <w:rFonts w:ascii="Algerian" w:eastAsia="Algerian" w:hAnsi="Algerian" w:cs="Algerian"/>
                                <w:color w:val="17365D"/>
                                <w:sz w:val="16"/>
                              </w:rPr>
                              <w:t>ACADEMIE REGIONALE D’EDUCATION ET DE FORMATION TANGER-TETOUAN-</w:t>
                            </w:r>
                            <w:proofErr w:type="spellStart"/>
                            <w:r>
                              <w:rPr>
                                <w:rFonts w:ascii="Algerian" w:eastAsia="Algerian" w:hAnsi="Algerian" w:cs="Algerian"/>
                                <w:color w:val="17365D"/>
                                <w:sz w:val="16"/>
                              </w:rPr>
                              <w:t>alhoceima</w:t>
                            </w:r>
                            <w:proofErr w:type="spellEnd"/>
                          </w:p>
                          <w:p w14:paraId="6E86BA45" w14:textId="77777777" w:rsidR="00745801" w:rsidRDefault="00000000">
                            <w:pPr>
                              <w:jc w:val="center"/>
                              <w:textDirection w:val="btLr"/>
                            </w:pPr>
                            <w:r>
                              <w:rPr>
                                <w:rFonts w:ascii="Algerian" w:eastAsia="Algerian" w:hAnsi="Algerian" w:cs="Algerian"/>
                                <w:color w:val="17365D"/>
                                <w:sz w:val="16"/>
                              </w:rPr>
                              <w:t xml:space="preserve">Direction provinciale </w:t>
                            </w:r>
                            <w:proofErr w:type="gramStart"/>
                            <w:r>
                              <w:rPr>
                                <w:rFonts w:ascii="Algerian" w:eastAsia="Algerian" w:hAnsi="Algerian" w:cs="Algerian"/>
                                <w:color w:val="17365D"/>
                                <w:sz w:val="16"/>
                              </w:rPr>
                              <w:t>de  m’DIQ</w:t>
                            </w:r>
                            <w:proofErr w:type="gramEnd"/>
                            <w:r>
                              <w:rPr>
                                <w:rFonts w:ascii="Algerian" w:eastAsia="Algerian" w:hAnsi="Algerian" w:cs="Algerian"/>
                                <w:color w:val="17365D"/>
                                <w:sz w:val="16"/>
                              </w:rPr>
                              <w:t>-FNIDEQ</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4419600" cy="46355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419600" cy="463550"/>
                        </a:xfrm>
                        <a:prstGeom prst="rect"/>
                        <a:ln/>
                      </pic:spPr>
                    </pic:pic>
                  </a:graphicData>
                </a:graphic>
              </wp:anchor>
            </w:drawing>
          </mc:Fallback>
        </mc:AlternateContent>
      </w:r>
    </w:p>
    <w:p w14:paraId="6C032430" w14:textId="77777777" w:rsidR="00745801" w:rsidRDefault="00745801">
      <w:pPr>
        <w:jc w:val="both"/>
        <w:rPr>
          <w:sz w:val="16"/>
          <w:szCs w:val="16"/>
        </w:rPr>
      </w:pPr>
    </w:p>
    <w:p w14:paraId="4F902D23" w14:textId="77777777" w:rsidR="00745801" w:rsidRDefault="00745801">
      <w:pPr>
        <w:jc w:val="both"/>
        <w:rPr>
          <w:sz w:val="16"/>
          <w:szCs w:val="16"/>
        </w:rPr>
      </w:pPr>
    </w:p>
    <w:p w14:paraId="6920808A" w14:textId="77777777" w:rsidR="00745801" w:rsidRDefault="00745801">
      <w:pPr>
        <w:jc w:val="both"/>
        <w:rPr>
          <w:sz w:val="16"/>
          <w:szCs w:val="16"/>
        </w:rPr>
      </w:pPr>
    </w:p>
    <w:p w14:paraId="1EF00C65" w14:textId="77777777" w:rsidR="00745801" w:rsidRDefault="00000000">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PROCES VERBAL</w:t>
      </w:r>
    </w:p>
    <w:p w14:paraId="7A18457F" w14:textId="77777777" w:rsidR="00745801" w:rsidRDefault="00000000">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D’APPEL D’OFFRES OUVERT</w:t>
      </w:r>
    </w:p>
    <w:p w14:paraId="102F0BEE" w14:textId="77777777" w:rsidR="00745801" w:rsidRDefault="00000000">
      <w:pPr>
        <w:jc w:val="center"/>
        <w:rPr>
          <w:rFonts w:ascii="Calligraphic" w:eastAsia="Calligraphic" w:hAnsi="Calligraphic" w:cs="Calligraphic"/>
          <w:b/>
          <w:sz w:val="24"/>
          <w:szCs w:val="24"/>
          <w:u w:val="single"/>
        </w:rPr>
      </w:pPr>
      <w:r>
        <w:rPr>
          <w:rFonts w:ascii="Calligraphic" w:eastAsia="Calligraphic" w:hAnsi="Calligraphic" w:cs="Calligraphic"/>
          <w:b/>
          <w:sz w:val="24"/>
          <w:szCs w:val="24"/>
          <w:u w:val="single"/>
        </w:rPr>
        <w:t>N° : ${</w:t>
      </w:r>
      <w:proofErr w:type="spellStart"/>
      <w:r>
        <w:rPr>
          <w:rFonts w:ascii="Calligraphic" w:eastAsia="Calligraphic" w:hAnsi="Calligraphic" w:cs="Calligraphic"/>
          <w:b/>
          <w:sz w:val="24"/>
          <w:szCs w:val="24"/>
          <w:u w:val="single"/>
        </w:rPr>
        <w:t>num_offre</w:t>
      </w:r>
      <w:proofErr w:type="spellEnd"/>
      <w:r>
        <w:rPr>
          <w:rFonts w:ascii="Calligraphic" w:eastAsia="Calligraphic" w:hAnsi="Calligraphic" w:cs="Calligraphic"/>
          <w:b/>
          <w:sz w:val="24"/>
          <w:szCs w:val="24"/>
          <w:u w:val="single"/>
        </w:rPr>
        <w:t>} (séance n°2)</w:t>
      </w:r>
    </w:p>
    <w:p w14:paraId="77E9676C" w14:textId="77777777" w:rsidR="00745801" w:rsidRDefault="00000000">
      <w:pPr>
        <w:spacing w:before="120" w:after="120"/>
        <w:ind w:left="113" w:right="113" w:firstLine="709"/>
        <w:jc w:val="both"/>
        <w:rPr>
          <w:sz w:val="24"/>
          <w:szCs w:val="24"/>
        </w:rPr>
      </w:pPr>
      <w:r>
        <w:rPr>
          <w:sz w:val="24"/>
          <w:szCs w:val="24"/>
        </w:rPr>
        <w:t xml:space="preserve">Le </w:t>
      </w:r>
      <w:r>
        <w:rPr>
          <w:b/>
          <w:sz w:val="24"/>
          <w:szCs w:val="24"/>
        </w:rPr>
        <w:t>${</w:t>
      </w:r>
      <w:proofErr w:type="spellStart"/>
      <w:r>
        <w:rPr>
          <w:b/>
          <w:sz w:val="24"/>
          <w:szCs w:val="24"/>
        </w:rPr>
        <w:t>date_ouverture</w:t>
      </w:r>
      <w:proofErr w:type="spellEnd"/>
      <w:r>
        <w:rPr>
          <w:b/>
          <w:sz w:val="24"/>
          <w:szCs w:val="24"/>
        </w:rPr>
        <w:t>} à ${heure}</w:t>
      </w:r>
      <w:r>
        <w:rPr>
          <w:sz w:val="24"/>
          <w:szCs w:val="24"/>
        </w:rPr>
        <w:t xml:space="preserve">, la commission d’appel d’offres, conformément à la décision de sous ordonnateur de la direction provinciale de MDIQ-FNIDEQ, n° </w:t>
      </w:r>
      <w:r>
        <w:rPr>
          <w:b/>
          <w:sz w:val="24"/>
          <w:szCs w:val="24"/>
        </w:rPr>
        <w:t>${</w:t>
      </w:r>
      <w:proofErr w:type="spellStart"/>
      <w:r>
        <w:rPr>
          <w:b/>
          <w:sz w:val="24"/>
          <w:szCs w:val="24"/>
        </w:rPr>
        <w:t>num_avis</w:t>
      </w:r>
      <w:proofErr w:type="spellEnd"/>
      <w:r>
        <w:rPr>
          <w:b/>
          <w:sz w:val="24"/>
          <w:szCs w:val="24"/>
        </w:rPr>
        <w:t xml:space="preserve">} </w:t>
      </w:r>
      <w:r>
        <w:rPr>
          <w:sz w:val="24"/>
          <w:szCs w:val="24"/>
        </w:rPr>
        <w:t xml:space="preserve">est composée comme </w:t>
      </w:r>
      <w:proofErr w:type="gramStart"/>
      <w:r>
        <w:rPr>
          <w:sz w:val="24"/>
          <w:szCs w:val="24"/>
        </w:rPr>
        <w:t>suit:</w:t>
      </w:r>
      <w:proofErr w:type="gramEnd"/>
    </w:p>
    <w:p w14:paraId="5031A2C1" w14:textId="77777777" w:rsidR="00745801" w:rsidRDefault="00000000">
      <w:pPr>
        <w:spacing w:before="120" w:after="120"/>
        <w:ind w:left="113" w:right="113" w:firstLine="709"/>
        <w:jc w:val="both"/>
        <w:rPr>
          <w:sz w:val="24"/>
          <w:szCs w:val="24"/>
        </w:rPr>
      </w:pPr>
      <w:r>
        <w:rPr>
          <w:sz w:val="24"/>
          <w:szCs w:val="24"/>
        </w:rPr>
        <w:t>${</w:t>
      </w:r>
      <w:proofErr w:type="spellStart"/>
      <w:r>
        <w:rPr>
          <w:sz w:val="24"/>
          <w:szCs w:val="24"/>
        </w:rPr>
        <w:t>block_juries</w:t>
      </w:r>
      <w:proofErr w:type="spellEnd"/>
      <w:r>
        <w:rPr>
          <w:sz w:val="24"/>
          <w:szCs w:val="24"/>
        </w:rPr>
        <w:t>}</w:t>
      </w:r>
    </w:p>
    <w:tbl>
      <w:tblPr>
        <w:tblStyle w:val="a"/>
        <w:tblW w:w="105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3"/>
        <w:gridCol w:w="6290"/>
        <w:gridCol w:w="1134"/>
      </w:tblGrid>
      <w:tr w:rsidR="00745801" w14:paraId="7A4C767F" w14:textId="77777777">
        <w:trPr>
          <w:trHeight w:val="699"/>
          <w:jc w:val="center"/>
        </w:trPr>
        <w:tc>
          <w:tcPr>
            <w:tcW w:w="3173" w:type="dxa"/>
            <w:vAlign w:val="center"/>
          </w:tcPr>
          <w:p w14:paraId="1B3D9E28" w14:textId="77777777" w:rsidR="00745801" w:rsidRDefault="00000000">
            <w:pPr>
              <w:tabs>
                <w:tab w:val="left" w:pos="284"/>
                <w:tab w:val="left" w:pos="142"/>
              </w:tabs>
              <w:ind w:left="284" w:firstLine="283"/>
              <w:jc w:val="both"/>
              <w:rPr>
                <w:rFonts w:ascii="Garamond" w:eastAsia="Garamond" w:hAnsi="Garamond" w:cs="Garamond"/>
                <w:b/>
                <w:sz w:val="24"/>
                <w:szCs w:val="24"/>
              </w:rPr>
            </w:pPr>
            <w:r>
              <w:rPr>
                <w:sz w:val="24"/>
                <w:szCs w:val="24"/>
              </w:rPr>
              <w:t>${1</w:t>
            </w:r>
            <w:proofErr w:type="gramStart"/>
            <w:r>
              <w:rPr>
                <w:sz w:val="24"/>
                <w:szCs w:val="24"/>
              </w:rPr>
              <w:t>}  $</w:t>
            </w:r>
            <w:proofErr w:type="gramEnd"/>
            <w:r>
              <w:rPr>
                <w:sz w:val="24"/>
                <w:szCs w:val="24"/>
              </w:rPr>
              <w:t>{0}</w:t>
            </w:r>
          </w:p>
        </w:tc>
        <w:tc>
          <w:tcPr>
            <w:tcW w:w="6290" w:type="dxa"/>
            <w:vAlign w:val="center"/>
          </w:tcPr>
          <w:p w14:paraId="25E9286B" w14:textId="77777777" w:rsidR="00745801" w:rsidRDefault="00000000" w:rsidP="004A7631">
            <w:pPr>
              <w:ind w:right="-51"/>
              <w:jc w:val="center"/>
              <w:rPr>
                <w:rFonts w:ascii="Garamond" w:eastAsia="Garamond" w:hAnsi="Garamond" w:cs="Garamond"/>
                <w:sz w:val="24"/>
                <w:szCs w:val="24"/>
              </w:rPr>
            </w:pPr>
            <w:r>
              <w:rPr>
                <w:rFonts w:ascii="Garamond" w:eastAsia="Garamond" w:hAnsi="Garamond" w:cs="Garamond"/>
                <w:sz w:val="24"/>
                <w:szCs w:val="24"/>
              </w:rPr>
              <w:t>${2}</w:t>
            </w:r>
          </w:p>
        </w:tc>
        <w:tc>
          <w:tcPr>
            <w:tcW w:w="1134" w:type="dxa"/>
            <w:vAlign w:val="center"/>
          </w:tcPr>
          <w:p w14:paraId="7CC05A13" w14:textId="77777777" w:rsidR="00745801" w:rsidRDefault="00000000" w:rsidP="004A7631">
            <w:pPr>
              <w:jc w:val="center"/>
            </w:pPr>
            <w:r>
              <w:t>${3}</w:t>
            </w:r>
          </w:p>
        </w:tc>
      </w:tr>
    </w:tbl>
    <w:p w14:paraId="626AE00B" w14:textId="77777777" w:rsidR="00745801" w:rsidRDefault="00000000">
      <w:pPr>
        <w:spacing w:before="120" w:after="120"/>
        <w:ind w:left="113" w:right="113" w:firstLine="709"/>
        <w:jc w:val="both"/>
        <w:rPr>
          <w:sz w:val="24"/>
          <w:szCs w:val="24"/>
        </w:rPr>
      </w:pPr>
      <w:r>
        <w:rPr>
          <w:sz w:val="24"/>
          <w:szCs w:val="24"/>
        </w:rPr>
        <w:t>${/</w:t>
      </w:r>
      <w:proofErr w:type="spellStart"/>
      <w:r>
        <w:rPr>
          <w:sz w:val="24"/>
          <w:szCs w:val="24"/>
        </w:rPr>
        <w:t>block_juries</w:t>
      </w:r>
      <w:proofErr w:type="spellEnd"/>
      <w:r>
        <w:rPr>
          <w:sz w:val="24"/>
          <w:szCs w:val="24"/>
        </w:rPr>
        <w:t>}</w:t>
      </w:r>
    </w:p>
    <w:p w14:paraId="3921F437" w14:textId="77777777" w:rsidR="00745801" w:rsidRDefault="00000000" w:rsidP="004A7631">
      <w:pPr>
        <w:ind w:firstLine="709"/>
        <w:jc w:val="right"/>
        <w:rPr>
          <w:b/>
          <w:i/>
          <w:sz w:val="24"/>
          <w:szCs w:val="24"/>
        </w:rPr>
      </w:pPr>
      <w:r>
        <w:rPr>
          <w:sz w:val="24"/>
          <w:szCs w:val="24"/>
        </w:rPr>
        <w:t xml:space="preserve">S’est réunie dans la salle de réunion de la direction </w:t>
      </w:r>
      <w:proofErr w:type="gramStart"/>
      <w:r>
        <w:rPr>
          <w:sz w:val="24"/>
          <w:szCs w:val="24"/>
        </w:rPr>
        <w:t>provinciale  du</w:t>
      </w:r>
      <w:proofErr w:type="gramEnd"/>
      <w:r>
        <w:rPr>
          <w:sz w:val="24"/>
          <w:szCs w:val="24"/>
        </w:rPr>
        <w:t xml:space="preserve"> MENFPESRS de M’</w:t>
      </w:r>
      <w:proofErr w:type="spellStart"/>
      <w:r>
        <w:rPr>
          <w:sz w:val="24"/>
          <w:szCs w:val="24"/>
        </w:rPr>
        <w:t>diq-Fnideq</w:t>
      </w:r>
      <w:proofErr w:type="spellEnd"/>
      <w:r>
        <w:rPr>
          <w:sz w:val="24"/>
          <w:szCs w:val="24"/>
        </w:rPr>
        <w:t>, pour reprendre ses travaux concernant l’appel d’offre ouvert N° :</w:t>
      </w:r>
      <w:r>
        <w:t xml:space="preserve"> </w:t>
      </w:r>
      <w:r>
        <w:rPr>
          <w:b/>
          <w:sz w:val="24"/>
          <w:szCs w:val="24"/>
        </w:rPr>
        <w:t>${</w:t>
      </w:r>
      <w:proofErr w:type="spellStart"/>
      <w:r>
        <w:rPr>
          <w:b/>
          <w:sz w:val="24"/>
          <w:szCs w:val="24"/>
        </w:rPr>
        <w:t>num_offre</w:t>
      </w:r>
      <w:proofErr w:type="spellEnd"/>
      <w:r>
        <w:rPr>
          <w:b/>
          <w:sz w:val="24"/>
          <w:szCs w:val="24"/>
        </w:rPr>
        <w:t>}</w:t>
      </w:r>
      <w:r>
        <w:rPr>
          <w:sz w:val="24"/>
          <w:szCs w:val="24"/>
        </w:rPr>
        <w:t xml:space="preserve"> relatif </w:t>
      </w:r>
      <w:r>
        <w:rPr>
          <w:sz w:val="22"/>
          <w:szCs w:val="22"/>
        </w:rPr>
        <w:t xml:space="preserve">aux </w:t>
      </w:r>
      <w:r>
        <w:rPr>
          <w:b/>
          <w:sz w:val="24"/>
          <w:szCs w:val="24"/>
        </w:rPr>
        <w:t>${objet} au titre de l'exercice 2021</w:t>
      </w:r>
      <w:r>
        <w:rPr>
          <w:b/>
          <w:i/>
          <w:sz w:val="24"/>
          <w:szCs w:val="24"/>
        </w:rPr>
        <w:t>.</w:t>
      </w:r>
    </w:p>
    <w:p w14:paraId="66A2C33C" w14:textId="77777777" w:rsidR="00745801" w:rsidRDefault="00745801">
      <w:pPr>
        <w:pBdr>
          <w:top w:val="nil"/>
          <w:left w:val="nil"/>
          <w:bottom w:val="nil"/>
          <w:right w:val="nil"/>
          <w:between w:val="nil"/>
        </w:pBdr>
        <w:tabs>
          <w:tab w:val="left" w:pos="284"/>
          <w:tab w:val="left" w:pos="142"/>
        </w:tabs>
        <w:ind w:left="284" w:firstLine="283"/>
        <w:jc w:val="both"/>
        <w:rPr>
          <w:color w:val="000000"/>
          <w:sz w:val="24"/>
          <w:szCs w:val="24"/>
        </w:rPr>
      </w:pPr>
    </w:p>
    <w:p w14:paraId="0D28CC29" w14:textId="77777777" w:rsidR="00745801" w:rsidRDefault="00000000">
      <w:pPr>
        <w:ind w:firstLine="709"/>
        <w:jc w:val="both"/>
        <w:rPr>
          <w:sz w:val="24"/>
          <w:szCs w:val="24"/>
        </w:rPr>
      </w:pPr>
      <w:r>
        <w:rPr>
          <w:sz w:val="24"/>
          <w:szCs w:val="24"/>
        </w:rPr>
        <w:t xml:space="preserve">Après lecture et étude du PV de la sous-commission chargé d’analyser les offres financières, les membres de la </w:t>
      </w:r>
      <w:proofErr w:type="gramStart"/>
      <w:r>
        <w:rPr>
          <w:sz w:val="24"/>
          <w:szCs w:val="24"/>
        </w:rPr>
        <w:t>commission  d’appel</w:t>
      </w:r>
      <w:proofErr w:type="gramEnd"/>
      <w:r>
        <w:rPr>
          <w:sz w:val="24"/>
          <w:szCs w:val="24"/>
        </w:rPr>
        <w:t xml:space="preserve"> d’offres décident d’accepter les offres des concurrents suivants :</w:t>
      </w:r>
    </w:p>
    <w:p w14:paraId="712D01EE" w14:textId="77777777" w:rsidR="00745801" w:rsidRDefault="00745801">
      <w:pPr>
        <w:ind w:firstLine="709"/>
        <w:jc w:val="both"/>
        <w:rPr>
          <w:sz w:val="24"/>
          <w:szCs w:val="24"/>
        </w:rPr>
      </w:pPr>
    </w:p>
    <w:tbl>
      <w:tblPr>
        <w:tblStyle w:val="a0"/>
        <w:tblW w:w="10221" w:type="dxa"/>
        <w:tblInd w:w="55" w:type="dxa"/>
        <w:tblLayout w:type="fixed"/>
        <w:tblLook w:val="0400" w:firstRow="0" w:lastRow="0" w:firstColumn="0" w:lastColumn="0" w:noHBand="0" w:noVBand="1"/>
      </w:tblPr>
      <w:tblGrid>
        <w:gridCol w:w="1200"/>
        <w:gridCol w:w="9021"/>
      </w:tblGrid>
      <w:tr w:rsidR="00745801" w14:paraId="5E3CCE07" w14:textId="77777777">
        <w:trPr>
          <w:trHeight w:val="284"/>
        </w:trPr>
        <w:tc>
          <w:tcPr>
            <w:tcW w:w="1200"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66AFFAC6" w14:textId="77777777" w:rsidR="00745801" w:rsidRDefault="00000000">
            <w:pPr>
              <w:jc w:val="center"/>
              <w:rPr>
                <w:b/>
                <w:color w:val="000000"/>
                <w:sz w:val="24"/>
                <w:szCs w:val="24"/>
              </w:rPr>
            </w:pPr>
            <w:r>
              <w:rPr>
                <w:b/>
                <w:color w:val="000000"/>
                <w:sz w:val="24"/>
                <w:szCs w:val="24"/>
              </w:rPr>
              <w:t>N°</w:t>
            </w:r>
          </w:p>
        </w:tc>
        <w:tc>
          <w:tcPr>
            <w:tcW w:w="9021" w:type="dxa"/>
            <w:tcBorders>
              <w:top w:val="single" w:sz="8" w:space="0" w:color="000000"/>
              <w:left w:val="nil"/>
              <w:bottom w:val="single" w:sz="4" w:space="0" w:color="000000"/>
              <w:right w:val="single" w:sz="8" w:space="0" w:color="000000"/>
            </w:tcBorders>
            <w:shd w:val="clear" w:color="auto" w:fill="F2F2F2"/>
            <w:vAlign w:val="center"/>
          </w:tcPr>
          <w:p w14:paraId="08346CC1" w14:textId="77777777" w:rsidR="00745801" w:rsidRDefault="00000000">
            <w:pPr>
              <w:jc w:val="center"/>
              <w:rPr>
                <w:b/>
                <w:color w:val="000000"/>
                <w:sz w:val="24"/>
                <w:szCs w:val="24"/>
              </w:rPr>
            </w:pPr>
            <w:proofErr w:type="gramStart"/>
            <w:r>
              <w:rPr>
                <w:b/>
                <w:color w:val="000000"/>
                <w:sz w:val="24"/>
                <w:szCs w:val="24"/>
              </w:rPr>
              <w:t>concurrents</w:t>
            </w:r>
            <w:proofErr w:type="gramEnd"/>
            <w:r>
              <w:rPr>
                <w:b/>
                <w:color w:val="000000"/>
                <w:sz w:val="24"/>
                <w:szCs w:val="24"/>
              </w:rPr>
              <w:t xml:space="preserve"> admissibles</w:t>
            </w:r>
          </w:p>
        </w:tc>
      </w:tr>
    </w:tbl>
    <w:p w14:paraId="5DB8B8EF" w14:textId="77777777" w:rsidR="00745801" w:rsidRDefault="00000000">
      <w:pPr>
        <w:ind w:firstLine="709"/>
        <w:jc w:val="both"/>
        <w:rPr>
          <w:sz w:val="24"/>
          <w:szCs w:val="24"/>
        </w:rPr>
      </w:pPr>
      <w:r>
        <w:rPr>
          <w:sz w:val="24"/>
          <w:szCs w:val="24"/>
        </w:rPr>
        <w:t>${</w:t>
      </w:r>
      <w:proofErr w:type="spellStart"/>
      <w:r>
        <w:rPr>
          <w:rFonts w:ascii="Courier New" w:eastAsia="Courier New" w:hAnsi="Courier New" w:cs="Courier New"/>
          <w:color w:val="CE9178"/>
          <w:sz w:val="21"/>
          <w:szCs w:val="21"/>
        </w:rPr>
        <w:t>non_eliminer_concurrant</w:t>
      </w:r>
      <w:proofErr w:type="spellEnd"/>
      <w:r>
        <w:rPr>
          <w:sz w:val="24"/>
          <w:szCs w:val="24"/>
        </w:rPr>
        <w:t>}</w:t>
      </w:r>
    </w:p>
    <w:tbl>
      <w:tblPr>
        <w:tblStyle w:val="a1"/>
        <w:tblW w:w="10221" w:type="dxa"/>
        <w:tblInd w:w="55" w:type="dxa"/>
        <w:tblLayout w:type="fixed"/>
        <w:tblLook w:val="0400" w:firstRow="0" w:lastRow="0" w:firstColumn="0" w:lastColumn="0" w:noHBand="0" w:noVBand="1"/>
      </w:tblPr>
      <w:tblGrid>
        <w:gridCol w:w="1200"/>
        <w:gridCol w:w="9021"/>
      </w:tblGrid>
      <w:tr w:rsidR="00745801" w14:paraId="43051030" w14:textId="77777777">
        <w:trPr>
          <w:trHeight w:val="284"/>
        </w:trPr>
        <w:tc>
          <w:tcPr>
            <w:tcW w:w="12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9B933A" w14:textId="77777777" w:rsidR="00745801" w:rsidRDefault="00000000">
            <w:pPr>
              <w:jc w:val="center"/>
              <w:rPr>
                <w:b/>
              </w:rPr>
            </w:pPr>
            <w:r>
              <w:rPr>
                <w:b/>
              </w:rPr>
              <w:t>${0}</w:t>
            </w:r>
          </w:p>
        </w:tc>
        <w:tc>
          <w:tcPr>
            <w:tcW w:w="9021" w:type="dxa"/>
            <w:tcBorders>
              <w:top w:val="single" w:sz="8" w:space="0" w:color="000000"/>
              <w:left w:val="nil"/>
              <w:bottom w:val="single" w:sz="8" w:space="0" w:color="000000"/>
              <w:right w:val="single" w:sz="8" w:space="0" w:color="000000"/>
            </w:tcBorders>
            <w:shd w:val="clear" w:color="auto" w:fill="auto"/>
            <w:vAlign w:val="center"/>
          </w:tcPr>
          <w:p w14:paraId="756BC8D8" w14:textId="77777777" w:rsidR="00745801" w:rsidRDefault="00000000" w:rsidP="004A7631">
            <w:pPr>
              <w:jc w:val="center"/>
            </w:pPr>
            <w:r>
              <w:rPr>
                <w:b/>
                <w:sz w:val="24"/>
                <w:szCs w:val="24"/>
              </w:rPr>
              <w:t>${1}</w:t>
            </w:r>
          </w:p>
        </w:tc>
      </w:tr>
    </w:tbl>
    <w:p w14:paraId="344AD5E2" w14:textId="77777777" w:rsidR="00745801" w:rsidRDefault="00000000">
      <w:pPr>
        <w:ind w:firstLine="709"/>
        <w:jc w:val="both"/>
        <w:rPr>
          <w:sz w:val="24"/>
          <w:szCs w:val="24"/>
        </w:rPr>
      </w:pPr>
      <w:r>
        <w:rPr>
          <w:sz w:val="24"/>
          <w:szCs w:val="24"/>
        </w:rPr>
        <w:t>${/</w:t>
      </w:r>
      <w:proofErr w:type="spellStart"/>
      <w:r>
        <w:rPr>
          <w:rFonts w:ascii="Courier New" w:eastAsia="Courier New" w:hAnsi="Courier New" w:cs="Courier New"/>
          <w:color w:val="CE9178"/>
          <w:sz w:val="21"/>
          <w:szCs w:val="21"/>
        </w:rPr>
        <w:t>non_eliminer_concurrant</w:t>
      </w:r>
      <w:proofErr w:type="spellEnd"/>
      <w:r>
        <w:rPr>
          <w:sz w:val="24"/>
          <w:szCs w:val="24"/>
        </w:rPr>
        <w:t>}</w:t>
      </w:r>
    </w:p>
    <w:p w14:paraId="141777F3" w14:textId="77777777" w:rsidR="004A7631" w:rsidRDefault="00000000" w:rsidP="004A7631">
      <w:pPr>
        <w:jc w:val="right"/>
        <w:rPr>
          <w:sz w:val="24"/>
          <w:szCs w:val="24"/>
        </w:rPr>
      </w:pPr>
      <w:r>
        <w:rPr>
          <w:sz w:val="24"/>
          <w:szCs w:val="24"/>
        </w:rPr>
        <w:t xml:space="preserve">     </w:t>
      </w:r>
    </w:p>
    <w:p w14:paraId="35FC0DC7" w14:textId="339AF19E" w:rsidR="00745801" w:rsidRDefault="00000000" w:rsidP="004A7631">
      <w:pPr>
        <w:jc w:val="right"/>
        <w:rPr>
          <w:b/>
          <w:sz w:val="28"/>
          <w:szCs w:val="28"/>
        </w:rPr>
      </w:pPr>
      <w:r>
        <w:rPr>
          <w:sz w:val="24"/>
          <w:szCs w:val="24"/>
        </w:rPr>
        <w:t xml:space="preserve"> Et d’écarter les concurrents suivants : </w:t>
      </w:r>
      <w:r>
        <w:rPr>
          <w:b/>
          <w:sz w:val="28"/>
          <w:szCs w:val="28"/>
        </w:rPr>
        <w:t>Néant.</w:t>
      </w:r>
    </w:p>
    <w:p w14:paraId="21A95A7F" w14:textId="77777777" w:rsidR="00745801" w:rsidRDefault="00745801" w:rsidP="004A7631">
      <w:pPr>
        <w:jc w:val="right"/>
        <w:rPr>
          <w:b/>
          <w:sz w:val="28"/>
          <w:szCs w:val="28"/>
        </w:rPr>
      </w:pPr>
    </w:p>
    <w:p w14:paraId="79016D62" w14:textId="77777777" w:rsidR="00745801" w:rsidRDefault="00000000" w:rsidP="004A7631">
      <w:pPr>
        <w:jc w:val="right"/>
        <w:rPr>
          <w:sz w:val="24"/>
          <w:szCs w:val="24"/>
        </w:rPr>
      </w:pPr>
      <w:r>
        <w:rPr>
          <w:sz w:val="24"/>
          <w:szCs w:val="24"/>
        </w:rPr>
        <w:t>Après classification des offres financières, le résultat est le suivant :</w:t>
      </w:r>
    </w:p>
    <w:p w14:paraId="46CE5218" w14:textId="77777777" w:rsidR="00745801" w:rsidRDefault="00745801">
      <w:pPr>
        <w:jc w:val="both"/>
        <w:rPr>
          <w:sz w:val="24"/>
          <w:szCs w:val="24"/>
        </w:rPr>
      </w:pPr>
    </w:p>
    <w:p w14:paraId="0777E4DF" w14:textId="77777777" w:rsidR="00745801" w:rsidRDefault="00745801">
      <w:pPr>
        <w:jc w:val="both"/>
        <w:rPr>
          <w:sz w:val="24"/>
          <w:szCs w:val="24"/>
        </w:rPr>
      </w:pPr>
    </w:p>
    <w:p w14:paraId="1D93F99C" w14:textId="77777777" w:rsidR="00745801" w:rsidRDefault="00745801">
      <w:pPr>
        <w:jc w:val="both"/>
        <w:rPr>
          <w:sz w:val="24"/>
          <w:szCs w:val="24"/>
        </w:rPr>
      </w:pPr>
    </w:p>
    <w:tbl>
      <w:tblPr>
        <w:tblStyle w:val="a2"/>
        <w:tblW w:w="10632" w:type="dxa"/>
        <w:jc w:val="center"/>
        <w:tblInd w:w="0" w:type="dxa"/>
        <w:tblLayout w:type="fixed"/>
        <w:tblLook w:val="0400" w:firstRow="0" w:lastRow="0" w:firstColumn="0" w:lastColumn="0" w:noHBand="0" w:noVBand="1"/>
      </w:tblPr>
      <w:tblGrid>
        <w:gridCol w:w="568"/>
        <w:gridCol w:w="4324"/>
        <w:gridCol w:w="2977"/>
        <w:gridCol w:w="2763"/>
      </w:tblGrid>
      <w:tr w:rsidR="00745801" w14:paraId="515012FD" w14:textId="77777777">
        <w:trPr>
          <w:trHeight w:val="746"/>
          <w:jc w:val="center"/>
        </w:trPr>
        <w:tc>
          <w:tcPr>
            <w:tcW w:w="568"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0DB8ACC" w14:textId="77777777" w:rsidR="00745801" w:rsidRDefault="00000000">
            <w:pPr>
              <w:jc w:val="center"/>
              <w:rPr>
                <w:b/>
                <w:color w:val="000000"/>
                <w:sz w:val="22"/>
                <w:szCs w:val="22"/>
              </w:rPr>
            </w:pPr>
            <w:r>
              <w:rPr>
                <w:b/>
                <w:color w:val="000000"/>
                <w:sz w:val="22"/>
                <w:szCs w:val="22"/>
              </w:rPr>
              <w:t>N°</w:t>
            </w:r>
          </w:p>
        </w:tc>
        <w:tc>
          <w:tcPr>
            <w:tcW w:w="432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6885A2" w14:textId="1C100D4A" w:rsidR="00745801" w:rsidRDefault="004A7631">
            <w:pPr>
              <w:jc w:val="center"/>
              <w:rPr>
                <w:b/>
                <w:color w:val="000000"/>
                <w:sz w:val="22"/>
                <w:szCs w:val="22"/>
              </w:rPr>
            </w:pPr>
            <w:r>
              <w:rPr>
                <w:b/>
                <w:color w:val="000000"/>
                <w:sz w:val="22"/>
                <w:szCs w:val="22"/>
              </w:rPr>
              <w:t>Soumissionnaires</w:t>
            </w:r>
          </w:p>
        </w:tc>
        <w:tc>
          <w:tcPr>
            <w:tcW w:w="297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1DB634D" w14:textId="77777777" w:rsidR="00745801" w:rsidRDefault="00000000">
            <w:pPr>
              <w:jc w:val="center"/>
              <w:rPr>
                <w:b/>
                <w:color w:val="000000"/>
                <w:sz w:val="22"/>
                <w:szCs w:val="22"/>
              </w:rPr>
            </w:pPr>
            <w:r>
              <w:rPr>
                <w:b/>
                <w:color w:val="000000"/>
                <w:sz w:val="22"/>
                <w:szCs w:val="22"/>
              </w:rPr>
              <w:t xml:space="preserve">Montant des actes </w:t>
            </w:r>
            <w:proofErr w:type="gramStart"/>
            <w:r>
              <w:rPr>
                <w:b/>
                <w:color w:val="000000"/>
                <w:sz w:val="22"/>
                <w:szCs w:val="22"/>
              </w:rPr>
              <w:t>d’engagement  en</w:t>
            </w:r>
            <w:proofErr w:type="gramEnd"/>
            <w:r>
              <w:rPr>
                <w:b/>
                <w:color w:val="000000"/>
                <w:sz w:val="22"/>
                <w:szCs w:val="22"/>
              </w:rPr>
              <w:t xml:space="preserve"> DH TTC avant vérification</w:t>
            </w:r>
          </w:p>
        </w:tc>
        <w:tc>
          <w:tcPr>
            <w:tcW w:w="276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87D7DCF" w14:textId="77777777" w:rsidR="00745801" w:rsidRDefault="00000000">
            <w:pPr>
              <w:jc w:val="center"/>
              <w:rPr>
                <w:b/>
                <w:color w:val="000000"/>
                <w:sz w:val="22"/>
                <w:szCs w:val="22"/>
              </w:rPr>
            </w:pPr>
            <w:r>
              <w:rPr>
                <w:b/>
                <w:color w:val="000000"/>
                <w:sz w:val="22"/>
                <w:szCs w:val="22"/>
              </w:rPr>
              <w:t>Montant des actes d’engagement après vérification en DH TTC</w:t>
            </w:r>
          </w:p>
        </w:tc>
      </w:tr>
    </w:tbl>
    <w:p w14:paraId="07F554DF" w14:textId="77777777" w:rsidR="00745801" w:rsidRDefault="00745801">
      <w:pPr>
        <w:jc w:val="both"/>
        <w:rPr>
          <w:sz w:val="24"/>
          <w:szCs w:val="24"/>
        </w:rPr>
      </w:pPr>
    </w:p>
    <w:p w14:paraId="69C5A422" w14:textId="77777777" w:rsidR="00745801" w:rsidRDefault="00000000">
      <w:pPr>
        <w:jc w:val="both"/>
        <w:rPr>
          <w:sz w:val="24"/>
          <w:szCs w:val="24"/>
        </w:rPr>
      </w:pPr>
      <w:r>
        <w:rPr>
          <w:sz w:val="24"/>
          <w:szCs w:val="24"/>
        </w:rPr>
        <w:t>${</w:t>
      </w:r>
      <w:proofErr w:type="spellStart"/>
      <w:r>
        <w:rPr>
          <w:rFonts w:ascii="Courier New" w:eastAsia="Courier New" w:hAnsi="Courier New" w:cs="Courier New"/>
          <w:color w:val="CE9178"/>
          <w:sz w:val="21"/>
          <w:szCs w:val="21"/>
        </w:rPr>
        <w:t>non_eliminer_concurrant_montant</w:t>
      </w:r>
      <w:proofErr w:type="spellEnd"/>
      <w:r>
        <w:rPr>
          <w:sz w:val="24"/>
          <w:szCs w:val="24"/>
        </w:rPr>
        <w:t>}</w:t>
      </w:r>
    </w:p>
    <w:tbl>
      <w:tblPr>
        <w:tblStyle w:val="a3"/>
        <w:tblW w:w="10632" w:type="dxa"/>
        <w:jc w:val="center"/>
        <w:tblInd w:w="0" w:type="dxa"/>
        <w:tblLayout w:type="fixed"/>
        <w:tblLook w:val="0400" w:firstRow="0" w:lastRow="0" w:firstColumn="0" w:lastColumn="0" w:noHBand="0" w:noVBand="1"/>
      </w:tblPr>
      <w:tblGrid>
        <w:gridCol w:w="568"/>
        <w:gridCol w:w="4324"/>
        <w:gridCol w:w="2977"/>
        <w:gridCol w:w="2763"/>
      </w:tblGrid>
      <w:tr w:rsidR="00745801" w14:paraId="536CAE69" w14:textId="77777777">
        <w:trPr>
          <w:trHeight w:val="612"/>
          <w:jc w:val="center"/>
        </w:trPr>
        <w:tc>
          <w:tcPr>
            <w:tcW w:w="5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6A43C" w14:textId="77777777" w:rsidR="00745801" w:rsidRDefault="00000000">
            <w:pPr>
              <w:jc w:val="center"/>
              <w:rPr>
                <w:b/>
              </w:rPr>
            </w:pPr>
            <w:r>
              <w:rPr>
                <w:b/>
              </w:rPr>
              <w:t>${0}</w:t>
            </w:r>
          </w:p>
        </w:tc>
        <w:tc>
          <w:tcPr>
            <w:tcW w:w="4324" w:type="dxa"/>
            <w:tcBorders>
              <w:top w:val="single" w:sz="4" w:space="0" w:color="000000"/>
              <w:left w:val="nil"/>
              <w:bottom w:val="single" w:sz="4" w:space="0" w:color="000000"/>
              <w:right w:val="single" w:sz="4" w:space="0" w:color="000000"/>
            </w:tcBorders>
            <w:shd w:val="clear" w:color="auto" w:fill="auto"/>
            <w:vAlign w:val="center"/>
          </w:tcPr>
          <w:p w14:paraId="7147839C" w14:textId="77777777" w:rsidR="00745801" w:rsidRDefault="00000000" w:rsidP="004A7631">
            <w:pPr>
              <w:jc w:val="center"/>
              <w:rPr>
                <w:b/>
                <w:sz w:val="24"/>
                <w:szCs w:val="24"/>
              </w:rPr>
            </w:pPr>
            <w:r>
              <w:rPr>
                <w:b/>
                <w:sz w:val="24"/>
                <w:szCs w:val="24"/>
              </w:rPr>
              <w:t>${1}</w:t>
            </w:r>
          </w:p>
        </w:tc>
        <w:tc>
          <w:tcPr>
            <w:tcW w:w="2977" w:type="dxa"/>
            <w:tcBorders>
              <w:top w:val="single" w:sz="4" w:space="0" w:color="000000"/>
              <w:left w:val="nil"/>
              <w:bottom w:val="single" w:sz="4" w:space="0" w:color="000000"/>
              <w:right w:val="single" w:sz="4" w:space="0" w:color="000000"/>
            </w:tcBorders>
            <w:shd w:val="clear" w:color="auto" w:fill="auto"/>
            <w:vAlign w:val="center"/>
          </w:tcPr>
          <w:p w14:paraId="5F90F480" w14:textId="77777777" w:rsidR="00745801" w:rsidRDefault="00000000" w:rsidP="004A7631">
            <w:pPr>
              <w:jc w:val="center"/>
              <w:rPr>
                <w:b/>
                <w:sz w:val="28"/>
                <w:szCs w:val="28"/>
              </w:rPr>
            </w:pPr>
            <w:r>
              <w:rPr>
                <w:b/>
                <w:sz w:val="28"/>
                <w:szCs w:val="28"/>
              </w:rPr>
              <w:t>${2}</w:t>
            </w:r>
          </w:p>
        </w:tc>
        <w:tc>
          <w:tcPr>
            <w:tcW w:w="2763" w:type="dxa"/>
            <w:tcBorders>
              <w:top w:val="single" w:sz="4" w:space="0" w:color="000000"/>
              <w:left w:val="nil"/>
              <w:bottom w:val="single" w:sz="4" w:space="0" w:color="000000"/>
              <w:right w:val="single" w:sz="4" w:space="0" w:color="000000"/>
            </w:tcBorders>
            <w:shd w:val="clear" w:color="auto" w:fill="auto"/>
            <w:vAlign w:val="center"/>
          </w:tcPr>
          <w:p w14:paraId="5700C404" w14:textId="2EDA992A" w:rsidR="00745801" w:rsidRDefault="00000000" w:rsidP="004A7631">
            <w:pPr>
              <w:jc w:val="center"/>
              <w:rPr>
                <w:b/>
                <w:sz w:val="28"/>
                <w:szCs w:val="28"/>
              </w:rPr>
            </w:pPr>
            <w:r>
              <w:rPr>
                <w:b/>
                <w:sz w:val="28"/>
                <w:szCs w:val="28"/>
              </w:rPr>
              <w:t>${3}</w:t>
            </w:r>
          </w:p>
        </w:tc>
      </w:tr>
    </w:tbl>
    <w:p w14:paraId="0B6BCDA3" w14:textId="77777777" w:rsidR="00745801" w:rsidRDefault="00000000">
      <w:pPr>
        <w:jc w:val="both"/>
        <w:rPr>
          <w:sz w:val="24"/>
          <w:szCs w:val="24"/>
        </w:rPr>
      </w:pPr>
      <w:r>
        <w:rPr>
          <w:sz w:val="24"/>
          <w:szCs w:val="24"/>
        </w:rPr>
        <w:t>${/</w:t>
      </w:r>
      <w:proofErr w:type="spellStart"/>
      <w:r>
        <w:rPr>
          <w:rFonts w:ascii="Courier New" w:eastAsia="Courier New" w:hAnsi="Courier New" w:cs="Courier New"/>
          <w:color w:val="CE9178"/>
          <w:sz w:val="21"/>
          <w:szCs w:val="21"/>
        </w:rPr>
        <w:t>non_eliminer_concurrant_montant</w:t>
      </w:r>
      <w:proofErr w:type="spellEnd"/>
      <w:r>
        <w:rPr>
          <w:sz w:val="24"/>
          <w:szCs w:val="24"/>
        </w:rPr>
        <w:t>}</w:t>
      </w:r>
    </w:p>
    <w:p w14:paraId="41BC9160" w14:textId="77777777" w:rsidR="00745801" w:rsidRDefault="00745801">
      <w:pPr>
        <w:jc w:val="both"/>
        <w:rPr>
          <w:sz w:val="24"/>
          <w:szCs w:val="24"/>
        </w:rPr>
      </w:pPr>
    </w:p>
    <w:p w14:paraId="7A21DB53" w14:textId="1332AC77" w:rsidR="00745801" w:rsidRDefault="00000000" w:rsidP="004A7631">
      <w:pPr>
        <w:ind w:firstLine="709"/>
        <w:jc w:val="right"/>
        <w:rPr>
          <w:sz w:val="24"/>
          <w:szCs w:val="24"/>
        </w:rPr>
      </w:pPr>
      <w:r>
        <w:rPr>
          <w:sz w:val="24"/>
          <w:szCs w:val="24"/>
        </w:rPr>
        <w:t>En appliquant l’article 41 du décret n° 2-12-349 du 20 Mars 2013 relatif aux marchés publics, les résultats de vérification des offres anormalement basses ou excessives sont consignés dans le tableau suivant :</w:t>
      </w:r>
    </w:p>
    <w:p w14:paraId="1A0EFA4B" w14:textId="77777777" w:rsidR="004A7631" w:rsidRDefault="004A7631" w:rsidP="004A7631">
      <w:pPr>
        <w:ind w:firstLine="709"/>
        <w:jc w:val="right"/>
        <w:rPr>
          <w:sz w:val="24"/>
          <w:szCs w:val="24"/>
        </w:rPr>
      </w:pPr>
    </w:p>
    <w:p w14:paraId="7FE7FBFB" w14:textId="77777777" w:rsidR="00745801" w:rsidRDefault="00745801">
      <w:pPr>
        <w:jc w:val="both"/>
        <w:rPr>
          <w:sz w:val="24"/>
          <w:szCs w:val="24"/>
        </w:rPr>
      </w:pPr>
    </w:p>
    <w:tbl>
      <w:tblPr>
        <w:tblStyle w:val="a4"/>
        <w:tblW w:w="11431" w:type="dxa"/>
        <w:jc w:val="center"/>
        <w:tblInd w:w="0" w:type="dxa"/>
        <w:tblLayout w:type="fixed"/>
        <w:tblLook w:val="0400" w:firstRow="0" w:lastRow="0" w:firstColumn="0" w:lastColumn="0" w:noHBand="0" w:noVBand="1"/>
      </w:tblPr>
      <w:tblGrid>
        <w:gridCol w:w="582"/>
        <w:gridCol w:w="5670"/>
        <w:gridCol w:w="562"/>
        <w:gridCol w:w="1706"/>
        <w:gridCol w:w="911"/>
        <w:gridCol w:w="2000"/>
      </w:tblGrid>
      <w:tr w:rsidR="00745801" w14:paraId="740C5D0E" w14:textId="77777777">
        <w:trPr>
          <w:trHeight w:val="390"/>
          <w:jc w:val="center"/>
        </w:trPr>
        <w:tc>
          <w:tcPr>
            <w:tcW w:w="1143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01BABDB4" w14:textId="77777777" w:rsidR="00745801" w:rsidRDefault="00000000">
            <w:pPr>
              <w:jc w:val="center"/>
              <w:rPr>
                <w:rFonts w:ascii="Arial Black" w:eastAsia="Arial Black" w:hAnsi="Arial Black" w:cs="Arial Black"/>
                <w:b/>
                <w:i/>
                <w:color w:val="000000"/>
                <w:sz w:val="28"/>
                <w:szCs w:val="28"/>
                <w:u w:val="single"/>
              </w:rPr>
            </w:pPr>
            <w:r>
              <w:rPr>
                <w:rFonts w:ascii="Arial Black" w:eastAsia="Arial Black" w:hAnsi="Arial Black" w:cs="Arial Black"/>
                <w:b/>
                <w:i/>
                <w:color w:val="000000"/>
                <w:sz w:val="28"/>
                <w:szCs w:val="28"/>
                <w:u w:val="single"/>
              </w:rPr>
              <w:lastRenderedPageBreak/>
              <w:t>Offres Financières Basses ou Excessives</w:t>
            </w:r>
          </w:p>
        </w:tc>
      </w:tr>
      <w:tr w:rsidR="00745801" w14:paraId="2B8DC492" w14:textId="77777777">
        <w:trPr>
          <w:trHeight w:val="435"/>
          <w:jc w:val="center"/>
        </w:trPr>
        <w:tc>
          <w:tcPr>
            <w:tcW w:w="68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95AEAE9" w14:textId="77777777" w:rsidR="00745801" w:rsidRDefault="00000000">
            <w:pPr>
              <w:jc w:val="center"/>
              <w:rPr>
                <w:color w:val="000000"/>
                <w:sz w:val="24"/>
                <w:szCs w:val="24"/>
              </w:rPr>
            </w:pPr>
            <w:r>
              <w:rPr>
                <w:color w:val="000000"/>
                <w:sz w:val="24"/>
                <w:szCs w:val="24"/>
              </w:rPr>
              <w:t>Montant de l'Estimation en Dirhams TTC :</w:t>
            </w:r>
          </w:p>
        </w:tc>
        <w:tc>
          <w:tcPr>
            <w:tcW w:w="4617" w:type="dxa"/>
            <w:gridSpan w:val="3"/>
            <w:tcBorders>
              <w:top w:val="single" w:sz="4" w:space="0" w:color="000000"/>
              <w:left w:val="nil"/>
              <w:bottom w:val="single" w:sz="4" w:space="0" w:color="000000"/>
              <w:right w:val="single" w:sz="4" w:space="0" w:color="000000"/>
            </w:tcBorders>
            <w:shd w:val="clear" w:color="auto" w:fill="auto"/>
            <w:vAlign w:val="center"/>
          </w:tcPr>
          <w:p w14:paraId="4FF2AAC2" w14:textId="77777777" w:rsidR="00745801" w:rsidRDefault="00000000">
            <w:pPr>
              <w:jc w:val="center"/>
              <w:rPr>
                <w:b/>
                <w:color w:val="000000"/>
                <w:sz w:val="28"/>
                <w:szCs w:val="28"/>
              </w:rPr>
            </w:pPr>
            <w:r>
              <w:rPr>
                <w:b/>
                <w:sz w:val="28"/>
                <w:szCs w:val="28"/>
              </w:rPr>
              <w:t>${estimation}</w:t>
            </w:r>
          </w:p>
        </w:tc>
      </w:tr>
      <w:tr w:rsidR="00745801" w14:paraId="780B6C82" w14:textId="77777777">
        <w:trPr>
          <w:trHeight w:val="413"/>
          <w:jc w:val="center"/>
        </w:trPr>
        <w:tc>
          <w:tcPr>
            <w:tcW w:w="582"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78BAE4AF" w14:textId="77777777" w:rsidR="00745801" w:rsidRDefault="00000000">
            <w:pPr>
              <w:jc w:val="center"/>
              <w:rPr>
                <w:color w:val="000000"/>
                <w:sz w:val="22"/>
                <w:szCs w:val="22"/>
              </w:rPr>
            </w:pPr>
            <w:r>
              <w:rPr>
                <w:color w:val="000000"/>
                <w:sz w:val="22"/>
                <w:szCs w:val="22"/>
              </w:rPr>
              <w:t>N°</w:t>
            </w:r>
          </w:p>
        </w:tc>
        <w:tc>
          <w:tcPr>
            <w:tcW w:w="567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34E41100" w14:textId="77777777" w:rsidR="00745801" w:rsidRDefault="00000000">
            <w:pPr>
              <w:jc w:val="center"/>
              <w:rPr>
                <w:color w:val="000000"/>
                <w:sz w:val="22"/>
                <w:szCs w:val="22"/>
              </w:rPr>
            </w:pPr>
            <w:proofErr w:type="gramStart"/>
            <w:r>
              <w:rPr>
                <w:color w:val="000000"/>
                <w:sz w:val="22"/>
                <w:szCs w:val="22"/>
              </w:rPr>
              <w:t>soumissionnaires</w:t>
            </w:r>
            <w:proofErr w:type="gramEnd"/>
          </w:p>
        </w:tc>
        <w:tc>
          <w:tcPr>
            <w:tcW w:w="2268" w:type="dxa"/>
            <w:gridSpan w:val="2"/>
            <w:tcBorders>
              <w:top w:val="single" w:sz="4" w:space="0" w:color="000000"/>
              <w:left w:val="nil"/>
              <w:bottom w:val="single" w:sz="4" w:space="0" w:color="000000"/>
              <w:right w:val="single" w:sz="4" w:space="0" w:color="000000"/>
            </w:tcBorders>
            <w:shd w:val="clear" w:color="auto" w:fill="BFBFBF"/>
            <w:vAlign w:val="center"/>
          </w:tcPr>
          <w:p w14:paraId="2C6CF78E" w14:textId="77777777" w:rsidR="00745801" w:rsidRDefault="00000000">
            <w:pPr>
              <w:jc w:val="center"/>
              <w:rPr>
                <w:color w:val="000000"/>
                <w:sz w:val="24"/>
                <w:szCs w:val="24"/>
              </w:rPr>
            </w:pPr>
            <w:proofErr w:type="gramStart"/>
            <w:r>
              <w:rPr>
                <w:color w:val="000000"/>
                <w:sz w:val="24"/>
                <w:szCs w:val="24"/>
              </w:rPr>
              <w:t>offre</w:t>
            </w:r>
            <w:proofErr w:type="gramEnd"/>
            <w:r>
              <w:rPr>
                <w:color w:val="000000"/>
                <w:sz w:val="24"/>
                <w:szCs w:val="24"/>
              </w:rPr>
              <w:t xml:space="preserve"> financière TTC</w:t>
            </w:r>
          </w:p>
        </w:tc>
        <w:tc>
          <w:tcPr>
            <w:tcW w:w="911"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B61D228" w14:textId="77777777" w:rsidR="00745801" w:rsidRDefault="00000000">
            <w:pPr>
              <w:jc w:val="center"/>
              <w:rPr>
                <w:color w:val="000000"/>
                <w:sz w:val="24"/>
                <w:szCs w:val="24"/>
              </w:rPr>
            </w:pPr>
            <w:r>
              <w:rPr>
                <w:color w:val="000000"/>
                <w:sz w:val="24"/>
                <w:szCs w:val="24"/>
              </w:rPr>
              <w:t>Taux %</w:t>
            </w:r>
          </w:p>
        </w:tc>
        <w:tc>
          <w:tcPr>
            <w:tcW w:w="200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2C844FD" w14:textId="77777777" w:rsidR="00745801" w:rsidRDefault="00000000">
            <w:pPr>
              <w:jc w:val="center"/>
              <w:rPr>
                <w:color w:val="000000"/>
                <w:sz w:val="24"/>
                <w:szCs w:val="24"/>
              </w:rPr>
            </w:pPr>
            <w:r>
              <w:rPr>
                <w:color w:val="000000"/>
                <w:sz w:val="24"/>
                <w:szCs w:val="24"/>
              </w:rPr>
              <w:t>Observation</w:t>
            </w:r>
          </w:p>
        </w:tc>
      </w:tr>
    </w:tbl>
    <w:p w14:paraId="694EA5D2" w14:textId="77777777" w:rsidR="00745801" w:rsidRDefault="00745801">
      <w:pPr>
        <w:spacing w:line="276" w:lineRule="auto"/>
        <w:ind w:right="140"/>
        <w:jc w:val="both"/>
        <w:rPr>
          <w:sz w:val="22"/>
          <w:szCs w:val="22"/>
        </w:rPr>
      </w:pPr>
    </w:p>
    <w:p w14:paraId="093C4707" w14:textId="77777777" w:rsidR="00745801" w:rsidRDefault="00000000">
      <w:pPr>
        <w:jc w:val="both"/>
        <w:rPr>
          <w:sz w:val="24"/>
          <w:szCs w:val="24"/>
        </w:rPr>
      </w:pPr>
      <w:r>
        <w:rPr>
          <w:sz w:val="24"/>
          <w:szCs w:val="24"/>
        </w:rPr>
        <w:t>${</w:t>
      </w:r>
      <w:proofErr w:type="spellStart"/>
      <w:r>
        <w:rPr>
          <w:rFonts w:ascii="Courier New" w:eastAsia="Courier New" w:hAnsi="Courier New" w:cs="Courier New"/>
          <w:color w:val="CE9178"/>
          <w:sz w:val="21"/>
          <w:szCs w:val="21"/>
        </w:rPr>
        <w:t>non_eliminer_concurrant_taux</w:t>
      </w:r>
      <w:proofErr w:type="spellEnd"/>
      <w:r>
        <w:rPr>
          <w:sz w:val="24"/>
          <w:szCs w:val="24"/>
        </w:rPr>
        <w:t>}</w:t>
      </w:r>
    </w:p>
    <w:tbl>
      <w:tblPr>
        <w:tblStyle w:val="a5"/>
        <w:tblW w:w="11235" w:type="dxa"/>
        <w:jc w:val="center"/>
        <w:tblInd w:w="0" w:type="dxa"/>
        <w:tblLayout w:type="fixed"/>
        <w:tblLook w:val="0400" w:firstRow="0" w:lastRow="0" w:firstColumn="0" w:lastColumn="0" w:noHBand="0" w:noVBand="1"/>
      </w:tblPr>
      <w:tblGrid>
        <w:gridCol w:w="765"/>
        <w:gridCol w:w="5475"/>
        <w:gridCol w:w="2175"/>
        <w:gridCol w:w="885"/>
        <w:gridCol w:w="1935"/>
      </w:tblGrid>
      <w:tr w:rsidR="00745801" w14:paraId="359C6E80" w14:textId="77777777">
        <w:trPr>
          <w:trHeight w:val="405"/>
          <w:jc w:val="center"/>
        </w:trPr>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D93EF" w14:textId="77777777" w:rsidR="00745801" w:rsidRDefault="00000000">
            <w:pPr>
              <w:jc w:val="center"/>
              <w:rPr>
                <w:b/>
              </w:rPr>
            </w:pPr>
            <w:r>
              <w:rPr>
                <w:b/>
              </w:rPr>
              <w:t>${0}</w:t>
            </w:r>
          </w:p>
        </w:tc>
        <w:tc>
          <w:tcPr>
            <w:tcW w:w="5475" w:type="dxa"/>
            <w:tcBorders>
              <w:top w:val="single" w:sz="4" w:space="0" w:color="000000"/>
              <w:left w:val="nil"/>
              <w:bottom w:val="single" w:sz="4" w:space="0" w:color="000000"/>
              <w:right w:val="single" w:sz="4" w:space="0" w:color="000000"/>
            </w:tcBorders>
            <w:shd w:val="clear" w:color="auto" w:fill="auto"/>
            <w:vAlign w:val="center"/>
          </w:tcPr>
          <w:p w14:paraId="34A12119" w14:textId="77777777" w:rsidR="00745801" w:rsidRDefault="00000000" w:rsidP="004A7631">
            <w:pPr>
              <w:jc w:val="center"/>
            </w:pPr>
            <w:r>
              <w:rPr>
                <w:b/>
                <w:sz w:val="24"/>
                <w:szCs w:val="24"/>
              </w:rPr>
              <w:t>${1}</w:t>
            </w:r>
          </w:p>
        </w:tc>
        <w:tc>
          <w:tcPr>
            <w:tcW w:w="2175" w:type="dxa"/>
            <w:tcBorders>
              <w:top w:val="single" w:sz="4" w:space="0" w:color="000000"/>
              <w:left w:val="nil"/>
              <w:bottom w:val="single" w:sz="4" w:space="0" w:color="000000"/>
              <w:right w:val="single" w:sz="4" w:space="0" w:color="000000"/>
            </w:tcBorders>
            <w:shd w:val="clear" w:color="auto" w:fill="auto"/>
            <w:vAlign w:val="center"/>
          </w:tcPr>
          <w:p w14:paraId="247F9DCA" w14:textId="77777777" w:rsidR="00745801" w:rsidRDefault="00000000">
            <w:pPr>
              <w:jc w:val="center"/>
              <w:rPr>
                <w:b/>
                <w:sz w:val="28"/>
                <w:szCs w:val="28"/>
              </w:rPr>
            </w:pPr>
            <w:r>
              <w:rPr>
                <w:b/>
                <w:sz w:val="28"/>
                <w:szCs w:val="28"/>
              </w:rPr>
              <w:t>${2}</w:t>
            </w:r>
          </w:p>
        </w:tc>
        <w:tc>
          <w:tcPr>
            <w:tcW w:w="885" w:type="dxa"/>
            <w:tcBorders>
              <w:top w:val="single" w:sz="4" w:space="0" w:color="000000"/>
              <w:left w:val="nil"/>
              <w:bottom w:val="single" w:sz="4" w:space="0" w:color="000000"/>
              <w:right w:val="single" w:sz="4" w:space="0" w:color="000000"/>
            </w:tcBorders>
            <w:shd w:val="clear" w:color="auto" w:fill="auto"/>
            <w:vAlign w:val="center"/>
          </w:tcPr>
          <w:p w14:paraId="4ED522D4" w14:textId="77777777" w:rsidR="00745801" w:rsidRDefault="00000000">
            <w:pPr>
              <w:jc w:val="center"/>
              <w:rPr>
                <w:rFonts w:ascii="Arial" w:eastAsia="Arial" w:hAnsi="Arial" w:cs="Arial"/>
                <w:b/>
                <w:sz w:val="24"/>
                <w:szCs w:val="24"/>
              </w:rPr>
            </w:pPr>
            <w:r>
              <w:rPr>
                <w:rFonts w:ascii="Arial" w:eastAsia="Arial" w:hAnsi="Arial" w:cs="Arial"/>
                <w:b/>
              </w:rPr>
              <w:t>${3} %</w:t>
            </w:r>
          </w:p>
        </w:tc>
        <w:tc>
          <w:tcPr>
            <w:tcW w:w="1935" w:type="dxa"/>
            <w:tcBorders>
              <w:top w:val="single" w:sz="4" w:space="0" w:color="000000"/>
              <w:left w:val="nil"/>
              <w:bottom w:val="single" w:sz="4" w:space="0" w:color="000000"/>
              <w:right w:val="single" w:sz="4" w:space="0" w:color="000000"/>
            </w:tcBorders>
            <w:shd w:val="clear" w:color="auto" w:fill="auto"/>
            <w:vAlign w:val="center"/>
          </w:tcPr>
          <w:p w14:paraId="61A5EDB0" w14:textId="77777777" w:rsidR="00745801" w:rsidRDefault="00000000">
            <w:pPr>
              <w:jc w:val="center"/>
              <w:rPr>
                <w:rFonts w:ascii="Calibri" w:eastAsia="Calibri" w:hAnsi="Calibri" w:cs="Calibri"/>
                <w:sz w:val="22"/>
                <w:szCs w:val="22"/>
              </w:rPr>
            </w:pPr>
            <w:r>
              <w:rPr>
                <w:rFonts w:ascii="Calibri" w:eastAsia="Calibri" w:hAnsi="Calibri" w:cs="Calibri"/>
                <w:sz w:val="22"/>
                <w:szCs w:val="22"/>
              </w:rPr>
              <w:t>${4}</w:t>
            </w:r>
          </w:p>
        </w:tc>
      </w:tr>
    </w:tbl>
    <w:p w14:paraId="4D47FE1D" w14:textId="77777777" w:rsidR="00745801" w:rsidRDefault="00000000">
      <w:pPr>
        <w:spacing w:line="276" w:lineRule="auto"/>
        <w:ind w:right="140"/>
        <w:jc w:val="both"/>
        <w:rPr>
          <w:sz w:val="22"/>
          <w:szCs w:val="22"/>
        </w:rPr>
      </w:pPr>
      <w:r>
        <w:rPr>
          <w:sz w:val="22"/>
          <w:szCs w:val="22"/>
        </w:rPr>
        <w:t>${/</w:t>
      </w:r>
      <w:proofErr w:type="spellStart"/>
      <w:r>
        <w:rPr>
          <w:rFonts w:ascii="Courier New" w:eastAsia="Courier New" w:hAnsi="Courier New" w:cs="Courier New"/>
          <w:color w:val="CE9178"/>
          <w:sz w:val="21"/>
          <w:szCs w:val="21"/>
        </w:rPr>
        <w:t>non_eliminer_concurrant_taux</w:t>
      </w:r>
      <w:proofErr w:type="spellEnd"/>
      <w:r>
        <w:rPr>
          <w:sz w:val="22"/>
          <w:szCs w:val="22"/>
        </w:rPr>
        <w:t>}</w:t>
      </w:r>
    </w:p>
    <w:p w14:paraId="5DEC81AA" w14:textId="77777777" w:rsidR="00745801" w:rsidRDefault="00000000">
      <w:pPr>
        <w:spacing w:before="120"/>
        <w:ind w:right="113" w:firstLine="709"/>
        <w:jc w:val="both"/>
        <w:rPr>
          <w:sz w:val="24"/>
          <w:szCs w:val="24"/>
        </w:rPr>
      </w:pPr>
      <w:r>
        <w:rPr>
          <w:sz w:val="22"/>
          <w:szCs w:val="22"/>
        </w:rPr>
        <w:t>Ainsi,</w:t>
      </w:r>
      <w:r>
        <w:rPr>
          <w:sz w:val="24"/>
          <w:szCs w:val="24"/>
        </w:rPr>
        <w:t xml:space="preserve"> la commission écarte les concurrents ci-après pour les motifs suivants :</w:t>
      </w:r>
    </w:p>
    <w:p w14:paraId="55373C82" w14:textId="77777777" w:rsidR="00745801" w:rsidRDefault="00745801">
      <w:pPr>
        <w:spacing w:before="120"/>
        <w:ind w:right="113" w:firstLine="709"/>
        <w:jc w:val="both"/>
        <w:rPr>
          <w:sz w:val="24"/>
          <w:szCs w:val="24"/>
        </w:rPr>
      </w:pPr>
    </w:p>
    <w:tbl>
      <w:tblPr>
        <w:tblStyle w:val="a6"/>
        <w:tblW w:w="10080" w:type="dxa"/>
        <w:tblInd w:w="55" w:type="dxa"/>
        <w:tblLayout w:type="fixed"/>
        <w:tblLook w:val="0400" w:firstRow="0" w:lastRow="0" w:firstColumn="0" w:lastColumn="0" w:noHBand="0" w:noVBand="1"/>
      </w:tblPr>
      <w:tblGrid>
        <w:gridCol w:w="4410"/>
        <w:gridCol w:w="5670"/>
      </w:tblGrid>
      <w:tr w:rsidR="00745801" w14:paraId="64B986D4" w14:textId="77777777">
        <w:trPr>
          <w:trHeight w:val="450"/>
        </w:trPr>
        <w:tc>
          <w:tcPr>
            <w:tcW w:w="4410" w:type="dxa"/>
            <w:tcBorders>
              <w:top w:val="single" w:sz="8" w:space="0" w:color="000000"/>
              <w:left w:val="single" w:sz="8" w:space="0" w:color="000000"/>
              <w:bottom w:val="single" w:sz="8" w:space="0" w:color="000000"/>
              <w:right w:val="single" w:sz="8" w:space="0" w:color="000000"/>
            </w:tcBorders>
            <w:shd w:val="clear" w:color="auto" w:fill="F2F2F2"/>
            <w:vAlign w:val="center"/>
          </w:tcPr>
          <w:p w14:paraId="43193AB1" w14:textId="77777777" w:rsidR="00745801" w:rsidRDefault="00000000">
            <w:pPr>
              <w:jc w:val="center"/>
              <w:rPr>
                <w:b/>
                <w:color w:val="000000"/>
                <w:sz w:val="24"/>
                <w:szCs w:val="24"/>
              </w:rPr>
            </w:pPr>
            <w:r>
              <w:rPr>
                <w:b/>
                <w:color w:val="000000"/>
                <w:sz w:val="24"/>
                <w:szCs w:val="24"/>
              </w:rPr>
              <w:t>Les concurrents éliminés</w:t>
            </w:r>
          </w:p>
        </w:tc>
        <w:tc>
          <w:tcPr>
            <w:tcW w:w="5670" w:type="dxa"/>
            <w:tcBorders>
              <w:top w:val="single" w:sz="8" w:space="0" w:color="000000"/>
              <w:left w:val="nil"/>
              <w:bottom w:val="single" w:sz="8" w:space="0" w:color="000000"/>
              <w:right w:val="single" w:sz="8" w:space="0" w:color="000000"/>
            </w:tcBorders>
            <w:shd w:val="clear" w:color="auto" w:fill="F2F2F2"/>
            <w:vAlign w:val="center"/>
          </w:tcPr>
          <w:p w14:paraId="39ED6E9E" w14:textId="77777777" w:rsidR="00745801" w:rsidRDefault="00000000">
            <w:pPr>
              <w:jc w:val="center"/>
              <w:rPr>
                <w:b/>
                <w:color w:val="000000"/>
                <w:sz w:val="24"/>
                <w:szCs w:val="24"/>
              </w:rPr>
            </w:pPr>
            <w:r>
              <w:rPr>
                <w:b/>
                <w:color w:val="000000"/>
                <w:sz w:val="24"/>
                <w:szCs w:val="24"/>
              </w:rPr>
              <w:t>Motifs d'écartement</w:t>
            </w:r>
          </w:p>
        </w:tc>
      </w:tr>
    </w:tbl>
    <w:p w14:paraId="3C764E47" w14:textId="77777777" w:rsidR="00745801" w:rsidRDefault="00000000">
      <w:pPr>
        <w:spacing w:before="120"/>
        <w:ind w:right="113"/>
        <w:jc w:val="both"/>
        <w:rPr>
          <w:sz w:val="24"/>
          <w:szCs w:val="24"/>
        </w:rPr>
      </w:pPr>
      <w:r>
        <w:rPr>
          <w:sz w:val="22"/>
          <w:szCs w:val="22"/>
        </w:rPr>
        <w:t>${</w:t>
      </w:r>
      <w:r>
        <w:rPr>
          <w:rFonts w:ascii="Courier New" w:eastAsia="Courier New" w:hAnsi="Courier New" w:cs="Courier New"/>
          <w:color w:val="CE9178"/>
          <w:sz w:val="21"/>
          <w:szCs w:val="21"/>
        </w:rPr>
        <w:t>excessive</w:t>
      </w:r>
      <w:r>
        <w:rPr>
          <w:sz w:val="22"/>
          <w:szCs w:val="22"/>
        </w:rPr>
        <w:t>}</w:t>
      </w:r>
    </w:p>
    <w:tbl>
      <w:tblPr>
        <w:tblStyle w:val="a7"/>
        <w:tblW w:w="10080" w:type="dxa"/>
        <w:tblInd w:w="55" w:type="dxa"/>
        <w:tblLayout w:type="fixed"/>
        <w:tblLook w:val="0400" w:firstRow="0" w:lastRow="0" w:firstColumn="0" w:lastColumn="0" w:noHBand="0" w:noVBand="1"/>
      </w:tblPr>
      <w:tblGrid>
        <w:gridCol w:w="4410"/>
        <w:gridCol w:w="5670"/>
      </w:tblGrid>
      <w:tr w:rsidR="00745801" w14:paraId="4BB2C7BB" w14:textId="77777777">
        <w:trPr>
          <w:trHeight w:val="450"/>
        </w:trPr>
        <w:tc>
          <w:tcPr>
            <w:tcW w:w="44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A5DCC7" w14:textId="77777777" w:rsidR="00745801" w:rsidRDefault="00000000">
            <w:pPr>
              <w:jc w:val="center"/>
              <w:rPr>
                <w:b/>
                <w:sz w:val="24"/>
                <w:szCs w:val="24"/>
              </w:rPr>
            </w:pPr>
            <w:r>
              <w:rPr>
                <w:b/>
                <w:sz w:val="24"/>
                <w:szCs w:val="24"/>
              </w:rPr>
              <w:t>${1}</w:t>
            </w:r>
          </w:p>
        </w:tc>
        <w:tc>
          <w:tcPr>
            <w:tcW w:w="5670" w:type="dxa"/>
            <w:tcBorders>
              <w:top w:val="single" w:sz="8" w:space="0" w:color="000000"/>
              <w:left w:val="nil"/>
              <w:bottom w:val="single" w:sz="8" w:space="0" w:color="000000"/>
              <w:right w:val="single" w:sz="8" w:space="0" w:color="000000"/>
            </w:tcBorders>
            <w:shd w:val="clear" w:color="auto" w:fill="FFFFFF"/>
            <w:vAlign w:val="center"/>
          </w:tcPr>
          <w:p w14:paraId="73136FBE" w14:textId="77777777" w:rsidR="00745801" w:rsidRDefault="00000000">
            <w:pPr>
              <w:jc w:val="center"/>
              <w:rPr>
                <w:b/>
                <w:sz w:val="24"/>
                <w:szCs w:val="24"/>
              </w:rPr>
            </w:pPr>
            <w:r>
              <w:rPr>
                <w:b/>
                <w:sz w:val="24"/>
                <w:szCs w:val="24"/>
              </w:rPr>
              <w:t>${2}</w:t>
            </w:r>
          </w:p>
        </w:tc>
      </w:tr>
    </w:tbl>
    <w:p w14:paraId="24A52694" w14:textId="77777777" w:rsidR="00745801" w:rsidRDefault="00000000">
      <w:pPr>
        <w:spacing w:line="276" w:lineRule="auto"/>
        <w:ind w:right="140"/>
        <w:jc w:val="both"/>
        <w:rPr>
          <w:sz w:val="22"/>
          <w:szCs w:val="22"/>
        </w:rPr>
      </w:pPr>
      <w:r>
        <w:rPr>
          <w:sz w:val="22"/>
          <w:szCs w:val="22"/>
        </w:rPr>
        <w:t>${/</w:t>
      </w:r>
      <w:r>
        <w:rPr>
          <w:rFonts w:ascii="Courier New" w:eastAsia="Courier New" w:hAnsi="Courier New" w:cs="Courier New"/>
          <w:color w:val="CE9178"/>
          <w:sz w:val="21"/>
          <w:szCs w:val="21"/>
        </w:rPr>
        <w:t>excessive</w:t>
      </w:r>
      <w:r>
        <w:rPr>
          <w:sz w:val="22"/>
          <w:szCs w:val="22"/>
        </w:rPr>
        <w:t>}</w:t>
      </w:r>
    </w:p>
    <w:p w14:paraId="6EC5C6D7" w14:textId="77777777" w:rsidR="00745801" w:rsidRDefault="00000000">
      <w:pPr>
        <w:spacing w:line="276" w:lineRule="auto"/>
        <w:ind w:right="140"/>
        <w:jc w:val="both"/>
        <w:rPr>
          <w:sz w:val="22"/>
          <w:szCs w:val="22"/>
        </w:rPr>
      </w:pPr>
      <w:bookmarkStart w:id="0" w:name="_gjdgxs" w:colFirst="0" w:colLast="0"/>
      <w:bookmarkEnd w:id="0"/>
      <w:r>
        <w:rPr>
          <w:sz w:val="22"/>
          <w:szCs w:val="22"/>
        </w:rPr>
        <w:t>Elle arrête alors la liste définitive des concurrents retenus à savoir :</w:t>
      </w:r>
    </w:p>
    <w:p w14:paraId="346A2675" w14:textId="77777777" w:rsidR="00745801" w:rsidRDefault="00745801">
      <w:pPr>
        <w:spacing w:line="276" w:lineRule="auto"/>
        <w:ind w:right="140"/>
        <w:jc w:val="both"/>
        <w:rPr>
          <w:sz w:val="22"/>
          <w:szCs w:val="22"/>
        </w:rPr>
      </w:pPr>
    </w:p>
    <w:tbl>
      <w:tblPr>
        <w:tblStyle w:val="a8"/>
        <w:tblW w:w="8575" w:type="dxa"/>
        <w:jc w:val="center"/>
        <w:tblInd w:w="0" w:type="dxa"/>
        <w:tblLayout w:type="fixed"/>
        <w:tblLook w:val="0400" w:firstRow="0" w:lastRow="0" w:firstColumn="0" w:lastColumn="0" w:noHBand="0" w:noVBand="1"/>
      </w:tblPr>
      <w:tblGrid>
        <w:gridCol w:w="603"/>
        <w:gridCol w:w="5209"/>
        <w:gridCol w:w="2763"/>
      </w:tblGrid>
      <w:tr w:rsidR="00745801" w14:paraId="0A555D23" w14:textId="77777777">
        <w:trPr>
          <w:trHeight w:val="746"/>
          <w:jc w:val="center"/>
        </w:trPr>
        <w:tc>
          <w:tcPr>
            <w:tcW w:w="60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6752362F" w14:textId="77777777" w:rsidR="00745801" w:rsidRDefault="00000000">
            <w:pPr>
              <w:jc w:val="center"/>
              <w:rPr>
                <w:b/>
                <w:color w:val="000000"/>
                <w:sz w:val="22"/>
                <w:szCs w:val="22"/>
              </w:rPr>
            </w:pPr>
            <w:r>
              <w:rPr>
                <w:b/>
                <w:color w:val="000000"/>
                <w:sz w:val="22"/>
                <w:szCs w:val="22"/>
              </w:rPr>
              <w:t>N°</w:t>
            </w:r>
          </w:p>
        </w:tc>
        <w:tc>
          <w:tcPr>
            <w:tcW w:w="520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F5A78D" w14:textId="0DE86130" w:rsidR="00745801" w:rsidRDefault="004A7631">
            <w:pPr>
              <w:jc w:val="center"/>
              <w:rPr>
                <w:b/>
                <w:color w:val="000000"/>
                <w:sz w:val="22"/>
                <w:szCs w:val="22"/>
              </w:rPr>
            </w:pPr>
            <w:r>
              <w:rPr>
                <w:b/>
                <w:color w:val="000000"/>
                <w:sz w:val="22"/>
                <w:szCs w:val="22"/>
              </w:rPr>
              <w:t>Concurrents</w:t>
            </w:r>
            <w:r w:rsidR="00000000">
              <w:rPr>
                <w:b/>
                <w:color w:val="000000"/>
                <w:sz w:val="22"/>
                <w:szCs w:val="22"/>
              </w:rPr>
              <w:t xml:space="preserve"> admissibles</w:t>
            </w:r>
          </w:p>
        </w:tc>
        <w:tc>
          <w:tcPr>
            <w:tcW w:w="276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629BD71" w14:textId="77777777" w:rsidR="00745801" w:rsidRDefault="00000000">
            <w:pPr>
              <w:jc w:val="center"/>
              <w:rPr>
                <w:b/>
                <w:color w:val="000000"/>
                <w:sz w:val="22"/>
                <w:szCs w:val="22"/>
              </w:rPr>
            </w:pPr>
            <w:r>
              <w:rPr>
                <w:b/>
                <w:color w:val="000000"/>
                <w:sz w:val="22"/>
                <w:szCs w:val="22"/>
              </w:rPr>
              <w:t>Montant des actes d’engagement après vérification en DH TTC</w:t>
            </w:r>
          </w:p>
        </w:tc>
      </w:tr>
    </w:tbl>
    <w:p w14:paraId="07E2CD54" w14:textId="77777777" w:rsidR="00745801" w:rsidRDefault="00745801">
      <w:pPr>
        <w:spacing w:line="276" w:lineRule="auto"/>
        <w:ind w:right="140"/>
        <w:jc w:val="both"/>
        <w:rPr>
          <w:sz w:val="22"/>
          <w:szCs w:val="22"/>
        </w:rPr>
      </w:pPr>
    </w:p>
    <w:p w14:paraId="22EBB92E" w14:textId="77777777" w:rsidR="00745801" w:rsidRDefault="00000000">
      <w:pPr>
        <w:spacing w:line="276" w:lineRule="auto"/>
        <w:ind w:right="140"/>
        <w:jc w:val="both"/>
        <w:rPr>
          <w:sz w:val="22"/>
          <w:szCs w:val="22"/>
        </w:rPr>
      </w:pPr>
      <w:r>
        <w:rPr>
          <w:sz w:val="24"/>
          <w:szCs w:val="24"/>
        </w:rPr>
        <w:t>${</w:t>
      </w:r>
      <w:proofErr w:type="spellStart"/>
      <w:r>
        <w:rPr>
          <w:rFonts w:ascii="Courier New" w:eastAsia="Courier New" w:hAnsi="Courier New" w:cs="Courier New"/>
          <w:color w:val="CE9178"/>
          <w:sz w:val="21"/>
          <w:szCs w:val="21"/>
        </w:rPr>
        <w:t>non_excessive</w:t>
      </w:r>
      <w:proofErr w:type="spellEnd"/>
      <w:r>
        <w:rPr>
          <w:sz w:val="24"/>
          <w:szCs w:val="24"/>
        </w:rPr>
        <w:t>}</w:t>
      </w:r>
    </w:p>
    <w:tbl>
      <w:tblPr>
        <w:tblStyle w:val="a9"/>
        <w:tblW w:w="8575" w:type="dxa"/>
        <w:jc w:val="center"/>
        <w:tblInd w:w="0" w:type="dxa"/>
        <w:tblLayout w:type="fixed"/>
        <w:tblLook w:val="0400" w:firstRow="0" w:lastRow="0" w:firstColumn="0" w:lastColumn="0" w:noHBand="0" w:noVBand="1"/>
      </w:tblPr>
      <w:tblGrid>
        <w:gridCol w:w="603"/>
        <w:gridCol w:w="5209"/>
        <w:gridCol w:w="2763"/>
      </w:tblGrid>
      <w:tr w:rsidR="00745801" w14:paraId="48B47CBA" w14:textId="77777777">
        <w:trPr>
          <w:trHeight w:val="405"/>
          <w:jc w:val="center"/>
        </w:trPr>
        <w:tc>
          <w:tcPr>
            <w:tcW w:w="6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2BCCE3" w14:textId="77777777" w:rsidR="00745801" w:rsidRDefault="00000000">
            <w:pPr>
              <w:jc w:val="center"/>
              <w:rPr>
                <w:b/>
              </w:rPr>
            </w:pPr>
            <w:r>
              <w:rPr>
                <w:b/>
              </w:rPr>
              <w:t>${0}</w:t>
            </w:r>
          </w:p>
        </w:tc>
        <w:tc>
          <w:tcPr>
            <w:tcW w:w="5209" w:type="dxa"/>
            <w:tcBorders>
              <w:top w:val="single" w:sz="4" w:space="0" w:color="000000"/>
              <w:left w:val="nil"/>
              <w:bottom w:val="single" w:sz="4" w:space="0" w:color="000000"/>
              <w:right w:val="single" w:sz="4" w:space="0" w:color="000000"/>
            </w:tcBorders>
            <w:shd w:val="clear" w:color="auto" w:fill="auto"/>
            <w:vAlign w:val="center"/>
          </w:tcPr>
          <w:p w14:paraId="535FFCA0" w14:textId="77777777" w:rsidR="00745801" w:rsidRDefault="00000000">
            <w:pPr>
              <w:jc w:val="center"/>
              <w:rPr>
                <w:b/>
                <w:sz w:val="24"/>
                <w:szCs w:val="24"/>
              </w:rPr>
            </w:pPr>
            <w:r>
              <w:rPr>
                <w:b/>
                <w:sz w:val="24"/>
                <w:szCs w:val="24"/>
              </w:rPr>
              <w:t>${1}</w:t>
            </w:r>
          </w:p>
        </w:tc>
        <w:tc>
          <w:tcPr>
            <w:tcW w:w="2763" w:type="dxa"/>
            <w:tcBorders>
              <w:top w:val="single" w:sz="4" w:space="0" w:color="000000"/>
              <w:left w:val="nil"/>
              <w:bottom w:val="single" w:sz="4" w:space="0" w:color="000000"/>
              <w:right w:val="single" w:sz="4" w:space="0" w:color="000000"/>
            </w:tcBorders>
            <w:shd w:val="clear" w:color="auto" w:fill="auto"/>
            <w:vAlign w:val="center"/>
          </w:tcPr>
          <w:p w14:paraId="246B7000" w14:textId="77777777" w:rsidR="00745801" w:rsidRDefault="00000000">
            <w:pPr>
              <w:jc w:val="center"/>
              <w:rPr>
                <w:b/>
                <w:sz w:val="28"/>
                <w:szCs w:val="28"/>
              </w:rPr>
            </w:pPr>
            <w:r>
              <w:rPr>
                <w:b/>
                <w:sz w:val="28"/>
                <w:szCs w:val="28"/>
              </w:rPr>
              <w:t xml:space="preserve">     ${2}</w:t>
            </w:r>
          </w:p>
        </w:tc>
      </w:tr>
    </w:tbl>
    <w:p w14:paraId="4F21C569" w14:textId="77777777" w:rsidR="00745801" w:rsidRDefault="00000000">
      <w:pPr>
        <w:spacing w:line="276" w:lineRule="auto"/>
        <w:ind w:right="140"/>
        <w:jc w:val="both"/>
        <w:rPr>
          <w:sz w:val="24"/>
          <w:szCs w:val="24"/>
        </w:rPr>
      </w:pPr>
      <w:r>
        <w:rPr>
          <w:sz w:val="24"/>
          <w:szCs w:val="24"/>
        </w:rPr>
        <w:t>${/</w:t>
      </w:r>
      <w:proofErr w:type="spellStart"/>
      <w:r>
        <w:rPr>
          <w:rFonts w:ascii="Courier New" w:eastAsia="Courier New" w:hAnsi="Courier New" w:cs="Courier New"/>
          <w:color w:val="CE9178"/>
          <w:sz w:val="21"/>
          <w:szCs w:val="21"/>
        </w:rPr>
        <w:t>non_excessive</w:t>
      </w:r>
      <w:proofErr w:type="spellEnd"/>
      <w:r>
        <w:rPr>
          <w:sz w:val="24"/>
          <w:szCs w:val="24"/>
        </w:rPr>
        <w:t>}</w:t>
      </w:r>
    </w:p>
    <w:p w14:paraId="5D9F1ED1" w14:textId="77777777" w:rsidR="00745801" w:rsidRDefault="00745801">
      <w:pPr>
        <w:spacing w:line="276" w:lineRule="auto"/>
        <w:ind w:right="140"/>
        <w:jc w:val="both"/>
        <w:rPr>
          <w:sz w:val="24"/>
          <w:szCs w:val="24"/>
        </w:rPr>
      </w:pPr>
    </w:p>
    <w:p w14:paraId="3C6E1151" w14:textId="77777777" w:rsidR="00745801" w:rsidRDefault="00000000">
      <w:pPr>
        <w:spacing w:line="276" w:lineRule="auto"/>
        <w:ind w:right="140"/>
        <w:jc w:val="both"/>
        <w:rPr>
          <w:sz w:val="24"/>
          <w:szCs w:val="24"/>
        </w:rPr>
      </w:pPr>
      <w:r>
        <w:rPr>
          <w:sz w:val="24"/>
          <w:szCs w:val="24"/>
        </w:rPr>
        <w:t>${</w:t>
      </w:r>
      <w:proofErr w:type="spellStart"/>
      <w:r>
        <w:rPr>
          <w:rFonts w:ascii="Courier New" w:eastAsia="Courier New" w:hAnsi="Courier New" w:cs="Courier New"/>
          <w:color w:val="CE9178"/>
          <w:sz w:val="21"/>
          <w:szCs w:val="21"/>
        </w:rPr>
        <w:t>min_concurrent</w:t>
      </w:r>
      <w:proofErr w:type="spellEnd"/>
      <w:r>
        <w:rPr>
          <w:sz w:val="24"/>
          <w:szCs w:val="24"/>
        </w:rPr>
        <w:t>}</w:t>
      </w:r>
    </w:p>
    <w:p w14:paraId="659B1EA6" w14:textId="77777777" w:rsidR="00745801" w:rsidRDefault="00000000" w:rsidP="004A7631">
      <w:pPr>
        <w:spacing w:line="276" w:lineRule="auto"/>
        <w:ind w:right="140"/>
        <w:jc w:val="right"/>
        <w:rPr>
          <w:b/>
          <w:color w:val="000000"/>
          <w:sz w:val="24"/>
          <w:szCs w:val="24"/>
        </w:rPr>
      </w:pPr>
      <w:r>
        <w:rPr>
          <w:sz w:val="22"/>
          <w:szCs w:val="22"/>
        </w:rPr>
        <w:t xml:space="preserve">L’offre la moins </w:t>
      </w:r>
      <w:proofErr w:type="spellStart"/>
      <w:r>
        <w:rPr>
          <w:sz w:val="24"/>
          <w:szCs w:val="24"/>
        </w:rPr>
        <w:t>disante</w:t>
      </w:r>
      <w:proofErr w:type="spellEnd"/>
      <w:r>
        <w:rPr>
          <w:sz w:val="24"/>
          <w:szCs w:val="24"/>
        </w:rPr>
        <w:t xml:space="preserve"> est présentée par la </w:t>
      </w:r>
      <w:r>
        <w:rPr>
          <w:b/>
          <w:sz w:val="24"/>
          <w:szCs w:val="24"/>
        </w:rPr>
        <w:t>${0}</w:t>
      </w:r>
      <w:r>
        <w:rPr>
          <w:b/>
          <w:color w:val="000000"/>
        </w:rPr>
        <w:t>.</w:t>
      </w:r>
      <w:r>
        <w:rPr>
          <w:color w:val="000000"/>
          <w:sz w:val="24"/>
          <w:szCs w:val="24"/>
        </w:rPr>
        <w:t xml:space="preserve"> </w:t>
      </w:r>
      <w:proofErr w:type="gramStart"/>
      <w:r>
        <w:rPr>
          <w:color w:val="000000"/>
          <w:sz w:val="24"/>
          <w:szCs w:val="24"/>
        </w:rPr>
        <w:t>d’un</w:t>
      </w:r>
      <w:proofErr w:type="gramEnd"/>
      <w:r>
        <w:rPr>
          <w:color w:val="000000"/>
          <w:sz w:val="24"/>
          <w:szCs w:val="24"/>
        </w:rPr>
        <w:t xml:space="preserve"> montant de:</w:t>
      </w:r>
      <w:r>
        <w:rPr>
          <w:b/>
          <w:sz w:val="24"/>
          <w:szCs w:val="24"/>
        </w:rPr>
        <w:t xml:space="preserve">   </w:t>
      </w:r>
      <w:r>
        <w:rPr>
          <w:b/>
          <w:sz w:val="28"/>
          <w:szCs w:val="28"/>
        </w:rPr>
        <w:t xml:space="preserve">${1},00 </w:t>
      </w:r>
      <w:r>
        <w:rPr>
          <w:b/>
          <w:color w:val="000000"/>
          <w:sz w:val="24"/>
          <w:szCs w:val="24"/>
        </w:rPr>
        <w:t>DH TTC</w:t>
      </w:r>
      <w:r>
        <w:rPr>
          <w:b/>
          <w:sz w:val="24"/>
          <w:szCs w:val="24"/>
        </w:rPr>
        <w:t xml:space="preserve"> </w:t>
      </w:r>
      <w:r>
        <w:rPr>
          <w:b/>
          <w:color w:val="000000"/>
          <w:sz w:val="24"/>
          <w:szCs w:val="24"/>
        </w:rPr>
        <w:t>.</w:t>
      </w:r>
    </w:p>
    <w:p w14:paraId="0AF3B86D" w14:textId="77777777" w:rsidR="00745801" w:rsidRDefault="00000000" w:rsidP="004A7631">
      <w:pPr>
        <w:spacing w:line="276" w:lineRule="auto"/>
        <w:ind w:firstLine="709"/>
        <w:jc w:val="right"/>
        <w:rPr>
          <w:sz w:val="24"/>
          <w:szCs w:val="24"/>
        </w:rPr>
      </w:pPr>
      <w:r>
        <w:rPr>
          <w:sz w:val="24"/>
          <w:szCs w:val="24"/>
        </w:rPr>
        <w:t>La commission invite par la suite, la $</w:t>
      </w:r>
      <w:r>
        <w:rPr>
          <w:b/>
          <w:sz w:val="24"/>
          <w:szCs w:val="24"/>
        </w:rPr>
        <w:t>{0</w:t>
      </w:r>
      <w:proofErr w:type="gramStart"/>
      <w:r>
        <w:rPr>
          <w:b/>
          <w:sz w:val="24"/>
          <w:szCs w:val="24"/>
        </w:rPr>
        <w:t>} </w:t>
      </w:r>
      <w:r>
        <w:rPr>
          <w:sz w:val="24"/>
          <w:szCs w:val="24"/>
        </w:rPr>
        <w:t xml:space="preserve"> de</w:t>
      </w:r>
      <w:proofErr w:type="gramEnd"/>
      <w:r>
        <w:rPr>
          <w:sz w:val="24"/>
          <w:szCs w:val="24"/>
        </w:rPr>
        <w:t xml:space="preserve"> produire les pièces du dossier administratif prévues par le règlement de consultation et de justifier le prix jugé excessif et ce, dans un délai qui ne dépasse pas sept (07) jours à compter de la date de réception de la correspondance (date limite de réception de la réponse), </w:t>
      </w:r>
    </w:p>
    <w:p w14:paraId="42F6D336" w14:textId="77777777" w:rsidR="00745801" w:rsidRDefault="00000000" w:rsidP="004A7631">
      <w:pPr>
        <w:spacing w:line="276" w:lineRule="auto"/>
        <w:ind w:firstLine="709"/>
        <w:jc w:val="right"/>
        <w:rPr>
          <w:sz w:val="24"/>
          <w:szCs w:val="24"/>
        </w:rPr>
      </w:pPr>
      <w:r>
        <w:rPr>
          <w:sz w:val="24"/>
          <w:szCs w:val="24"/>
        </w:rPr>
        <w:t>La commission suspend la séance et fixe la date du “</w:t>
      </w:r>
      <w:proofErr w:type="spellStart"/>
      <w:r>
        <w:rPr>
          <w:b/>
          <w:sz w:val="24"/>
          <w:szCs w:val="24"/>
        </w:rPr>
        <w:t>Determiner</w:t>
      </w:r>
      <w:proofErr w:type="spellEnd"/>
      <w:r>
        <w:rPr>
          <w:b/>
          <w:sz w:val="24"/>
          <w:szCs w:val="24"/>
        </w:rPr>
        <w:t xml:space="preserve"> la date”</w:t>
      </w:r>
      <w:r>
        <w:rPr>
          <w:sz w:val="24"/>
          <w:szCs w:val="24"/>
        </w:rPr>
        <w:t xml:space="preserve"> pour la reprise des travaux de la séance. Toutefois, le président de la commission peut inviter les membres de la commission pour la reprise de ses travaux dès la réception de la réponse du concurrent adressé.</w:t>
      </w:r>
    </w:p>
    <w:p w14:paraId="12119F81" w14:textId="77777777" w:rsidR="00745801" w:rsidRDefault="00000000">
      <w:pPr>
        <w:spacing w:line="276" w:lineRule="auto"/>
        <w:ind w:right="140"/>
        <w:jc w:val="both"/>
        <w:rPr>
          <w:sz w:val="24"/>
          <w:szCs w:val="24"/>
        </w:rPr>
      </w:pPr>
      <w:r>
        <w:rPr>
          <w:sz w:val="24"/>
          <w:szCs w:val="24"/>
        </w:rPr>
        <w:t>${/</w:t>
      </w:r>
      <w:proofErr w:type="spellStart"/>
      <w:r>
        <w:rPr>
          <w:rFonts w:ascii="Courier New" w:eastAsia="Courier New" w:hAnsi="Courier New" w:cs="Courier New"/>
          <w:color w:val="CE9178"/>
          <w:sz w:val="21"/>
          <w:szCs w:val="21"/>
        </w:rPr>
        <w:t>min_concurrent</w:t>
      </w:r>
      <w:proofErr w:type="spellEnd"/>
      <w:r>
        <w:rPr>
          <w:sz w:val="24"/>
          <w:szCs w:val="24"/>
        </w:rPr>
        <w:t>}</w:t>
      </w:r>
    </w:p>
    <w:p w14:paraId="4920C605" w14:textId="77777777" w:rsidR="00745801" w:rsidRDefault="00745801">
      <w:pPr>
        <w:ind w:firstLine="709"/>
        <w:jc w:val="center"/>
        <w:rPr>
          <w:sz w:val="24"/>
          <w:szCs w:val="24"/>
        </w:rPr>
      </w:pPr>
    </w:p>
    <w:p w14:paraId="09598377" w14:textId="77777777" w:rsidR="00745801" w:rsidRDefault="00000000">
      <w:pPr>
        <w:ind w:firstLine="709"/>
        <w:jc w:val="center"/>
        <w:rPr>
          <w:sz w:val="24"/>
          <w:szCs w:val="24"/>
        </w:rPr>
      </w:pPr>
      <w:r>
        <w:rPr>
          <w:sz w:val="24"/>
          <w:szCs w:val="24"/>
        </w:rPr>
        <w:t xml:space="preserve">Fait à MDIQ le : </w:t>
      </w:r>
      <w:r>
        <w:rPr>
          <w:b/>
          <w:sz w:val="24"/>
          <w:szCs w:val="24"/>
        </w:rPr>
        <w:t xml:space="preserve">     </w:t>
      </w:r>
    </w:p>
    <w:p w14:paraId="4A1510F2" w14:textId="77777777" w:rsidR="00745801" w:rsidRDefault="00745801">
      <w:pPr>
        <w:ind w:firstLine="709"/>
        <w:jc w:val="right"/>
        <w:rPr>
          <w:sz w:val="24"/>
          <w:szCs w:val="24"/>
        </w:rPr>
      </w:pPr>
    </w:p>
    <w:tbl>
      <w:tblPr>
        <w:tblStyle w:val="aa"/>
        <w:tblW w:w="100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2354"/>
        <w:gridCol w:w="5103"/>
      </w:tblGrid>
      <w:tr w:rsidR="00745801" w14:paraId="4AAF48DA" w14:textId="77777777">
        <w:trPr>
          <w:trHeight w:val="483"/>
          <w:jc w:val="center"/>
        </w:trPr>
        <w:tc>
          <w:tcPr>
            <w:tcW w:w="2638" w:type="dxa"/>
            <w:shd w:val="clear" w:color="auto" w:fill="C5D9F0"/>
            <w:vAlign w:val="center"/>
          </w:tcPr>
          <w:p w14:paraId="2537EDE8" w14:textId="77777777" w:rsidR="00745801" w:rsidRDefault="00000000">
            <w:pPr>
              <w:pBdr>
                <w:top w:val="nil"/>
                <w:left w:val="nil"/>
                <w:bottom w:val="nil"/>
                <w:right w:val="nil"/>
                <w:between w:val="nil"/>
              </w:pBdr>
              <w:spacing w:line="272" w:lineRule="auto"/>
              <w:ind w:left="70" w:right="19"/>
              <w:jc w:val="center"/>
              <w:rPr>
                <w:rFonts w:ascii="Arial" w:eastAsia="Arial" w:hAnsi="Arial" w:cs="Arial"/>
                <w:b/>
                <w:color w:val="000000"/>
                <w:sz w:val="32"/>
                <w:szCs w:val="32"/>
              </w:rPr>
            </w:pPr>
            <w:r>
              <w:rPr>
                <w:rFonts w:ascii="Arial" w:eastAsia="Arial" w:hAnsi="Arial" w:cs="Arial"/>
                <w:b/>
                <w:color w:val="000000"/>
                <w:sz w:val="32"/>
                <w:szCs w:val="32"/>
              </w:rPr>
              <w:t>Nom et Prénom</w:t>
            </w:r>
          </w:p>
        </w:tc>
        <w:tc>
          <w:tcPr>
            <w:tcW w:w="2354" w:type="dxa"/>
            <w:shd w:val="clear" w:color="auto" w:fill="C5D9F0"/>
            <w:vAlign w:val="center"/>
          </w:tcPr>
          <w:p w14:paraId="6DAE9686" w14:textId="77777777" w:rsidR="00745801" w:rsidRDefault="00000000">
            <w:pPr>
              <w:pBdr>
                <w:top w:val="nil"/>
                <w:left w:val="nil"/>
                <w:bottom w:val="nil"/>
                <w:right w:val="nil"/>
                <w:between w:val="nil"/>
              </w:pBdr>
              <w:spacing w:line="272" w:lineRule="auto"/>
              <w:jc w:val="center"/>
              <w:rPr>
                <w:rFonts w:ascii="Arial" w:eastAsia="Arial" w:hAnsi="Arial" w:cs="Arial"/>
                <w:b/>
                <w:color w:val="000000"/>
                <w:sz w:val="32"/>
                <w:szCs w:val="32"/>
              </w:rPr>
            </w:pPr>
            <w:r>
              <w:rPr>
                <w:rFonts w:ascii="Arial" w:eastAsia="Arial" w:hAnsi="Arial" w:cs="Arial"/>
                <w:b/>
                <w:color w:val="000000"/>
                <w:sz w:val="32"/>
                <w:szCs w:val="32"/>
              </w:rPr>
              <w:t>Qualité</w:t>
            </w:r>
          </w:p>
        </w:tc>
        <w:tc>
          <w:tcPr>
            <w:tcW w:w="5103" w:type="dxa"/>
            <w:shd w:val="clear" w:color="auto" w:fill="C5D9F0"/>
            <w:vAlign w:val="center"/>
          </w:tcPr>
          <w:p w14:paraId="5DD18A30" w14:textId="77777777" w:rsidR="00745801" w:rsidRDefault="00000000">
            <w:pPr>
              <w:pBdr>
                <w:top w:val="nil"/>
                <w:left w:val="nil"/>
                <w:bottom w:val="nil"/>
                <w:right w:val="nil"/>
                <w:between w:val="nil"/>
              </w:pBdr>
              <w:spacing w:line="272" w:lineRule="auto"/>
              <w:ind w:left="847"/>
              <w:jc w:val="center"/>
              <w:rPr>
                <w:rFonts w:ascii="Arial" w:eastAsia="Arial" w:hAnsi="Arial" w:cs="Arial"/>
                <w:b/>
                <w:color w:val="000000"/>
                <w:sz w:val="32"/>
                <w:szCs w:val="32"/>
              </w:rPr>
            </w:pPr>
            <w:r>
              <w:rPr>
                <w:rFonts w:ascii="Arial" w:eastAsia="Arial" w:hAnsi="Arial" w:cs="Arial"/>
                <w:b/>
                <w:color w:val="000000"/>
                <w:sz w:val="32"/>
                <w:szCs w:val="32"/>
              </w:rPr>
              <w:t>SIGNATURE</w:t>
            </w:r>
          </w:p>
        </w:tc>
      </w:tr>
    </w:tbl>
    <w:p w14:paraId="418A9EE0" w14:textId="77777777" w:rsidR="00745801" w:rsidRDefault="00000000">
      <w:pPr>
        <w:spacing w:before="120" w:after="120"/>
        <w:ind w:right="113"/>
        <w:jc w:val="both"/>
        <w:rPr>
          <w:sz w:val="24"/>
          <w:szCs w:val="24"/>
        </w:rPr>
      </w:pPr>
      <w:r>
        <w:rPr>
          <w:sz w:val="24"/>
          <w:szCs w:val="24"/>
        </w:rPr>
        <w:t>${</w:t>
      </w:r>
      <w:proofErr w:type="spellStart"/>
      <w:r>
        <w:rPr>
          <w:sz w:val="24"/>
          <w:szCs w:val="24"/>
        </w:rPr>
        <w:t>block_juriess</w:t>
      </w:r>
      <w:proofErr w:type="spellEnd"/>
      <w:r>
        <w:rPr>
          <w:sz w:val="24"/>
          <w:szCs w:val="24"/>
        </w:rPr>
        <w:t>}</w:t>
      </w:r>
    </w:p>
    <w:tbl>
      <w:tblPr>
        <w:tblStyle w:val="ab"/>
        <w:tblW w:w="1009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2354"/>
        <w:gridCol w:w="5103"/>
      </w:tblGrid>
      <w:tr w:rsidR="00745801" w14:paraId="070B314F" w14:textId="77777777">
        <w:trPr>
          <w:trHeight w:val="1139"/>
          <w:jc w:val="center"/>
        </w:trPr>
        <w:tc>
          <w:tcPr>
            <w:tcW w:w="2638" w:type="dxa"/>
            <w:vAlign w:val="center"/>
          </w:tcPr>
          <w:p w14:paraId="7DFDBC61" w14:textId="77777777" w:rsidR="00745801" w:rsidRDefault="00000000">
            <w:pPr>
              <w:widowControl/>
              <w:tabs>
                <w:tab w:val="left" w:pos="284"/>
                <w:tab w:val="left" w:pos="142"/>
              </w:tabs>
              <w:ind w:left="284" w:firstLine="283"/>
              <w:jc w:val="both"/>
              <w:rPr>
                <w:rFonts w:ascii="Garamond" w:eastAsia="Garamond" w:hAnsi="Garamond" w:cs="Garamond"/>
                <w:b/>
                <w:sz w:val="24"/>
                <w:szCs w:val="24"/>
              </w:rPr>
            </w:pPr>
            <w:r>
              <w:rPr>
                <w:sz w:val="24"/>
                <w:szCs w:val="24"/>
              </w:rPr>
              <w:t>${1</w:t>
            </w:r>
            <w:proofErr w:type="gramStart"/>
            <w:r>
              <w:rPr>
                <w:sz w:val="24"/>
                <w:szCs w:val="24"/>
              </w:rPr>
              <w:t>}  $</w:t>
            </w:r>
            <w:proofErr w:type="gramEnd"/>
            <w:r>
              <w:rPr>
                <w:sz w:val="24"/>
                <w:szCs w:val="24"/>
              </w:rPr>
              <w:t>{0}</w:t>
            </w:r>
          </w:p>
        </w:tc>
        <w:tc>
          <w:tcPr>
            <w:tcW w:w="2354" w:type="dxa"/>
            <w:vAlign w:val="center"/>
          </w:tcPr>
          <w:p w14:paraId="0A30E09C" w14:textId="77777777" w:rsidR="00745801" w:rsidRDefault="00000000">
            <w:pPr>
              <w:widowControl/>
              <w:jc w:val="center"/>
              <w:rPr>
                <w:rFonts w:ascii="Arial" w:eastAsia="Arial" w:hAnsi="Arial" w:cs="Arial"/>
                <w:b/>
                <w:sz w:val="28"/>
                <w:szCs w:val="28"/>
              </w:rPr>
            </w:pPr>
            <w:r>
              <w:t>${3}</w:t>
            </w:r>
          </w:p>
        </w:tc>
        <w:tc>
          <w:tcPr>
            <w:tcW w:w="5103" w:type="dxa"/>
            <w:vAlign w:val="center"/>
          </w:tcPr>
          <w:p w14:paraId="10256E75" w14:textId="77777777" w:rsidR="00745801" w:rsidRDefault="00745801">
            <w:pPr>
              <w:ind w:left="56"/>
              <w:rPr>
                <w:sz w:val="26"/>
                <w:szCs w:val="26"/>
              </w:rPr>
            </w:pPr>
          </w:p>
        </w:tc>
      </w:tr>
    </w:tbl>
    <w:p w14:paraId="536F5D05" w14:textId="77777777" w:rsidR="00745801" w:rsidRDefault="00000000">
      <w:pPr>
        <w:spacing w:before="120" w:after="120"/>
        <w:ind w:left="113" w:right="113" w:firstLine="709"/>
        <w:jc w:val="both"/>
        <w:rPr>
          <w:sz w:val="24"/>
          <w:szCs w:val="24"/>
        </w:rPr>
      </w:pPr>
      <w:r>
        <w:rPr>
          <w:sz w:val="24"/>
          <w:szCs w:val="24"/>
        </w:rPr>
        <w:t>${/</w:t>
      </w:r>
      <w:proofErr w:type="spellStart"/>
      <w:r>
        <w:rPr>
          <w:sz w:val="24"/>
          <w:szCs w:val="24"/>
        </w:rPr>
        <w:t>block_juriess</w:t>
      </w:r>
      <w:proofErr w:type="spellEnd"/>
      <w:r>
        <w:rPr>
          <w:sz w:val="24"/>
          <w:szCs w:val="24"/>
        </w:rPr>
        <w:t>}</w:t>
      </w:r>
    </w:p>
    <w:sectPr w:rsidR="00745801">
      <w:footerReference w:type="default" r:id="rId8"/>
      <w:pgSz w:w="11907" w:h="16840"/>
      <w:pgMar w:top="284" w:right="851" w:bottom="426" w:left="851" w:header="0" w:footer="4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3A384" w14:textId="77777777" w:rsidR="00DA683F" w:rsidRDefault="00DA683F">
      <w:r>
        <w:separator/>
      </w:r>
    </w:p>
  </w:endnote>
  <w:endnote w:type="continuationSeparator" w:id="0">
    <w:p w14:paraId="5CC5626C" w14:textId="77777777" w:rsidR="00DA683F" w:rsidRDefault="00DA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ligraphic">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7BB8" w14:textId="77777777" w:rsidR="00745801" w:rsidRDefault="00000000">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4A7631">
      <w:rPr>
        <w:noProof/>
        <w:color w:val="000000"/>
        <w:rtl/>
      </w:rPr>
      <w:t>1</w:t>
    </w:r>
    <w:r>
      <w:rPr>
        <w:color w:val="000000"/>
      </w:rPr>
      <w:fldChar w:fldCharType="end"/>
    </w:r>
  </w:p>
  <w:p w14:paraId="0464098E" w14:textId="77777777" w:rsidR="00745801" w:rsidRDefault="00745801">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CEA8" w14:textId="77777777" w:rsidR="00DA683F" w:rsidRDefault="00DA683F">
      <w:r>
        <w:separator/>
      </w:r>
    </w:p>
  </w:footnote>
  <w:footnote w:type="continuationSeparator" w:id="0">
    <w:p w14:paraId="3D4B3D60" w14:textId="77777777" w:rsidR="00DA683F" w:rsidRDefault="00DA6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01"/>
    <w:rsid w:val="004A7631"/>
    <w:rsid w:val="00745801"/>
    <w:rsid w:val="00DA6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9A8E"/>
  <w15:docId w15:val="{7F261B2D-CD60-4B12-A937-50020C24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pPr>
    <w:tblPr>
      <w:tblStyleRowBandSize w:val="1"/>
      <w:tblStyleColBandSize w:val="1"/>
      <w:tblCellMar>
        <w:top w:w="0" w:type="dxa"/>
        <w:left w:w="0" w:type="dxa"/>
        <w:bottom w:w="0" w:type="dxa"/>
        <w:right w:w="0" w:type="dxa"/>
      </w:tblCellMar>
    </w:tblPr>
  </w:style>
  <w:style w:type="table" w:customStyle="1" w:styleId="a0">
    <w:basedOn w:val="TableNormal"/>
    <w:pPr>
      <w:widowControl w:val="0"/>
    </w:pPr>
    <w:tblPr>
      <w:tblStyleRowBandSize w:val="1"/>
      <w:tblStyleColBandSize w:val="1"/>
      <w:tblCellMar>
        <w:top w:w="0" w:type="dxa"/>
        <w:left w:w="0" w:type="dxa"/>
        <w:bottom w:w="0" w:type="dxa"/>
        <w:right w:w="0" w:type="dxa"/>
      </w:tblCellMar>
    </w:tblPr>
  </w:style>
  <w:style w:type="table" w:customStyle="1" w:styleId="a1">
    <w:basedOn w:val="TableNormal"/>
    <w:pPr>
      <w:widowControl w:val="0"/>
    </w:pPr>
    <w:tblPr>
      <w:tblStyleRowBandSize w:val="1"/>
      <w:tblStyleColBandSize w:val="1"/>
      <w:tblCellMar>
        <w:top w:w="0" w:type="dxa"/>
        <w:left w:w="0" w:type="dxa"/>
        <w:bottom w:w="0" w:type="dxa"/>
        <w:right w:w="0" w:type="dxa"/>
      </w:tblCellMar>
    </w:tblPr>
  </w:style>
  <w:style w:type="table" w:customStyle="1" w:styleId="a2">
    <w:basedOn w:val="TableNormal"/>
    <w:pPr>
      <w:widowControl w:val="0"/>
    </w:pPr>
    <w:tblPr>
      <w:tblStyleRowBandSize w:val="1"/>
      <w:tblStyleColBandSize w:val="1"/>
      <w:tblCellMar>
        <w:top w:w="0" w:type="dxa"/>
        <w:left w:w="0" w:type="dxa"/>
        <w:bottom w:w="0" w:type="dxa"/>
        <w:right w:w="0" w:type="dxa"/>
      </w:tblCellMar>
    </w:tblPr>
  </w:style>
  <w:style w:type="table" w:customStyle="1" w:styleId="a3">
    <w:basedOn w:val="TableNormal"/>
    <w:pPr>
      <w:widowControl w:val="0"/>
    </w:pPr>
    <w:tblPr>
      <w:tblStyleRowBandSize w:val="1"/>
      <w:tblStyleColBandSize w:val="1"/>
      <w:tblCellMar>
        <w:top w:w="0" w:type="dxa"/>
        <w:left w:w="0" w:type="dxa"/>
        <w:bottom w:w="0" w:type="dxa"/>
        <w:right w:w="0" w:type="dxa"/>
      </w:tblCellMar>
    </w:tblPr>
  </w:style>
  <w:style w:type="table" w:customStyle="1" w:styleId="a4">
    <w:basedOn w:val="TableNormal"/>
    <w:pPr>
      <w:widowControl w:val="0"/>
    </w:pPr>
    <w:tblPr>
      <w:tblStyleRowBandSize w:val="1"/>
      <w:tblStyleColBandSize w:val="1"/>
      <w:tblCellMar>
        <w:top w:w="0" w:type="dxa"/>
        <w:left w:w="0" w:type="dxa"/>
        <w:bottom w:w="0" w:type="dxa"/>
        <w:right w:w="0" w:type="dxa"/>
      </w:tblCellMar>
    </w:tblPr>
  </w:style>
  <w:style w:type="table" w:customStyle="1" w:styleId="a5">
    <w:basedOn w:val="TableNormal"/>
    <w:pPr>
      <w:widowControl w:val="0"/>
    </w:pPr>
    <w:tblPr>
      <w:tblStyleRowBandSize w:val="1"/>
      <w:tblStyleColBandSize w:val="1"/>
      <w:tblCellMar>
        <w:top w:w="0" w:type="dxa"/>
        <w:left w:w="0" w:type="dxa"/>
        <w:bottom w:w="0" w:type="dxa"/>
        <w:right w:w="0" w:type="dxa"/>
      </w:tblCellMar>
    </w:tblPr>
  </w:style>
  <w:style w:type="table" w:customStyle="1" w:styleId="a6">
    <w:basedOn w:val="TableNormal"/>
    <w:pPr>
      <w:widowControl w:val="0"/>
    </w:pPr>
    <w:tblPr>
      <w:tblStyleRowBandSize w:val="1"/>
      <w:tblStyleColBandSize w:val="1"/>
      <w:tblCellMar>
        <w:top w:w="0" w:type="dxa"/>
        <w:left w:w="0" w:type="dxa"/>
        <w:bottom w:w="0" w:type="dxa"/>
        <w:right w:w="0" w:type="dxa"/>
      </w:tblCellMar>
    </w:tblPr>
  </w:style>
  <w:style w:type="table" w:customStyle="1" w:styleId="a7">
    <w:basedOn w:val="TableNormal"/>
    <w:pPr>
      <w:widowControl w:val="0"/>
    </w:pPr>
    <w:tblPr>
      <w:tblStyleRowBandSize w:val="1"/>
      <w:tblStyleColBandSize w:val="1"/>
      <w:tblCellMar>
        <w:top w:w="0" w:type="dxa"/>
        <w:left w:w="0" w:type="dxa"/>
        <w:bottom w:w="0" w:type="dxa"/>
        <w:right w:w="0" w:type="dxa"/>
      </w:tblCellMar>
    </w:tblPr>
  </w:style>
  <w:style w:type="table" w:customStyle="1" w:styleId="a8">
    <w:basedOn w:val="TableNormal"/>
    <w:pPr>
      <w:widowControl w:val="0"/>
    </w:pPr>
    <w:tblPr>
      <w:tblStyleRowBandSize w:val="1"/>
      <w:tblStyleColBandSize w:val="1"/>
      <w:tblCellMar>
        <w:top w:w="0" w:type="dxa"/>
        <w:left w:w="0" w:type="dxa"/>
        <w:bottom w:w="0" w:type="dxa"/>
        <w:right w:w="0" w:type="dxa"/>
      </w:tblCellMar>
    </w:tblPr>
  </w:style>
  <w:style w:type="table" w:customStyle="1" w:styleId="a9">
    <w:basedOn w:val="TableNormal"/>
    <w:pPr>
      <w:widowControl w:val="0"/>
    </w:pPr>
    <w:tblPr>
      <w:tblStyleRowBandSize w:val="1"/>
      <w:tblStyleColBandSize w:val="1"/>
      <w:tblCellMar>
        <w:top w:w="0" w:type="dxa"/>
        <w:left w:w="0" w:type="dxa"/>
        <w:bottom w:w="0" w:type="dxa"/>
        <w:right w:w="0" w:type="dxa"/>
      </w:tblCellMar>
    </w:tblPr>
  </w:style>
  <w:style w:type="table" w:customStyle="1" w:styleId="aa">
    <w:basedOn w:val="TableNormal"/>
    <w:pPr>
      <w:widowControl w:val="0"/>
    </w:pPr>
    <w:tblPr>
      <w:tblStyleRowBandSize w:val="1"/>
      <w:tblStyleColBandSize w:val="1"/>
      <w:tblCellMar>
        <w:top w:w="0" w:type="dxa"/>
        <w:left w:w="0" w:type="dxa"/>
        <w:bottom w:w="0" w:type="dxa"/>
        <w:right w:w="0" w:type="dxa"/>
      </w:tblCellMar>
    </w:tblPr>
  </w:style>
  <w:style w:type="table" w:customStyle="1" w:styleId="ab">
    <w:basedOn w:val="TableNormal"/>
    <w:pPr>
      <w:widowControl w:val="0"/>
    </w:pPr>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KAOUTAR BOUDOUFT</cp:lastModifiedBy>
  <cp:revision>2</cp:revision>
  <dcterms:created xsi:type="dcterms:W3CDTF">2022-12-07T11:29:00Z</dcterms:created>
  <dcterms:modified xsi:type="dcterms:W3CDTF">2022-12-07T11:32:00Z</dcterms:modified>
</cp:coreProperties>
</file>