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b/>
          <w:bCs/>
          <w:color w:val="1F3864"/>
          <w:sz w:val="32"/>
          <w:szCs w:val="32"/>
        </w:rPr>
        <w:t xml:space="preserve">Planteamiento del caso: Topic Modeling sobre el corpus del 23F</w:t>
      </w:r>
    </w:p>
    <w:p>
      <w:pPr>
        <w:pStyle w:val="Heading2"/>
        <w:spacing w:after="140" w:before="280"/>
      </w:pPr>
      <w:r>
        <w:rPr>
          <w:b/>
          <w:bCs/>
          <w:color w:val="2E74B5"/>
          <w:sz w:val="26"/>
          <w:szCs w:val="26"/>
        </w:rPr>
        <w:t xml:space="preserve">Pregunta de investigación</w:t>
      </w:r>
    </w:p>
    <w:p>
      <w:pPr>
        <w:spacing w:after="160" w:line="320"/>
        <w:jc w:val="both"/>
      </w:pPr>
      <w:r>
        <w:rPr>
          <w:b w:val="false"/>
          <w:bCs w:val="false"/>
          <w:i w:val="false"/>
          <w:iCs w:val="false"/>
        </w:rPr>
        <w:t xml:space="preserve">El análisis de red del caso anterior responde a </w:t>
      </w:r>
      <w:r>
        <w:rPr>
          <w:b w:val="false"/>
          <w:bCs w:val="false"/>
          <w:i/>
          <w:iCs/>
        </w:rPr>
        <w:t xml:space="preserve">quién</w:t>
      </w:r>
      <w:r>
        <w:rPr>
          <w:b w:val="false"/>
          <w:bCs w:val="false"/>
          <w:i w:val="false"/>
          <w:iCs w:val="false"/>
        </w:rPr>
        <w:t xml:space="preserve"> aparece en los documentos desclasificados. Topic modeling responde a una pregunta complementaria pero distinta: </w:t>
      </w:r>
      <w:r>
        <w:rPr>
          <w:b w:val="false"/>
          <w:bCs w:val="false"/>
          <w:i/>
          <w:iCs/>
        </w:rPr>
        <w:t xml:space="preserve">de qué se habla</w:t>
      </w:r>
      <w:r>
        <w:rPr>
          <w:b w:val="false"/>
          <w:bCs w:val="false"/>
          <w:i w:val="false"/>
          <w:iCs w:val="false"/>
        </w:rPr>
        <w:t xml:space="preserve">. Y, sobre todo, </w:t>
      </w:r>
      <w:r>
        <w:rPr>
          <w:b w:val="false"/>
          <w:bCs w:val="false"/>
          <w:i/>
          <w:iCs/>
        </w:rPr>
        <w:t xml:space="preserve">de qué se habla en cada contexto</w:t>
      </w:r>
      <w:r>
        <w:rPr>
          <w:b w:val="false"/>
          <w:bCs w:val="false"/>
          <w:i w:val="false"/>
          <w:iCs w:val="false"/>
        </w:rPr>
        <w:t xml:space="preserve">: ¿qué temas dominan en cada fase del acontecimiento? ¿documenta cada ministerio una versión temática diferente del golpe? ¿hay temas que solo aparecen en documentos clasificados como secretos y no en los abiertos?</w:t>
      </w:r>
    </w:p>
    <w:p>
      <w:pPr>
        <w:spacing w:after="160" w:line="320"/>
        <w:jc w:val="both"/>
      </w:pPr>
      <w:r>
        <w:rPr>
          <w:b w:val="false"/>
          <w:bCs w:val="false"/>
          <w:i w:val="false"/>
          <w:iCs w:val="false"/>
        </w:rPr>
        <w:t xml:space="preserve">La pregunta de investigación que estructura este caso es: </w:t>
      </w:r>
      <w:r>
        <w:rPr>
          <w:b/>
          <w:bCs/>
          <w:i w:val="false"/>
          <w:iCs w:val="false"/>
        </w:rPr>
        <w:t xml:space="preserve">¿qué estructura temática latente emerge de la documentación desclasificada del</w:t>
      </w:r>
      <w:r>
        <w:rPr>
          <w:b/>
          <w:bCs/>
          <w:i w:val="false"/>
          <w:iCs w:val="false"/>
          <w:color w:val="C00000"/>
        </w:rPr>
        <w:t xml:space="preserve"> 23</w:t>
      </w:r>
      <w:r>
        <w:rPr>
          <w:b/>
          <w:bCs/>
          <w:i w:val="false"/>
          <w:iCs w:val="false"/>
        </w:rPr>
        <w:t xml:space="preserve">F, y cómo se distribuye esa estructura según las dimensiones administrativa, temporal y de clasificación del corpus?</w:t>
      </w:r>
    </w:p>
    <w:p>
      <w:pPr>
        <w:pStyle w:val="Heading2"/>
        <w:spacing w:after="140" w:before="280"/>
      </w:pPr>
      <w:r>
        <w:rPr>
          <w:b/>
          <w:bCs/>
          <w:color w:val="2E74B5"/>
          <w:sz w:val="26"/>
          <w:szCs w:val="26"/>
        </w:rPr>
        <w:t xml:space="preserve">Justificación del caso</w:t>
      </w:r>
    </w:p>
    <w:p>
      <w:pPr>
        <w:spacing w:after="160" w:line="320"/>
        <w:jc w:val="both"/>
      </w:pPr>
      <w:r>
        <w:rPr>
          <w:b w:val="false"/>
          <w:bCs w:val="false"/>
          <w:i w:val="false"/>
          <w:iCs w:val="false"/>
        </w:rPr>
        <w:t xml:space="preserve">Tres razones justifican aplicar topic modeling sobre este corpus y no, por ejemplo, una simple búsqueda por palabras clave. La primera es que el corpus es </w:t>
      </w:r>
      <w:r>
        <w:rPr>
          <w:b/>
          <w:bCs/>
          <w:i w:val="false"/>
          <w:iCs w:val="false"/>
        </w:rPr>
        <w:t xml:space="preserve">heterogéneo en tipología documental</w:t>
      </w:r>
      <w:r>
        <w:rPr>
          <w:b w:val="false"/>
          <w:bCs w:val="false"/>
          <w:i w:val="false"/>
          <w:iCs w:val="false"/>
        </w:rPr>
        <w:t xml:space="preserve">: contiene partes militares, transcripciones del juicio, cables diplomáticos e informes de inteligencia. Una lectura temática documento a documento es viable, pero comparar de forma sistemática los temas que predominan en cada grupo no lo es sin un modelado estadístico que abstraiga el contenido.</w:t>
      </w:r>
    </w:p>
    <w:p>
      <w:pPr>
        <w:spacing w:after="160" w:line="320"/>
        <w:jc w:val="both"/>
      </w:pPr>
      <w:r>
        <w:rPr>
          <w:b w:val="false"/>
          <w:bCs w:val="false"/>
          <w:i w:val="false"/>
          <w:iCs w:val="false"/>
        </w:rPr>
        <w:t xml:space="preserve">La segunda es que </w:t>
      </w:r>
      <w:r>
        <w:rPr>
          <w:b/>
          <w:bCs/>
          <w:i w:val="false"/>
          <w:iCs w:val="false"/>
        </w:rPr>
        <w:t xml:space="preserve">los metadatos administrativos</w:t>
      </w:r>
      <w:r>
        <w:rPr>
          <w:b w:val="false"/>
          <w:bCs w:val="false"/>
          <w:i w:val="false"/>
          <w:iCs w:val="false"/>
        </w:rPr>
        <w:t xml:space="preserve"> (ministerio, sección, clasificación) </w:t>
      </w:r>
      <w:r>
        <w:rPr>
          <w:b/>
          <w:bCs/>
          <w:i w:val="false"/>
          <w:iCs w:val="false"/>
        </w:rPr>
        <w:t xml:space="preserve">y temporales</w:t>
      </w:r>
      <w:r>
        <w:rPr>
          <w:b w:val="false"/>
          <w:bCs w:val="false"/>
          <w:i w:val="false"/>
          <w:iCs w:val="false"/>
        </w:rPr>
        <w:t xml:space="preserve"> (fase, año) </w:t>
      </w:r>
      <w:r>
        <w:rPr>
          <w:b/>
          <w:bCs/>
          <w:i w:val="false"/>
          <w:iCs w:val="false"/>
        </w:rPr>
        <w:t xml:space="preserve">son ricos pero no narrativos</w:t>
      </w:r>
      <w:r>
        <w:rPr>
          <w:b w:val="false"/>
          <w:bCs w:val="false"/>
          <w:i w:val="false"/>
          <w:iCs w:val="false"/>
        </w:rPr>
        <w:t xml:space="preserve">: saber que un documento pertenece a "Defensa, sección CNI, fase juicio oral" no informa sobre su contenido. Cruzar esos metadatos con los temas latentes es precisamente donde el topic modeling aporta valor.</w:t>
      </w:r>
    </w:p>
    <w:p>
      <w:pPr>
        <w:spacing w:after="160" w:line="320"/>
        <w:jc w:val="both"/>
      </w:pPr>
      <w:r>
        <w:rPr>
          <w:b w:val="false"/>
          <w:bCs w:val="false"/>
          <w:i w:val="false"/>
          <w:iCs w:val="false"/>
        </w:rPr>
        <w:t xml:space="preserve">La tercera es que </w:t>
      </w:r>
      <w:r>
        <w:rPr>
          <w:b/>
          <w:bCs/>
          <w:i w:val="false"/>
          <w:iCs w:val="false"/>
        </w:rPr>
        <w:t xml:space="preserve">la hipótesis de partida es interpretable y contrastable</w:t>
      </w:r>
      <w:r>
        <w:rPr>
          <w:b w:val="false"/>
          <w:bCs w:val="false"/>
          <w:i w:val="false"/>
          <w:iCs w:val="false"/>
        </w:rPr>
        <w:t xml:space="preserve">. Cabe esperar a priori que Defensa hable más de operaciones militares, Exteriores de relaciones internacionales e Interior de orden público. Si el topic modeling confirma esa estructura, valida la metodología; si la matiza o la contradice, aporta un hallazgo no trivial. Ambos resultados son académicamente publicables.</w:t>
      </w:r>
    </w:p>
    <w:p>
      <w:pPr>
        <w:pStyle w:val="Heading2"/>
        <w:spacing w:after="140" w:before="280"/>
      </w:pPr>
      <w:r>
        <w:rPr>
          <w:b/>
          <w:bCs/>
          <w:color w:val="2E74B5"/>
          <w:sz w:val="26"/>
          <w:szCs w:val="26"/>
        </w:rPr>
        <w:t xml:space="preserve">Decisión metodológica</w:t>
      </w:r>
    </w:p>
    <w:p>
      <w:pPr>
        <w:spacing w:after="160" w:line="320"/>
        <w:jc w:val="both"/>
      </w:pPr>
      <w:r>
        <w:rPr>
          <w:b/>
          <w:bCs/>
          <w:i w:val="false"/>
          <w:iCs w:val="false"/>
        </w:rPr>
        <w:t xml:space="preserve">Algoritmo seleccionado: BERTopic.</w:t>
      </w:r>
      <w:r>
        <w:rPr>
          <w:b w:val="false"/>
          <w:bCs w:val="false"/>
          <w:i w:val="false"/>
          <w:iCs w:val="false"/>
        </w:rPr>
        <w:t xml:space="preserve"> La decisión está justificada por las características concretas del corpus.</w:t>
      </w:r>
    </w:p>
    <w:p>
      <w:pPr>
        <w:spacing w:after="160" w:line="320"/>
        <w:jc w:val="both"/>
      </w:pPr>
      <w:r>
        <w:rPr>
          <w:b w:val="false"/>
          <w:bCs w:val="false"/>
          <w:i w:val="false"/>
          <w:iCs w:val="false"/>
        </w:rPr>
        <w:t xml:space="preserve">En primer lugar, el </w:t>
      </w:r>
      <w:r>
        <w:rPr>
          <w:b/>
          <w:bCs/>
          <w:i w:val="false"/>
          <w:iCs w:val="false"/>
        </w:rPr>
        <w:t xml:space="preserve">tamaño es reducido</w:t>
      </w:r>
      <w:r>
        <w:rPr>
          <w:b w:val="false"/>
          <w:bCs w:val="false"/>
          <w:i w:val="false"/>
          <w:iCs w:val="false"/>
        </w:rPr>
        <w:t xml:space="preserve"> (</w:t>
      </w:r>
      <w:r>
        <w:rPr>
          <w:b w:val="false"/>
          <w:bCs w:val="false"/>
          <w:i w:val="false"/>
          <w:iCs w:val="false"/>
          <w:color w:val="C00000"/>
        </w:rPr>
        <w:t xml:space="preserve">167 </w:t>
      </w:r>
      <w:r>
        <w:rPr>
          <w:b w:val="false"/>
          <w:bCs w:val="false"/>
          <w:i w:val="false"/>
          <w:iCs w:val="false"/>
        </w:rPr>
        <w:t xml:space="preserve">documentos). LDA funciona estadísticamente bien con miles de documentos; con</w:t>
      </w:r>
      <w:r>
        <w:rPr>
          <w:b w:val="false"/>
          <w:bCs w:val="false"/>
          <w:i w:val="false"/>
          <w:iCs w:val="false"/>
          <w:color w:val="C00000"/>
        </w:rPr>
        <w:t xml:space="preserve"> 167</w:t>
      </w:r>
      <w:r>
        <w:rPr>
          <w:b w:val="false"/>
          <w:bCs w:val="false"/>
          <w:i w:val="false"/>
          <w:iCs w:val="false"/>
        </w:rPr>
        <w:t xml:space="preserve">, las distribuciones de palabras son escasas y los temas tienden a salir ruidosos. BERTopic, al partir de embeddings semánticos preentrenados, transfiere conocimiento lingüístico externo y funciona razonablemente bien con corpus pequeños.</w:t>
      </w:r>
    </w:p>
    <w:p>
      <w:pPr>
        <w:spacing w:after="160" w:line="320"/>
        <w:jc w:val="both"/>
      </w:pPr>
      <w:r>
        <w:rPr>
          <w:b w:val="false"/>
          <w:bCs w:val="false"/>
          <w:i w:val="false"/>
          <w:iCs w:val="false"/>
        </w:rPr>
        <w:t xml:space="preserve">En segundo lugar, el </w:t>
      </w:r>
      <w:r>
        <w:rPr>
          <w:b/>
          <w:bCs/>
          <w:i w:val="false"/>
          <w:iCs w:val="false"/>
        </w:rPr>
        <w:t xml:space="preserve">vocabulario es especializado y polisémico</w:t>
      </w:r>
      <w:r>
        <w:rPr>
          <w:b w:val="false"/>
          <w:bCs w:val="false"/>
          <w:i w:val="false"/>
          <w:iCs w:val="false"/>
        </w:rPr>
        <w:t xml:space="preserve">: combina jerga militar, jurídica y diplomática. LDA trata cada palabra como un token independiente y no distingue que "tomar" en "tomar el Congreso" y "tomar declaración" son cosas distintas. Los embeddings sí capturan ese contexto y producen agrupaciones semánticas más finas.</w:t>
      </w:r>
    </w:p>
    <w:p>
      <w:pPr>
        <w:spacing w:after="160" w:line="320"/>
        <w:jc w:val="both"/>
      </w:pPr>
      <w:r>
        <w:rPr>
          <w:b w:val="false"/>
          <w:bCs w:val="false"/>
          <w:i w:val="false"/>
          <w:iCs w:val="false"/>
        </w:rPr>
        <w:t xml:space="preserve">En tercer lugar, los </w:t>
      </w:r>
      <w:r>
        <w:rPr>
          <w:b/>
          <w:bCs/>
          <w:i w:val="false"/>
          <w:iCs w:val="false"/>
        </w:rPr>
        <w:t xml:space="preserve">errores residuales del OCR</w:t>
      </w:r>
      <w:r>
        <w:rPr>
          <w:b w:val="false"/>
          <w:bCs w:val="false"/>
          <w:i w:val="false"/>
          <w:iCs w:val="false"/>
        </w:rPr>
        <w:t xml:space="preserve"> son inevitables en un corpus mecanografiado de hace cuatro décadas. Los embeddings son más tolerantes a errores ortográficos puntuales que una bolsa de palabras estricta, porque operan a nivel de subword y mantienen la proximidad semántica aunque la grafía no sea exacta.</w:t>
      </w:r>
    </w:p>
    <w:p>
      <w:pPr>
        <w:spacing w:after="160" w:line="320"/>
        <w:jc w:val="both"/>
      </w:pPr>
      <w:r>
        <w:rPr>
          <w:b w:val="false"/>
          <w:bCs w:val="false"/>
          <w:i w:val="false"/>
          <w:iCs w:val="false"/>
        </w:rPr>
        <w:t xml:space="preserve">En cuarto lugar, </w:t>
      </w:r>
      <w:r>
        <w:rPr>
          <w:b/>
          <w:bCs/>
          <w:i w:val="false"/>
          <w:iCs w:val="false"/>
        </w:rPr>
        <w:t xml:space="preserve">existen modelos en español maduros y disponibles</w:t>
      </w:r>
      <w:r>
        <w:rPr>
          <w:b w:val="false"/>
          <w:bCs w:val="false"/>
          <w:i w:val="false"/>
          <w:iCs w:val="false"/>
        </w:rPr>
        <w:t xml:space="preserve">. Se utilizará </w:t>
      </w:r>
      <w:r>
        <w:rPr>
          <w:rFonts w:ascii="Consolas" w:cs="Consolas" w:eastAsia="Consolas" w:hAnsi="Consolas"/>
          <w:b w:val="false"/>
          <w:bCs w:val="false"/>
          <w:i w:val="false"/>
          <w:iCs w:val="false"/>
          <w:color w:val="595959"/>
        </w:rPr>
        <w:t xml:space="preserve">paraphrase-multilingual-MiniLM-L12-v2</w:t>
      </w:r>
      <w:r>
        <w:rPr>
          <w:b w:val="false"/>
          <w:bCs w:val="false"/>
          <w:i w:val="false"/>
          <w:iCs w:val="false"/>
        </w:rPr>
        <w:t xml:space="preserve"> o un modelo equivalente entrenado en castellano, capaz de capturar los matices del registro administrativo y militar español sin necesidad de entrenamiento adicional.</w:t>
      </w:r>
    </w:p>
    <w:p>
      <w:pPr>
        <w:spacing w:after="160" w:line="320"/>
        <w:jc w:val="both"/>
      </w:pPr>
      <w:r>
        <w:rPr>
          <w:b w:val="false"/>
          <w:bCs w:val="false"/>
          <w:i w:val="false"/>
          <w:iCs w:val="false"/>
        </w:rPr>
        <w:t xml:space="preserve">Finalmente, BERTopic ofrece </w:t>
      </w:r>
      <w:r>
        <w:rPr>
          <w:b/>
          <w:bCs/>
          <w:i w:val="false"/>
          <w:iCs w:val="false"/>
        </w:rPr>
        <w:t xml:space="preserve">interpretabilidad de serie</w:t>
      </w:r>
      <w:r>
        <w:rPr>
          <w:b w:val="false"/>
          <w:bCs w:val="false"/>
          <w:i w:val="false"/>
          <w:iCs w:val="false"/>
        </w:rPr>
        <w:t xml:space="preserve">: produce representaciones c-TF-IDF por tema, etiquetas automáticas y visualizaciones interactivas, lo que facilita la sección de interpretación exigida por la plantilla del TFM.</w:t>
      </w:r>
    </w:p>
    <w:p>
      <w:pPr>
        <w:spacing w:after="160" w:line="320"/>
        <w:jc w:val="both"/>
      </w:pPr>
      <w:r>
        <w:rPr>
          <w:b/>
          <w:bCs/>
          <w:i w:val="false"/>
          <w:iCs w:val="false"/>
        </w:rPr>
        <w:t xml:space="preserve">Unidad de análisis: documento completo.</w:t>
      </w:r>
      <w:r>
        <w:rPr>
          <w:b w:val="false"/>
          <w:bCs w:val="false"/>
          <w:i w:val="false"/>
          <w:iCs w:val="false"/>
        </w:rPr>
        <w:t xml:space="preserve"> Cada documento es razonablemente coherente desde el punto de vista temático (un parte trata un asunto, una sentencia desarrolla un argumentario unitario, un cable diplomático tiene un foco) y el tamaño medio de</w:t>
      </w:r>
      <w:r>
        <w:rPr>
          <w:b w:val="false"/>
          <w:bCs w:val="false"/>
          <w:i w:val="false"/>
          <w:iCs w:val="false"/>
          <w:color w:val="C00000"/>
        </w:rPr>
        <w:t xml:space="preserve"> 1.948 </w:t>
      </w:r>
      <w:r>
        <w:rPr>
          <w:b w:val="false"/>
          <w:bCs w:val="false"/>
          <w:i w:val="false"/>
          <w:iCs w:val="false"/>
        </w:rPr>
        <w:t xml:space="preserve">palabras es manejable por los embeddings tras truncado o segmentación interna.</w:t>
      </w:r>
    </w:p>
    <w:p>
      <w:pPr>
        <w:pStyle w:val="Heading2"/>
        <w:spacing w:after="140" w:before="280"/>
      </w:pPr>
      <w:r>
        <w:rPr>
          <w:b/>
          <w:bCs/>
          <w:color w:val="2E74B5"/>
          <w:sz w:val="26"/>
          <w:szCs w:val="26"/>
        </w:rPr>
        <w:t xml:space="preserve">Variables del estudio</w:t>
      </w:r>
    </w:p>
    <w:p>
      <w:pPr>
        <w:spacing w:after="160" w:line="320"/>
        <w:jc w:val="both"/>
      </w:pPr>
      <w:r>
        <w:rPr>
          <w:b/>
          <w:bCs/>
          <w:i w:val="false"/>
          <w:iCs w:val="false"/>
        </w:rPr>
        <w:t xml:space="preserve">Variable principal:</w:t>
      </w:r>
      <w:r>
        <w:rPr>
          <w:b w:val="false"/>
          <w:bCs w:val="false"/>
          <w:i w:val="false"/>
          <w:iCs w:val="false"/>
        </w:rPr>
        <w:t xml:space="preserve"> el texto completo de cada documento (campo </w:t>
      </w:r>
      <w:r>
        <w:rPr>
          <w:rFonts w:ascii="Consolas" w:cs="Consolas" w:eastAsia="Consolas" w:hAnsi="Consolas"/>
          <w:b w:val="false"/>
          <w:bCs w:val="false"/>
          <w:i w:val="false"/>
          <w:iCs w:val="false"/>
          <w:color w:val="595959"/>
        </w:rPr>
        <w:t xml:space="preserve">texto_completo</w:t>
      </w:r>
      <w:r>
        <w:rPr>
          <w:b w:val="false"/>
          <w:bCs w:val="false"/>
          <w:i w:val="false"/>
          <w:iCs w:val="false"/>
        </w:rPr>
        <w:t xml:space="preserve"> del dataset), tras un preprocesamiento mínimo —limpieza de cabeceras de OCR, normalización de mayúsculas, eliminación de stopwords solo para la representación c-TF-IDF y no para el embedding semántico.</w:t>
      </w:r>
    </w:p>
    <w:p>
      <w:pPr>
        <w:spacing w:after="160" w:line="320"/>
        <w:jc w:val="both"/>
      </w:pPr>
      <w:r>
        <w:rPr>
          <w:b/>
          <w:bCs/>
          <w:i w:val="false"/>
          <w:iCs w:val="false"/>
        </w:rPr>
        <w:t xml:space="preserve">Variables de segmentación</w:t>
      </w:r>
      <w:r>
        <w:rPr>
          <w:b w:val="false"/>
          <w:bCs w:val="false"/>
          <w:i w:val="false"/>
          <w:iCs w:val="false"/>
        </w:rPr>
        <w:t xml:space="preserve"> para los cruces temáticos posteriores:</w:t>
      </w:r>
    </w:p>
    <w:p>
      <w:pPr>
        <w:pStyle w:val="ListParagraph"/>
        <w:numPr>
          <w:ilvl w:val="0"/>
          <w:numId w:val="2"/>
        </w:numPr>
        <w:spacing w:after="100" w:line="320"/>
        <w:jc w:val="both"/>
      </w:pPr>
      <w:r>
        <w:rPr>
          <w:rFonts w:ascii="Consolas" w:cs="Consolas" w:eastAsia="Consolas" w:hAnsi="Consolas"/>
          <w:b w:val="false"/>
          <w:bCs w:val="false"/>
          <w:i w:val="false"/>
          <w:iCs w:val="false"/>
          <w:color w:val="595959"/>
        </w:rPr>
        <w:t xml:space="preserve">ministerio</w:t>
      </w:r>
      <w:r>
        <w:rPr>
          <w:b w:val="false"/>
          <w:bCs w:val="false"/>
          <w:i w:val="false"/>
          <w:iCs w:val="false"/>
        </w:rPr>
        <w:t xml:space="preserve"> (</w:t>
      </w:r>
      <w:r>
        <w:rPr>
          <w:b w:val="false"/>
          <w:bCs w:val="false"/>
          <w:i w:val="false"/>
          <w:iCs w:val="false"/>
          <w:color w:val="C00000"/>
        </w:rPr>
        <w:t xml:space="preserve">3 </w:t>
      </w:r>
      <w:r>
        <w:rPr>
          <w:b w:val="false"/>
          <w:bCs w:val="false"/>
          <w:i w:val="false"/>
          <w:iCs w:val="false"/>
        </w:rPr>
        <w:t xml:space="preserve">valores: Defensa con</w:t>
      </w:r>
      <w:r>
        <w:rPr>
          <w:b w:val="false"/>
          <w:bCs w:val="false"/>
          <w:i w:val="false"/>
          <w:iCs w:val="false"/>
          <w:color w:val="C00000"/>
        </w:rPr>
        <w:t xml:space="preserve"> 108 </w:t>
      </w:r>
      <w:r>
        <w:rPr>
          <w:b w:val="false"/>
          <w:bCs w:val="false"/>
          <w:i w:val="false"/>
          <w:iCs w:val="false"/>
        </w:rPr>
        <w:t xml:space="preserve">documentos, Exteriores con</w:t>
      </w:r>
      <w:r>
        <w:rPr>
          <w:b w:val="false"/>
          <w:bCs w:val="false"/>
          <w:i w:val="false"/>
          <w:iCs w:val="false"/>
          <w:color w:val="C00000"/>
        </w:rPr>
        <w:t xml:space="preserve"> 31 </w:t>
      </w:r>
      <w:r>
        <w:rPr>
          <w:b w:val="false"/>
          <w:bCs w:val="false"/>
          <w:i w:val="false"/>
          <w:iCs w:val="false"/>
        </w:rPr>
        <w:t xml:space="preserve">e Interior con</w:t>
      </w:r>
      <w:r>
        <w:rPr>
          <w:b w:val="false"/>
          <w:bCs w:val="false"/>
          <w:i w:val="false"/>
          <w:iCs w:val="false"/>
          <w:color w:val="C00000"/>
        </w:rPr>
        <w:t xml:space="preserve"> 27</w:t>
      </w:r>
      <w:r>
        <w:rPr>
          <w:b w:val="false"/>
          <w:bCs w:val="false"/>
          <w:i w:val="false"/>
          <w:iCs w:val="false"/>
        </w:rPr>
        <w:t xml:space="preserve">): permite contrastar perspectivas institucionales.</w:t>
      </w:r>
    </w:p>
    <w:p>
      <w:pPr>
        <w:pStyle w:val="ListParagraph"/>
        <w:numPr>
          <w:ilvl w:val="0"/>
          <w:numId w:val="2"/>
        </w:numPr>
        <w:spacing w:after="100" w:line="320"/>
        <w:jc w:val="both"/>
      </w:pPr>
      <w:r>
        <w:rPr>
          <w:rFonts w:ascii="Consolas" w:cs="Consolas" w:eastAsia="Consolas" w:hAnsi="Consolas"/>
          <w:b w:val="false"/>
          <w:bCs w:val="false"/>
          <w:i w:val="false"/>
          <w:iCs w:val="false"/>
          <w:color w:val="595959"/>
        </w:rPr>
        <w:t xml:space="preserve">fase</w:t>
      </w:r>
      <w:r>
        <w:rPr>
          <w:b w:val="false"/>
          <w:bCs w:val="false"/>
          <w:i w:val="false"/>
          <w:iCs w:val="false"/>
        </w:rPr>
        <w:t xml:space="preserve"> (</w:t>
      </w:r>
      <w:r>
        <w:rPr>
          <w:b w:val="false"/>
          <w:bCs w:val="false"/>
          <w:i w:val="false"/>
          <w:iCs w:val="false"/>
          <w:color w:val="C00000"/>
        </w:rPr>
        <w:t xml:space="preserve">6 </w:t>
      </w:r>
      <w:r>
        <w:rPr>
          <w:b w:val="false"/>
          <w:bCs w:val="false"/>
          <w:i w:val="false"/>
          <w:iCs w:val="false"/>
        </w:rPr>
        <w:t xml:space="preserve">valores, del pre-golpe al post-sentencia): permite estudiar la evolución temática a lo largo del acontecimiento.</w:t>
      </w:r>
    </w:p>
    <w:p>
      <w:pPr>
        <w:pStyle w:val="ListParagraph"/>
        <w:numPr>
          <w:ilvl w:val="0"/>
          <w:numId w:val="2"/>
        </w:numPr>
        <w:spacing w:after="100" w:line="320"/>
        <w:jc w:val="both"/>
      </w:pPr>
      <w:r>
        <w:rPr>
          <w:rFonts w:ascii="Consolas" w:cs="Consolas" w:eastAsia="Consolas" w:hAnsi="Consolas"/>
          <w:b w:val="false"/>
          <w:bCs w:val="false"/>
          <w:i w:val="false"/>
          <w:iCs w:val="false"/>
          <w:color w:val="595959"/>
        </w:rPr>
        <w:t xml:space="preserve">clasificacion</w:t>
      </w:r>
      <w:r>
        <w:rPr>
          <w:b w:val="false"/>
          <w:bCs w:val="false"/>
          <w:i w:val="false"/>
          <w:iCs w:val="false"/>
        </w:rPr>
        <w:t xml:space="preserve"> (</w:t>
      </w:r>
      <w:r>
        <w:rPr>
          <w:b w:val="false"/>
          <w:bCs w:val="false"/>
          <w:i w:val="false"/>
          <w:iCs w:val="false"/>
          <w:color w:val="C00000"/>
        </w:rPr>
        <w:t xml:space="preserve">3 </w:t>
      </w:r>
      <w:r>
        <w:rPr>
          <w:b w:val="false"/>
          <w:bCs w:val="false"/>
          <w:i w:val="false"/>
          <w:iCs w:val="false"/>
        </w:rPr>
        <w:t xml:space="preserve">valores: sin_marca con</w:t>
      </w:r>
      <w:r>
        <w:rPr>
          <w:b w:val="false"/>
          <w:bCs w:val="false"/>
          <w:i w:val="false"/>
          <w:iCs w:val="false"/>
          <w:color w:val="C00000"/>
        </w:rPr>
        <w:t xml:space="preserve"> 141</w:t>
      </w:r>
      <w:r>
        <w:rPr>
          <w:b w:val="false"/>
          <w:bCs w:val="false"/>
          <w:i w:val="false"/>
          <w:iCs w:val="false"/>
        </w:rPr>
        <w:t xml:space="preserve">, RESERVADO con</w:t>
      </w:r>
      <w:r>
        <w:rPr>
          <w:b w:val="false"/>
          <w:bCs w:val="false"/>
          <w:i w:val="false"/>
          <w:iCs w:val="false"/>
          <w:color w:val="C00000"/>
        </w:rPr>
        <w:t xml:space="preserve"> 14 </w:t>
      </w:r>
      <w:r>
        <w:rPr>
          <w:b w:val="false"/>
          <w:bCs w:val="false"/>
          <w:i w:val="false"/>
          <w:iCs w:val="false"/>
        </w:rPr>
        <w:t xml:space="preserve">y SECRETO con</w:t>
      </w:r>
      <w:r>
        <w:rPr>
          <w:b w:val="false"/>
          <w:bCs w:val="false"/>
          <w:i w:val="false"/>
          <w:iCs w:val="false"/>
          <w:color w:val="C00000"/>
        </w:rPr>
        <w:t xml:space="preserve"> 12</w:t>
      </w:r>
      <w:r>
        <w:rPr>
          <w:b w:val="false"/>
          <w:bCs w:val="false"/>
          <w:i w:val="false"/>
          <w:iCs w:val="false"/>
        </w:rPr>
        <w:t xml:space="preserve">): permite analizar si hay temas exclusivos del material clasificado.</w:t>
      </w:r>
    </w:p>
    <w:p>
      <w:pPr>
        <w:pStyle w:val="ListParagraph"/>
        <w:numPr>
          <w:ilvl w:val="0"/>
          <w:numId w:val="2"/>
        </w:numPr>
        <w:spacing w:after="100" w:line="320"/>
        <w:jc w:val="both"/>
      </w:pPr>
      <w:r>
        <w:rPr>
          <w:rFonts w:ascii="Consolas" w:cs="Consolas" w:eastAsia="Consolas" w:hAnsi="Consolas"/>
          <w:b w:val="false"/>
          <w:bCs w:val="false"/>
          <w:i w:val="false"/>
          <w:iCs w:val="false"/>
          <w:color w:val="595959"/>
        </w:rPr>
        <w:t xml:space="preserve">seccion</w:t>
      </w:r>
      <w:r>
        <w:rPr>
          <w:b w:val="false"/>
          <w:bCs w:val="false"/>
          <w:i w:val="false"/>
          <w:iCs w:val="false"/>
        </w:rPr>
        <w:t xml:space="preserve"> (</w:t>
      </w:r>
      <w:r>
        <w:rPr>
          <w:b w:val="false"/>
          <w:bCs w:val="false"/>
          <w:i w:val="false"/>
          <w:iCs w:val="false"/>
          <w:color w:val="C00000"/>
        </w:rPr>
        <w:t xml:space="preserve">14 </w:t>
      </w:r>
      <w:r>
        <w:rPr>
          <w:b w:val="false"/>
          <w:bCs w:val="false"/>
          <w:i w:val="false"/>
          <w:iCs w:val="false"/>
        </w:rPr>
        <w:t xml:space="preserve">valores, dominados por CNI con</w:t>
      </w:r>
      <w:r>
        <w:rPr>
          <w:b w:val="false"/>
          <w:bCs w:val="false"/>
          <w:i w:val="false"/>
          <w:iCs w:val="false"/>
          <w:color w:val="C00000"/>
        </w:rPr>
        <w:t xml:space="preserve"> 84 </w:t>
      </w:r>
      <w:r>
        <w:rPr>
          <w:b w:val="false"/>
          <w:bCs w:val="false"/>
          <w:i w:val="false"/>
          <w:iCs w:val="false"/>
        </w:rPr>
        <w:t xml:space="preserve">documentos): aporta granularidad fina dentro de cada ministerio.</w:t>
      </w:r>
    </w:p>
    <w:p>
      <w:pPr>
        <w:spacing w:after="160" w:line="320"/>
        <w:jc w:val="both"/>
      </w:pPr>
      <w:r>
        <w:rPr>
          <w:b/>
          <w:bCs/>
          <w:i w:val="false"/>
          <w:iCs w:val="false"/>
        </w:rPr>
        <w:t xml:space="preserve">Variable derivada del modelo:</w:t>
      </w:r>
      <w:r>
        <w:rPr>
          <w:b w:val="false"/>
          <w:bCs w:val="false"/>
          <w:i w:val="false"/>
          <w:iCs w:val="false"/>
        </w:rPr>
        <w:t xml:space="preserve"> el </w:t>
      </w:r>
      <w:r>
        <w:rPr>
          <w:rFonts w:ascii="Consolas" w:cs="Consolas" w:eastAsia="Consolas" w:hAnsi="Consolas"/>
          <w:b w:val="false"/>
          <w:bCs w:val="false"/>
          <w:i w:val="false"/>
          <w:iCs w:val="false"/>
          <w:color w:val="595959"/>
        </w:rPr>
        <w:t xml:space="preserve">topic_id</w:t>
      </w:r>
      <w:r>
        <w:rPr>
          <w:b w:val="false"/>
          <w:bCs w:val="false"/>
          <w:i w:val="false"/>
          <w:iCs w:val="false"/>
        </w:rPr>
        <w:t xml:space="preserve"> asignado por BERTopic a cada documento y los vectores de probabilidad de pertenencia a cada tema.</w:t>
      </w:r>
    </w:p>
    <w:p>
      <w:pPr>
        <w:pStyle w:val="Heading2"/>
        <w:spacing w:after="140" w:before="280"/>
      </w:pPr>
      <w:r>
        <w:rPr>
          <w:b/>
          <w:bCs/>
          <w:color w:val="2E74B5"/>
          <w:sz w:val="26"/>
          <w:szCs w:val="26"/>
        </w:rPr>
        <w:t xml:space="preserve">Estructura del caso</w:t>
      </w:r>
    </w:p>
    <w:p>
      <w:pPr>
        <w:spacing w:after="160" w:line="320"/>
        <w:jc w:val="both"/>
      </w:pPr>
      <w:r>
        <w:rPr>
          <w:b w:val="false"/>
          <w:bCs w:val="false"/>
          <w:i w:val="false"/>
          <w:iCs w:val="false"/>
        </w:rPr>
        <w:t xml:space="preserve">El caso seguirá la plantilla del TFM y se desarrollará en las siguientes secciones: planteamiento inicial, desarrollo del pipeline (preprocesamiento, embedding, reducción de dimensionalidad con UMAP, clustering con HDBSCAN, representación de temas con c-TF-IDF), exploración de variables y feature engineering, métricas de evaluación (coherencia c_v, diversidad de temas, estabilidad ante remuestreo), estudio de patrones y cruces con las variables de segmentación, interpretación de resultados, análisis de errores y limitaciones, aplicación práctica, conclusiones y mejoras propuestas.</w:t>
      </w:r>
    </w:p>
    <w:p>
      <w:pPr>
        <w:pStyle w:val="Heading2"/>
        <w:spacing w:after="140" w:before="280"/>
      </w:pPr>
      <w:r>
        <w:rPr>
          <w:b/>
          <w:bCs/>
          <w:color w:val="2E74B5"/>
          <w:sz w:val="26"/>
          <w:szCs w:val="26"/>
        </w:rPr>
        <w:t xml:space="preserve">Hipótesis a contrastar</w:t>
      </w:r>
    </w:p>
    <w:p>
      <w:pPr>
        <w:spacing w:after="160" w:line="320"/>
        <w:jc w:val="both"/>
      </w:pPr>
      <w:r>
        <w:rPr>
          <w:b w:val="false"/>
          <w:bCs w:val="false"/>
          <w:i w:val="false"/>
          <w:iCs w:val="false"/>
        </w:rPr>
        <w:t xml:space="preserve">Para dotar al caso de una estructura empírica clara, se declaran tres hipótesis a priori que el modelo deberá confirmar, matizar o refutar.</w:t>
      </w:r>
    </w:p>
    <w:p>
      <w:pPr>
        <w:spacing w:after="160" w:line="320"/>
        <w:jc w:val="both"/>
      </w:pPr>
      <w:r>
        <w:rPr>
          <w:b/>
          <w:bCs/>
          <w:i w:val="false"/>
          <w:iCs w:val="false"/>
        </w:rPr>
        <w:t xml:space="preserve">H</w:t>
      </w:r>
      <w:r>
        <w:rPr>
          <w:b/>
          <w:bCs/>
          <w:i w:val="false"/>
          <w:iCs w:val="false"/>
          <w:color w:val="C00000"/>
        </w:rPr>
        <w:t xml:space="preserve">1</w:t>
      </w:r>
      <w:r>
        <w:rPr>
          <w:b/>
          <w:bCs/>
          <w:i w:val="false"/>
          <w:iCs w:val="false"/>
        </w:rPr>
        <w:t xml:space="preserve">, esperada por convención:</w:t>
      </w:r>
      <w:r>
        <w:rPr>
          <w:b w:val="false"/>
          <w:bCs w:val="false"/>
          <w:i w:val="false"/>
          <w:iCs w:val="false"/>
        </w:rPr>
        <w:t xml:space="preserve"> los temas se distribuirán de forma estadísticamente significativa por ministerio, con Defensa concentrando los temas militares y operativos, Exteriores los temas diplomáticos e Interior los temas de orden público y seguridad interior.</w:t>
      </w:r>
    </w:p>
    <w:p>
      <w:pPr>
        <w:spacing w:after="160" w:line="320"/>
        <w:jc w:val="both"/>
      </w:pPr>
      <w:r>
        <w:rPr>
          <w:b/>
          <w:bCs/>
          <w:i w:val="false"/>
          <w:iCs w:val="false"/>
        </w:rPr>
        <w:t xml:space="preserve">H</w:t>
      </w:r>
      <w:r>
        <w:rPr>
          <w:b/>
          <w:bCs/>
          <w:i w:val="false"/>
          <w:iCs w:val="false"/>
          <w:color w:val="C00000"/>
        </w:rPr>
        <w:t xml:space="preserve">2</w:t>
      </w:r>
      <w:r>
        <w:rPr>
          <w:b/>
          <w:bCs/>
          <w:i w:val="false"/>
          <w:iCs w:val="false"/>
        </w:rPr>
        <w:t xml:space="preserve">, esperada por la dinámica del acontecimiento:</w:t>
      </w:r>
      <w:r>
        <w:rPr>
          <w:b w:val="false"/>
          <w:bCs w:val="false"/>
          <w:i w:val="false"/>
          <w:iCs w:val="false"/>
        </w:rPr>
        <w:t xml:space="preserve"> la composición temática variará entre fases, con la fase de la noche del golpe concentrando temas operativos, las fases procesales (instrucción y juicio oral) concentrando temas jurídicos, y el post-sentencia concentrando temas políticos o reflexivos.</w:t>
      </w:r>
    </w:p>
    <w:p>
      <w:pPr>
        <w:spacing w:after="160" w:line="320"/>
        <w:jc w:val="both"/>
      </w:pPr>
      <w:r>
        <w:rPr>
          <w:b/>
          <w:bCs/>
          <w:i w:val="false"/>
          <w:iCs w:val="false"/>
        </w:rPr>
        <w:t xml:space="preserve">H</w:t>
      </w:r>
      <w:r>
        <w:rPr>
          <w:b/>
          <w:bCs/>
          <w:i w:val="false"/>
          <w:iCs w:val="false"/>
          <w:color w:val="C00000"/>
        </w:rPr>
        <w:t xml:space="preserve">3</w:t>
      </w:r>
      <w:r>
        <w:rPr>
          <w:b/>
          <w:bCs/>
          <w:i w:val="false"/>
          <w:iCs w:val="false"/>
        </w:rPr>
        <w:t xml:space="preserve">, más arriesgada y por tanto más interesante:</w:t>
      </w:r>
      <w:r>
        <w:rPr>
          <w:b w:val="false"/>
          <w:bCs w:val="false"/>
          <w:i w:val="false"/>
          <w:iCs w:val="false"/>
        </w:rPr>
        <w:t xml:space="preserve"> existirá al menos un tema cuya presencia esté significativamente correlacionada con el nivel de clasificación del documento, lo que sugeriría que ciertos contenidos fueron objeto de protección informativa diferenciada por parte de la administración.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Planteamiento Topic Modeling 23F</dc:title>
  <dc:creator>Análisis 23F</dc:creator>
  <cp:lastModifiedBy>Un-named</cp:lastModifiedBy>
  <cp:revision>1</cp:revision>
  <dcterms:created xsi:type="dcterms:W3CDTF">2026-05-22T16:47:38.862Z</dcterms:created>
  <dcterms:modified xsi:type="dcterms:W3CDTF">2026-05-22T16:47:38.877Z</dcterms:modified>
</cp:coreProperties>
</file>

<file path=docProps/custom.xml><?xml version="1.0" encoding="utf-8"?>
<Properties xmlns="http://schemas.openxmlformats.org/officeDocument/2006/custom-properties" xmlns:vt="http://schemas.openxmlformats.org/officeDocument/2006/docPropsVTypes"/>
</file>