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t xml:space="preserve"/>
      </w:r>
    </w:p>
    <w:p>
      <w:pPr>
        <w:spacing w:after="80" w:before="0"/>
        <w:jc w:val="left"/>
      </w:pPr>
      <w:r>
        <w:rPr>
          <w:rFonts w:ascii="Georgia" w:cs="Georgia" w:eastAsia="Georgia" w:hAnsi="Georgia"/>
          <w:b/>
          <w:bCs/>
          <w:color w:val="1a1a1a"/>
          <w:sz w:val="40"/>
          <w:szCs w:val="40"/>
        </w:rPr>
        <w:t xml:space="preserve">Inteligência Artificial como Zona de Contato</w:t>
      </w:r>
    </w:p>
    <w:p>
      <w:pPr>
        <w:spacing w:after="320" w:before="0"/>
        <w:jc w:val="left"/>
      </w:pPr>
      <w:r>
        <w:rPr>
          <w:rFonts w:ascii="Georgia" w:cs="Georgia" w:eastAsia="Georgia" w:hAnsi="Georgia"/>
          <w:i/>
          <w:iCs/>
          <w:color w:val="777777"/>
          <w:sz w:val="24"/>
          <w:szCs w:val="24"/>
        </w:rPr>
        <w:t xml:space="preserve">Um modelo para o primeiro encontro em saúde mental digital</w:t>
      </w:r>
    </w:p>
    <w:p>
      <w:pPr>
        <w:pBdr>
          <w:bottom w:val="single" w:color="DDDDDD" w:sz="4" w:space="1"/>
        </w:pBdr>
        <w:spacing w:after="240" w:before="240"/>
      </w:pPr>
      <w:r>
        <w:t xml:space="preserve"/>
      </w:r>
    </w:p>
    <w:p>
      <w:pPr>
        <w:pStyle w:val="Heading2"/>
        <w:spacing w:after="120" w:before="360"/>
      </w:pPr>
      <w:r>
        <w:rPr>
          <w:rFonts w:ascii="Arial" w:cs="Arial" w:eastAsia="Arial" w:hAnsi="Arial"/>
          <w:b/>
          <w:bCs/>
          <w:color w:val="2E5FA3"/>
          <w:sz w:val="24"/>
          <w:szCs w:val="24"/>
        </w:rPr>
        <w:t xml:space="preserve">O campo não explorado</w:t>
      </w:r>
    </w:p>
    <w:p>
      <w:pPr>
        <w:spacing w:after="180" w:before="0"/>
        <w:jc w:val="both"/>
      </w:pPr>
      <w:r>
        <w:rPr>
          <w:rFonts w:ascii="Georgia" w:cs="Georgia" w:eastAsia="Georgia" w:hAnsi="Georgia"/>
          <w:color w:val="555555"/>
          <w:sz w:val="22"/>
          <w:szCs w:val="22"/>
        </w:rPr>
        <w:t xml:space="preserve">A maior parte das pessoas que sofre nunca chega a um psicólogo. Não por falta de oferta — embora a oferta seja claramente insuficiente — mas porque não chegam à demanda. Entre o sofrimento e a busca por ajuda existe uma distância que raramente é nomeada, e que os serviços de saúde mental, em sua maioria, simplesmente ignoram: o sujeito precisa já se reconhecer como alguém que precisa de ajuda, aceitar ser visto como "caso", saber onde ir, dispor de tempo e recursos, e encontrar disponibilidade. São cinco filtros antes do primeiro contato clínico.</w:t>
      </w:r>
    </w:p>
    <w:p>
      <w:pPr>
        <w:spacing w:after="180" w:before="0"/>
        <w:jc w:val="both"/>
      </w:pPr>
      <w:r>
        <w:rPr>
          <w:rFonts w:ascii="Georgia" w:cs="Georgia" w:eastAsia="Georgia" w:hAnsi="Georgia"/>
          <w:color w:val="555555"/>
          <w:sz w:val="22"/>
          <w:szCs w:val="22"/>
        </w:rPr>
        <w:t xml:space="preserve">Existe ainda um obstáculo menos evidente, que os dados de engajamento com plataformas digitais de saúde permitem entrever: a dúvida e o sigilo. "Posso explorar isso sem que ninguém saiba?" Para esse sujeito, a barreira não é o custo nem a disponibilidade — é o ato de se comprometer com a pergunta antes de saber se quer respondê-la.</w:t>
      </w:r>
    </w:p>
    <w:p>
      <w:pPr>
        <w:spacing w:after="180" w:before="0"/>
        <w:jc w:val="both"/>
      </w:pPr>
      <w:r>
        <w:rPr>
          <w:rFonts w:ascii="Georgia" w:cs="Georgia" w:eastAsia="Georgia" w:hAnsi="Georgia"/>
          <w:i/>
          <w:iCs/>
          <w:color w:val="666666"/>
          <w:sz w:val="22"/>
          <w:szCs w:val="22"/>
        </w:rPr>
        <w:t xml:space="preserve">É esse o campo não explorado.</w:t>
      </w:r>
    </w:p>
    <w:p>
      <w:pPr>
        <w:pStyle w:val="Heading2"/>
        <w:spacing w:after="120" w:before="360"/>
      </w:pPr>
      <w:r>
        <w:rPr>
          <w:rFonts w:ascii="Arial" w:cs="Arial" w:eastAsia="Arial" w:hAnsi="Arial"/>
          <w:b/>
          <w:bCs/>
          <w:color w:val="2E5FA3"/>
          <w:sz w:val="24"/>
          <w:szCs w:val="24"/>
        </w:rPr>
        <w:t xml:space="preserve">Entre a procura e a demanda</w:t>
      </w:r>
    </w:p>
    <w:p>
      <w:pPr>
        <w:spacing w:after="180" w:before="0"/>
        <w:jc w:val="both"/>
      </w:pPr>
      <w:r>
        <w:rPr>
          <w:rFonts w:ascii="Georgia" w:cs="Georgia" w:eastAsia="Georgia" w:hAnsi="Georgia"/>
          <w:color w:val="555555"/>
          <w:sz w:val="22"/>
          <w:szCs w:val="22"/>
        </w:rPr>
        <w:t xml:space="preserve">Em psicanálise, há uma distinção clínica relevante entre procura e demanda. A triagem, como modelo dominante nos sistemas de saúde digitais, pressupõe que a demanda já está formada: o usuário sabe que tem um problema, quer ser encaminhado, e aceita ser categorizado. Mas o sujeito que ainda está na procura — que sofre sem ainda se reconhecer como alguém que precisa de intervenção — não cabe no modelo de triagem. Ele sai antes.</w:t>
      </w:r>
    </w:p>
    <w:p>
      <w:pPr>
        <w:spacing w:after="180" w:before="0"/>
        <w:jc w:val="both"/>
      </w:pPr>
      <w:r>
        <w:rPr>
          <w:rFonts w:ascii="Georgia" w:cs="Georgia" w:eastAsia="Georgia" w:hAnsi="Georgia"/>
          <w:color w:val="555555"/>
          <w:sz w:val="22"/>
          <w:szCs w:val="22"/>
        </w:rPr>
        <w:t xml:space="preserve">O que esse sujeito precisa não é ser triado. É ter um lugar onde possa explorar sem se comprometer. Um espaço que sustente a ambiguidade, que não apresse a conclusão, que não exija que ele se posicione antes de estar pronto.</w:t>
      </w:r>
    </w:p>
    <w:p>
      <w:pPr>
        <w:spacing w:after="180" w:before="0"/>
        <w:jc w:val="both"/>
      </w:pPr>
      <w:r>
        <w:rPr>
          <w:rFonts w:ascii="Georgia" w:cs="Georgia" w:eastAsia="Georgia" w:hAnsi="Georgia"/>
          <w:color w:val="555555"/>
          <w:sz w:val="22"/>
          <w:szCs w:val="22"/>
        </w:rPr>
        <w:t xml:space="preserve">Esse é o lugar que a inteligência artificial pode ocupar — e que ainda não existe, pelo menos não de forma intencionalmente projetada para cumprir essa função.</w:t>
      </w:r>
    </w:p>
    <w:p>
      <w:pPr>
        <w:pStyle w:val="Heading2"/>
        <w:spacing w:after="120" w:before="360"/>
      </w:pPr>
      <w:r>
        <w:rPr>
          <w:rFonts w:ascii="Arial" w:cs="Arial" w:eastAsia="Arial" w:hAnsi="Arial"/>
          <w:b/>
          <w:bCs/>
          <w:color w:val="2E5FA3"/>
          <w:sz w:val="24"/>
          <w:szCs w:val="24"/>
        </w:rPr>
        <w:t xml:space="preserve">O que o AI pode fazer aqui</w:t>
      </w:r>
    </w:p>
    <w:p>
      <w:pPr>
        <w:spacing w:after="180" w:before="0"/>
        <w:jc w:val="both"/>
      </w:pPr>
      <w:r>
        <w:rPr>
          <w:rFonts w:ascii="Georgia" w:cs="Georgia" w:eastAsia="Georgia" w:hAnsi="Georgia"/>
          <w:color w:val="555555"/>
          <w:sz w:val="22"/>
          <w:szCs w:val="22"/>
        </w:rPr>
        <w:t xml:space="preserve">Um primeiro contato digital bem desenhado não parece um formulário clínico. Parece uma conversa que vai a algum lugar. A diferença técnica entre triagem e presença é que a triagem tem um fluxo — pergunta, resposta, categoria, encaminhamento — e a presença tem uma qualidade: o interlocutor sustenta o que o usuário trouxe sem apressar a conclusão.</w:t>
      </w:r>
    </w:p>
    <w:p>
      <w:pPr>
        <w:spacing w:after="180" w:before="0"/>
        <w:jc w:val="both"/>
      </w:pPr>
      <w:r>
        <w:rPr>
          <w:rFonts w:ascii="Georgia" w:cs="Georgia" w:eastAsia="Georgia" w:hAnsi="Georgia"/>
          <w:color w:val="555555"/>
          <w:sz w:val="22"/>
          <w:szCs w:val="22"/>
        </w:rPr>
        <w:t xml:space="preserve">A IA não conversa porque é inteligente. Conversa porque foi instruída por alguém que sabe o que não perguntar ainda, o que deixar em aberto, como sustentar sem resolver. Essa instrução é clínica, não técnica.</w:t>
      </w:r>
    </w:p>
    <w:p>
      <w:pPr>
        <w:spacing w:after="180" w:before="0"/>
        <w:jc w:val="both"/>
      </w:pPr>
      <w:r>
        <w:rPr>
          <w:rFonts w:ascii="Georgia" w:cs="Georgia" w:eastAsia="Georgia" w:hAnsi="Georgia"/>
          <w:color w:val="555555"/>
          <w:sz w:val="22"/>
          <w:szCs w:val="22"/>
        </w:rPr>
        <w:t xml:space="preserve">O que um primeiro contato assim pode oferecer:</w:t>
      </w:r>
    </w:p>
    <w:p>
      <w:pPr>
        <w:pStyle w:val="ListParagraph"/>
        <w:numPr>
          <w:ilvl w:val="0"/>
          <w:numId w:val="2"/>
        </w:numPr>
        <w:spacing w:after="60" w:before="60"/>
      </w:pPr>
      <w:r>
        <w:rPr>
          <w:rFonts w:ascii="Georgia" w:cs="Georgia" w:eastAsia="Georgia" w:hAnsi="Georgia"/>
          <w:color w:val="555555"/>
          <w:sz w:val="22"/>
          <w:szCs w:val="22"/>
        </w:rPr>
        <w:t xml:space="preserve">Receber o que o usuário traz sem exigir que ele se categorize</w:t>
      </w:r>
    </w:p>
    <w:p>
      <w:pPr>
        <w:pStyle w:val="ListParagraph"/>
        <w:numPr>
          <w:ilvl w:val="0"/>
          <w:numId w:val="2"/>
        </w:numPr>
        <w:spacing w:after="60" w:before="60"/>
      </w:pPr>
      <w:r>
        <w:rPr>
          <w:rFonts w:ascii="Georgia" w:cs="Georgia" w:eastAsia="Georgia" w:hAnsi="Georgia"/>
          <w:color w:val="555555"/>
          <w:sz w:val="22"/>
          <w:szCs w:val="22"/>
        </w:rPr>
        <w:t xml:space="preserve">Fazer a exploração avançar sem impor uma conclusão</w:t>
      </w:r>
    </w:p>
    <w:p>
      <w:pPr>
        <w:pStyle w:val="ListParagraph"/>
        <w:numPr>
          <w:ilvl w:val="0"/>
          <w:numId w:val="2"/>
        </w:numPr>
        <w:spacing w:after="60" w:before="60"/>
      </w:pPr>
      <w:r>
        <w:rPr>
          <w:rFonts w:ascii="Georgia" w:cs="Georgia" w:eastAsia="Georgia" w:hAnsi="Georgia"/>
          <w:color w:val="555555"/>
          <w:sz w:val="22"/>
          <w:szCs w:val="22"/>
        </w:rPr>
        <w:t xml:space="preserve">Coletar, ao longo da conversa, dados que orientarão o encaminhamento quando o usuário estiver pronto</w:t>
      </w:r>
    </w:p>
    <w:p>
      <w:pPr>
        <w:pStyle w:val="ListParagraph"/>
        <w:numPr>
          <w:ilvl w:val="0"/>
          <w:numId w:val="2"/>
        </w:numPr>
        <w:spacing w:after="60" w:before="60"/>
      </w:pPr>
      <w:r>
        <w:rPr>
          <w:rFonts w:ascii="Georgia" w:cs="Georgia" w:eastAsia="Georgia" w:hAnsi="Georgia"/>
          <w:color w:val="555555"/>
          <w:sz w:val="22"/>
          <w:szCs w:val="22"/>
        </w:rPr>
        <w:t xml:space="preserve">Estar disponível a qualquer hora, sem julgamento, sem arquivo visível</w:t>
      </w:r>
    </w:p>
    <w:p>
      <w:pPr>
        <w:pStyle w:val="ListParagraph"/>
        <w:numPr>
          <w:ilvl w:val="0"/>
          <w:numId w:val="2"/>
        </w:numPr>
        <w:spacing w:after="60" w:before="60"/>
      </w:pPr>
      <w:r>
        <w:rPr>
          <w:rFonts w:ascii="Georgia" w:cs="Georgia" w:eastAsia="Georgia" w:hAnsi="Georgia"/>
          <w:color w:val="555555"/>
          <w:sz w:val="22"/>
          <w:szCs w:val="22"/>
        </w:rPr>
        <w:t xml:space="preserve">Tornar o primeiro contato possível para quem ainda não estaria pronto para o contato humano direto</w:t>
      </w:r>
    </w:p>
    <w:p>
      <w:pPr>
        <w:spacing w:after="0" w:before="60"/>
      </w:pPr>
      <w:r>
        <w:t xml:space="preserve"/>
      </w:r>
    </w:p>
    <w:p>
      <w:pPr>
        <w:pStyle w:val="Heading2"/>
        <w:spacing w:after="120" w:before="360"/>
      </w:pPr>
      <w:r>
        <w:rPr>
          <w:rFonts w:ascii="Arial" w:cs="Arial" w:eastAsia="Arial" w:hAnsi="Arial"/>
          <w:b/>
          <w:bCs/>
          <w:color w:val="2E5FA3"/>
          <w:sz w:val="24"/>
          <w:szCs w:val="24"/>
        </w:rPr>
        <w:t xml:space="preserve">O que o AI não pode fazer</w:t>
      </w:r>
    </w:p>
    <w:p>
      <w:pPr>
        <w:spacing w:after="180" w:before="0"/>
        <w:jc w:val="both"/>
      </w:pPr>
      <w:r>
        <w:rPr>
          <w:rFonts w:ascii="Georgia" w:cs="Georgia" w:eastAsia="Georgia" w:hAnsi="Georgia"/>
          <w:color w:val="555555"/>
          <w:sz w:val="22"/>
          <w:szCs w:val="22"/>
        </w:rPr>
        <w:t xml:space="preserve">Os limites são igualmente importantes, e precisam estar no design desde o início — não como ressalva jurídica, mas como arquitetura do produto.</w:t>
      </w:r>
    </w:p>
    <w:p>
      <w:pPr>
        <w:spacing w:after="180" w:before="0"/>
        <w:jc w:val="both"/>
      </w:pPr>
      <w:r>
        <w:rPr>
          <w:rFonts w:ascii="Georgia" w:cs="Georgia" w:eastAsia="Georgia" w:hAnsi="Georgia"/>
          <w:color w:val="555555"/>
          <w:sz w:val="22"/>
          <w:szCs w:val="22"/>
        </w:rPr>
        <w:t xml:space="preserve">A IA não avalia risco clínico. Não toma decisões terapêuticas. Não sustenta crises. Em qualquer sinal de urgência — ideação suicida, crise aguda, risco imediato — o sistema para de operar e aciona um protocolo claro: recursos de emergência são apresentados de forma imediata, e o evento é registrado.</w:t>
      </w:r>
    </w:p>
    <w:p>
      <w:pPr>
        <w:spacing w:after="180" w:before="0"/>
        <w:jc w:val="both"/>
      </w:pPr>
      <w:r>
        <w:rPr>
          <w:rFonts w:ascii="Georgia" w:cs="Georgia" w:eastAsia="Georgia" w:hAnsi="Georgia"/>
          <w:color w:val="555555"/>
          <w:sz w:val="22"/>
          <w:szCs w:val="22"/>
        </w:rPr>
        <w:t xml:space="preserve">Esse protocolo de crise não pode ser desenhado por um desenvolvedor. Exige experiência clínica com urgências — com o ritmo específico de como alguém em risco se apresenta, o que sinaliza perigo real, o que é preciso dizer (e o que não é). É uma das contribuições mais específicas e insubstituíveis que um clínico experiente traz para um projeto como este.</w:t>
      </w:r>
    </w:p>
    <w:p>
      <w:pPr>
        <w:pStyle w:val="Heading2"/>
        <w:spacing w:after="120" w:before="360"/>
      </w:pPr>
      <w:r>
        <w:rPr>
          <w:rFonts w:ascii="Arial" w:cs="Arial" w:eastAsia="Arial" w:hAnsi="Arial"/>
          <w:b/>
          <w:bCs/>
          <w:color w:val="2E5FA3"/>
          <w:sz w:val="24"/>
          <w:szCs w:val="24"/>
        </w:rPr>
        <w:t xml:space="preserve">As objeções antecipadas</w:t>
      </w:r>
    </w:p>
    <w:p>
      <w:pPr>
        <w:spacing w:after="180" w:before="0"/>
        <w:jc w:val="both"/>
      </w:pPr>
      <w:r>
        <w:rPr>
          <w:rFonts w:ascii="Georgia" w:cs="Georgia" w:eastAsia="Georgia" w:hAnsi="Georgia"/>
          <w:b/>
          <w:bCs/>
          <w:color w:val="555555"/>
          <w:sz w:val="22"/>
          <w:szCs w:val="22"/>
        </w:rPr>
        <w:t xml:space="preserve">Em relação ao CFP: </w:t>
      </w:r>
      <w:r>
        <w:rPr>
          <w:rFonts w:ascii="Georgia" w:cs="Georgia" w:eastAsia="Georgia" w:hAnsi="Georgia"/>
          <w:color w:val="555555"/>
          <w:sz w:val="22"/>
          <w:szCs w:val="22"/>
        </w:rPr>
        <w:t xml:space="preserve">A posição do Conselho sobre IA em psicologia é clara em seu núcleo — a IA pode apoiar, não pode substituir o profissional nem tomar decisões clínicas. O modelo proposto aqui é inteiramente compatível com essa posição. O AI não diagnostica, não prescreve, não encaminha por conta própria. O clínico humano está no centro do design — não como supervisor formal, mas como arquiteto da lógica de escuta que o AI executa.</w:t>
      </w:r>
    </w:p>
    <w:p>
      <w:pPr>
        <w:spacing w:after="180" w:before="0"/>
        <w:jc w:val="both"/>
      </w:pPr>
      <w:r>
        <w:rPr>
          <w:rFonts w:ascii="Georgia" w:cs="Georgia" w:eastAsia="Georgia" w:hAnsi="Georgia"/>
          <w:b/>
          <w:bCs/>
          <w:color w:val="555555"/>
          <w:sz w:val="22"/>
          <w:szCs w:val="22"/>
        </w:rPr>
        <w:t xml:space="preserve">Em relação ao enquadramento jurídico: </w:t>
      </w:r>
      <w:r>
        <w:rPr>
          <w:rFonts w:ascii="Georgia" w:cs="Georgia" w:eastAsia="Georgia" w:hAnsi="Georgia"/>
          <w:color w:val="555555"/>
          <w:sz w:val="22"/>
          <w:szCs w:val="22"/>
        </w:rPr>
        <w:t xml:space="preserve">O produto precisa operar como ferramenta de suporte, não como serviço de saúde. Isso implica declaração explícita de escopo no onboarding, protocolo documentado de detecção de crise com desvio imediato para recursos humanos, e ausência de qualquer promessa clínica. Essa distinção — entre ferramenta de suporte e serviço de saúde — é juridicamente relevante e precisa ser construída com assessoria especializada em healthtech desde o início.</w:t>
      </w:r>
    </w:p>
    <w:p>
      <w:pPr>
        <w:pStyle w:val="Heading2"/>
        <w:spacing w:after="120" w:before="360"/>
      </w:pPr>
      <w:r>
        <w:rPr>
          <w:rFonts w:ascii="Arial" w:cs="Arial" w:eastAsia="Arial" w:hAnsi="Arial"/>
          <w:b/>
          <w:bCs/>
          <w:color w:val="2E5FA3"/>
          <w:sz w:val="24"/>
          <w:szCs w:val="24"/>
        </w:rPr>
        <w:t xml:space="preserve">O papel central do clínico</w:t>
      </w:r>
    </w:p>
    <w:p>
      <w:pPr>
        <w:spacing w:after="180" w:before="0"/>
        <w:jc w:val="both"/>
      </w:pPr>
      <w:r>
        <w:rPr>
          <w:rFonts w:ascii="Georgia" w:cs="Georgia" w:eastAsia="Georgia" w:hAnsi="Georgia"/>
          <w:color w:val="555555"/>
          <w:sz w:val="22"/>
          <w:szCs w:val="22"/>
        </w:rPr>
        <w:t xml:space="preserve">O argumento mais importante deste documento é, possivelmente, este: a IA não pode existir sem o clínico. Não como formalidade — mas como condição real.</w:t>
      </w:r>
    </w:p>
    <w:p>
      <w:pPr>
        <w:spacing w:after="180" w:before="0"/>
        <w:jc w:val="both"/>
      </w:pPr>
      <w:r>
        <w:rPr>
          <w:rFonts w:ascii="Georgia" w:cs="Georgia" w:eastAsia="Georgia" w:hAnsi="Georgia"/>
          <w:color w:val="555555"/>
          <w:sz w:val="22"/>
          <w:szCs w:val="22"/>
        </w:rPr>
        <w:t xml:space="preserve">A lógica de escuta que define o que o AI diz, quando diz, o que deixa em aberto — essa arquitetura não é técnica. É clínica. O protocolo de crise que garante que o sistema não falha quando mais importa precisa ser escrito por alguém que já viu crises reais. A credibilidade que permite que um produto como este seja apresentado a profissionais, instituições e usuários — essa credibilidade não vem do algoritmo.</w:t>
      </w:r>
    </w:p>
    <w:p>
      <w:pPr>
        <w:spacing w:after="180" w:before="0"/>
        <w:jc w:val="both"/>
      </w:pPr>
      <w:r>
        <w:rPr>
          <w:rFonts w:ascii="Georgia" w:cs="Georgia" w:eastAsia="Georgia" w:hAnsi="Georgia"/>
          <w:color w:val="555555"/>
          <w:sz w:val="22"/>
          <w:szCs w:val="22"/>
        </w:rPr>
        <w:t xml:space="preserve">Isso inverte a relação de poder habitual na conversa sobre IA em saúde mental. A pergunta não é "o AI vai substituir o psicólogo?". A pergunta é: quem tem a experiência clínica necessária para que esse AI funcione como deveria?</w:t>
      </w:r>
    </w:p>
    <w:p>
      <w:pPr>
        <w:pBdr>
          <w:bottom w:val="single" w:color="DDDDDD" w:sz="4" w:space="1"/>
        </w:pBdr>
        <w:spacing w:after="240" w:before="240"/>
      </w:pPr>
      <w:r>
        <w:t xml:space="preserve"/>
      </w:r>
    </w:p>
    <w:p>
      <w:pPr>
        <w:pStyle w:val="Heading2"/>
        <w:spacing w:after="120" w:before="360"/>
      </w:pPr>
      <w:r>
        <w:rPr>
          <w:rFonts w:ascii="Arial" w:cs="Arial" w:eastAsia="Arial" w:hAnsi="Arial"/>
          <w:b/>
          <w:bCs/>
          <w:color w:val="2E5FA3"/>
          <w:sz w:val="24"/>
          <w:szCs w:val="24"/>
        </w:rPr>
        <w:t xml:space="preserve">Próximo passo</w:t>
      </w:r>
    </w:p>
    <w:p>
      <w:pPr>
        <w:spacing w:after="180" w:before="0"/>
        <w:jc w:val="both"/>
      </w:pPr>
      <w:r>
        <w:rPr>
          <w:rFonts w:ascii="Georgia" w:cs="Georgia" w:eastAsia="Georgia" w:hAnsi="Georgia"/>
          <w:color w:val="555555"/>
          <w:sz w:val="22"/>
          <w:szCs w:val="22"/>
        </w:rPr>
        <w:t xml:space="preserve">Este documento é um ponto de partida para uma conversa. Há um campo real, não explorado, com obstáculos identificáveis e um modelo possível de produto que os antecipa. A questão que parece interessante explorar juntos é: como seria esse primeiro encontro bem desenhado?</w:t>
      </w:r>
    </w:p>
    <w:p>
      <w:pPr>
        <w:spacing w:after="180" w:before="0"/>
        <w:jc w:val="both"/>
      </w:pPr>
      <w:r>
        <w:rPr>
          <w:rFonts w:ascii="Georgia" w:cs="Georgia" w:eastAsia="Georgia" w:hAnsi="Georgia"/>
          <w:color w:val="555555"/>
          <w:sz w:val="22"/>
          <w:szCs w:val="22"/>
        </w:rPr>
        <w:t xml:space="preserve">Não o fluxograma de triagem — mas a conversa que faz alguém que ainda não estava pronto para pedir ajuda dar o próximo passo.</w:t>
      </w:r>
    </w:p>
    <w:p>
      <w:pPr>
        <w:spacing w:after="180" w:before="0"/>
        <w:jc w:val="both"/>
      </w:pPr>
      <w:r>
        <w:rPr>
          <w:rFonts w:ascii="Georgia" w:cs="Georgia" w:eastAsia="Georgia" w:hAnsi="Georgia"/>
          <w:i/>
          <w:iCs/>
          <w:color w:val="666666"/>
          <w:sz w:val="22"/>
          <w:szCs w:val="22"/>
        </w:rPr>
        <w:t xml:space="preserve">Uma primeira versão desse modelo pode ser desenhada. E desenhada em colaboração com quem tem a experiência clínica que ela exige.</w:t>
      </w:r>
    </w:p>
    <w:p>
      <w:pPr>
        <w:spacing w:after="0" w:before="240"/>
      </w:pPr>
      <w:r>
        <w:t xml:space="preserve"/>
      </w:r>
    </w:p>
    <w:sectPr>
      <w:headerReference w:type="default" r:id="rId7"/>
      <w:footerReference w:type="default" r:id="rId8"/>
      <w:pgSz w:w="11906" w:h="16838" w:orient="portrait"/>
      <w:pgMar w:top="1800" w:right="1800" w:bottom="180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3" w:space="1"/>
      </w:pBdr>
      <w:spacing w:after="0" w:before="160"/>
      <w:jc w:val="center"/>
    </w:pP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3" w:space="1"/>
      </w:pBdr>
      <w:spacing w:after="160" w:before="0"/>
      <w:jc w:val="right"/>
    </w:pPr>
    <w:r>
      <w:rPr>
        <w:rFonts w:ascii="Arial" w:cs="Arial" w:eastAsia="Arial" w:hAnsi="Arial"/>
        <w:color w:val="888888"/>
        <w:sz w:val="18"/>
        <w:szCs w:val="18"/>
      </w:rPr>
      <w:t xml:space="preserve">Marcos Bulcão · maio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Georgia" w:cs="Georgia" w:eastAsia="Georgia" w:hAnsi="Georgia"/>
      <w:b/>
      <w:bCs/>
      <w:color w:val="1a1a1a"/>
      <w:sz w:val="28"/>
      <w:szCs w:val="28"/>
    </w:rPr>
  </w:style>
  <w:style w:type="paragraph" w:styleId="Heading2">
    <w:name w:val="Heading 2"/>
    <w:basedOn w:val="Normal"/>
    <w:next w:val="Normal"/>
    <w:qFormat/>
    <w:pPr>
      <w:spacing w:after="120" w:before="360"/>
      <w:outlineLvl w:val="1"/>
    </w:pPr>
    <w:rPr>
      <w:rFonts w:ascii="Arial" w:cs="Arial" w:eastAsia="Arial" w:hAnsi="Arial"/>
      <w:b/>
      <w:bCs/>
      <w:color w:val="2E5F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2026-05-14T15:04:15.070Z</dcterms:created>
  <dcterms:modified xsi:type="dcterms:W3CDTF">2026-05-14T15:04:15.071Z</dcterms:modified>
</cp:coreProperties>
</file>

<file path=docProps/custom.xml><?xml version="1.0" encoding="utf-8"?>
<Properties xmlns="http://schemas.openxmlformats.org/officeDocument/2006/custom-properties" xmlns:vt="http://schemas.openxmlformats.org/officeDocument/2006/docPropsVTypes"/>
</file>