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/>
          <w:b/>
          <w:i w:val="0"/>
          <w:sz w:val="26"/>
        </w:rPr>
        <w:t>Complete Cells Containing Each Agent, by Grid Cell Size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  <w:color w:val="333333"/>
          <w:sz w:val="20"/>
        </w:rPr>
        <w:t>Absolute counts of complete cells intersecting each change agent's polygons, by grid cell size. The denominator for the detection rate is Complete cells (n_cells_complete), the number of cells fully within the seven-watershed AOI. The 112 pixel row is shown in bold. GLKN change polygons, 2010 to 2020.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Cell (px)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Side (m)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Area (km²)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Complete cells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Harvest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Development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Beaver</w:t>
            </w:r>
          </w:p>
        </w:tc>
        <w:tc>
          <w:tcPr>
            <w:tcW w:type="dxa" w:w="1080"/>
            <w:vAlign w:val="bottom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Insect/Disease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224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6,720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45.16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166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121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86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39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112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3,360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11.29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664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398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209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62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19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56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1,680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2.82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2,656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1,027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387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79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32</w:t>
            </w:r>
          </w:p>
        </w:tc>
      </w:tr>
      <w:tr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28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840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0.71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10,624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2,292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614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98</w:t>
            </w:r>
          </w:p>
        </w:tc>
        <w:tc>
          <w:tcPr>
            <w:tcW w:type="dxa" w:w="108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48</w:t>
            </w:r>
          </w:p>
        </w:tc>
      </w:tr>
      <w:tr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14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420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0.18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42,496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5,170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998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146</w:t>
            </w:r>
          </w:p>
        </w:tc>
        <w:tc>
          <w:tcPr>
            <w:tcW w:type="dxa" w:w="1080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83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