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/>
          <w:b/>
          <w:i w:val="0"/>
          <w:sz w:val="26"/>
        </w:rPr>
        <w:t>Disturbance Polygon Size by Agent</w:t>
      </w:r>
    </w:p>
    <w:p>
      <w:pPr>
        <w:spacing w:after="80" w:before="0"/>
      </w:pPr>
      <w:r>
        <w:rPr>
          <w:rFonts w:ascii="Times New Roman" w:hAnsi="Times New Roman"/>
          <w:b w:val="0"/>
          <w:i/>
          <w:color w:val="404040"/>
          <w:sz w:val="22"/>
        </w:rPr>
        <w:t>GLKN watersheds, 2017 to 2020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bottom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Agent</w:t>
            </w:r>
          </w:p>
        </w:tc>
        <w:tc>
          <w:tcPr>
            <w:tcW w:type="dxa" w:w="1440"/>
            <w:vAlign w:val="bottom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N polygons</w:t>
            </w:r>
          </w:p>
        </w:tc>
        <w:tc>
          <w:tcPr>
            <w:tcW w:type="dxa" w:w="1440"/>
            <w:vAlign w:val="bottom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Min (ha)</w:t>
            </w:r>
          </w:p>
        </w:tc>
        <w:tc>
          <w:tcPr>
            <w:tcW w:type="dxa" w:w="1440"/>
            <w:vAlign w:val="bottom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Mean (ha)</w:t>
            </w:r>
          </w:p>
        </w:tc>
        <w:tc>
          <w:tcPr>
            <w:tcW w:type="dxa" w:w="1440"/>
            <w:vAlign w:val="bottom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Max (ha)</w:t>
            </w:r>
          </w:p>
        </w:tc>
        <w:tc>
          <w:tcPr>
            <w:tcW w:type="dxa" w:w="1440"/>
            <w:vAlign w:val="bottom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Total (km²)</w:t>
            </w:r>
          </w:p>
        </w:tc>
      </w:tr>
      <w:tr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Harvest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1,347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0.81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6.17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81.63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83.05</w:t>
            </w:r>
          </w:p>
        </w:tc>
      </w:tr>
      <w:tr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Development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775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0.81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2.67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38.34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20.67</w:t>
            </w:r>
          </w:p>
        </w:tc>
      </w:tr>
      <w:tr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Beaver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53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0.81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2.77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49.05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1.47</w:t>
            </w:r>
          </w:p>
        </w:tc>
      </w:tr>
      <w:tr>
        <w:tc>
          <w:tcPr>
            <w:tcW w:type="dxa" w:w="1440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Insect/Disease</w:t>
            </w:r>
          </w:p>
        </w:tc>
        <w:tc>
          <w:tcPr>
            <w:tcW w:type="dxa" w:w="1440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30</w:t>
            </w:r>
          </w:p>
        </w:tc>
        <w:tc>
          <w:tcPr>
            <w:tcW w:type="dxa" w:w="1440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0.81</w:t>
            </w:r>
          </w:p>
        </w:tc>
        <w:tc>
          <w:tcPr>
            <w:tcW w:type="dxa" w:w="1440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2.16</w:t>
            </w:r>
          </w:p>
        </w:tc>
        <w:tc>
          <w:tcPr>
            <w:tcW w:type="dxa" w:w="1440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7.02</w:t>
            </w:r>
          </w:p>
        </w:tc>
        <w:tc>
          <w:tcPr>
            <w:tcW w:type="dxa" w:w="1440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0.65</w:t>
            </w:r>
          </w:p>
        </w:tc>
      </w:tr>
    </w:tbl>
    <w:p>
      <w:pPr>
        <w:spacing w:after="0" w:before="120"/>
      </w:pPr>
      <w:r>
        <w:rPr>
          <w:rFonts w:ascii="Times New Roman" w:hAnsi="Times New Roman"/>
          <w:b w:val="0"/>
          <w:i w:val="0"/>
          <w:color w:val="404040"/>
          <w:sz w:val="18"/>
        </w:rPr>
        <w:t>Polygon counts, extents, and totals aggregated over the change years 2017 to 2020: N and total are summed, min and max are the extremes across years, and mean is total area divided by N. The per-year export does not carry the underlying polygon areas, so a pooled median and standard deviation are not recoverable and are not shown. Beaver and insect and disease rest on few polygons (see the N column), so their statistics are based on limited 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