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/>
          <w:b/>
          <w:i w:val="0"/>
          <w:sz w:val="26"/>
        </w:rPr>
        <w:t>Per-Agent Change Detection Rate by Grid Cell Size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color w:val="333333"/>
          <w:sz w:val="20"/>
        </w:rPr>
        <w:t>Fraction of complete cells, fully within the seven-watershed area of interest (AOI), that contain at least one polygon of each change agent, by grid cell size. Detection rate is n_with_change divided by n_cells_complete. The 112 pixel cell (11.29 square kilometers), the selected size, is shown in bold. GLKN change polygons; the source export does not record a year window.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Cell (px)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Side (m)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Area (km²)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Harvest (%)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Development (%)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Beaver (%)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Insect/Disease (%)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224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6,720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45.16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72.9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51.8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23.5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7.8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112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3,360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11.29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59.9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31.5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9.3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2.9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1,680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2.82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38.7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14.6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3.0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1.2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28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840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0.71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21.6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5.8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0.9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0.5</w:t>
            </w:r>
          </w:p>
        </w:tc>
      </w:tr>
      <w:tr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420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0.18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12.2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2.3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0.3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