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b/>
          <w:i w:val="0"/>
          <w:sz w:val="26"/>
        </w:rPr>
        <w:t>Per-Class Inter-Interpreter Agreement, Five-Class Collapse</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vAlign w:val="bottom"/>
            <w:tcBorders>
              <w:top w:val="single" w:sz="12" w:space="0" w:color="000000"/>
              <w:bottom w:val="single" w:sz="6" w:space="0" w:color="000000"/>
              <w:left w:val="nil"/>
              <w:right w:val="nil"/>
            </w:tcBorders>
          </w:tcPr>
          <w:p>
            <w:pPr>
              <w:jc w:val="left"/>
            </w:pPr>
            <w:r>
              <w:rPr>
                <w:rFonts w:ascii="Times New Roman" w:hAnsi="Times New Roman"/>
                <w:b/>
                <w:sz w:val="22"/>
              </w:rPr>
              <w:t>Class</w:t>
            </w:r>
          </w:p>
        </w:tc>
        <w:tc>
          <w:tcPr>
            <w:tcW w:type="dxa" w:w="1440"/>
            <w:vAlign w:val="bottom"/>
            <w:tcBorders>
              <w:top w:val="single" w:sz="12" w:space="0" w:color="000000"/>
              <w:bottom w:val="single" w:sz="6" w:space="0" w:color="000000"/>
              <w:left w:val="nil"/>
              <w:right w:val="nil"/>
            </w:tcBorders>
          </w:tcPr>
          <w:p>
            <w:pPr>
              <w:jc w:val="right"/>
            </w:pPr>
            <w:r>
              <w:rPr>
                <w:rFonts w:ascii="Times New Roman" w:hAnsi="Times New Roman"/>
                <w:b/>
                <w:sz w:val="22"/>
              </w:rPr>
              <w:t>Pairs</w:t>
            </w:r>
          </w:p>
        </w:tc>
        <w:tc>
          <w:tcPr>
            <w:tcW w:type="dxa" w:w="1440"/>
            <w:vAlign w:val="bottom"/>
            <w:tcBorders>
              <w:top w:val="single" w:sz="12" w:space="0" w:color="000000"/>
              <w:bottom w:val="single" w:sz="6" w:space="0" w:color="000000"/>
              <w:left w:val="nil"/>
              <w:right w:val="nil"/>
            </w:tcBorders>
          </w:tcPr>
          <w:p>
            <w:pPr>
              <w:jc w:val="right"/>
            </w:pPr>
            <w:r>
              <w:rPr>
                <w:rFonts w:ascii="Times New Roman" w:hAnsi="Times New Roman"/>
                <w:b/>
                <w:sz w:val="22"/>
              </w:rPr>
              <w:t>Support (px)</w:t>
            </w:r>
          </w:p>
        </w:tc>
        <w:tc>
          <w:tcPr>
            <w:tcW w:type="dxa" w:w="1440"/>
            <w:vAlign w:val="bottom"/>
            <w:tcBorders>
              <w:top w:val="single" w:sz="12" w:space="0" w:color="000000"/>
              <w:bottom w:val="single" w:sz="6" w:space="0" w:color="000000"/>
              <w:left w:val="nil"/>
              <w:right w:val="nil"/>
            </w:tcBorders>
          </w:tcPr>
          <w:p>
            <w:pPr>
              <w:jc w:val="left"/>
            </w:pPr>
            <w:r>
              <w:rPr>
                <w:rFonts w:ascii="Times New Roman" w:hAnsi="Times New Roman"/>
                <w:b/>
                <w:sz w:val="22"/>
              </w:rPr>
              <w:t>F1 (95% CI)</w:t>
            </w:r>
          </w:p>
        </w:tc>
        <w:tc>
          <w:tcPr>
            <w:tcW w:type="dxa" w:w="1440"/>
            <w:vAlign w:val="bottom"/>
            <w:tcBorders>
              <w:top w:val="single" w:sz="12" w:space="0" w:color="000000"/>
              <w:bottom w:val="single" w:sz="6" w:space="0" w:color="000000"/>
              <w:left w:val="nil"/>
              <w:right w:val="nil"/>
            </w:tcBorders>
          </w:tcPr>
          <w:p>
            <w:pPr>
              <w:jc w:val="left"/>
            </w:pPr>
            <w:r>
              <w:rPr>
                <w:rFonts w:ascii="Times New Roman" w:hAnsi="Times New Roman"/>
                <w:b/>
                <w:sz w:val="22"/>
              </w:rPr>
              <w:t>IoU (95% CI)</w:t>
            </w:r>
          </w:p>
        </w:tc>
        <w:tc>
          <w:tcPr>
            <w:tcW w:type="dxa" w:w="1440"/>
            <w:vAlign w:val="bottom"/>
            <w:tcBorders>
              <w:top w:val="single" w:sz="12" w:space="0" w:color="000000"/>
              <w:bottom w:val="single" w:sz="6" w:space="0" w:color="000000"/>
              <w:left w:val="nil"/>
              <w:right w:val="nil"/>
            </w:tcBorders>
          </w:tcPr>
          <w:p>
            <w:pPr>
              <w:jc w:val="left"/>
            </w:pPr>
            <w:r>
              <w:rPr>
                <w:rFonts w:ascii="Times New Roman" w:hAnsi="Times New Roman"/>
                <w:b/>
                <w:sz w:val="22"/>
              </w:rPr>
              <w:t>Reliability</w:t>
            </w:r>
          </w:p>
        </w:tc>
      </w:tr>
      <w:tr>
        <w:tc>
          <w:tcPr>
            <w:tcW w:type="dxa" w:w="1440"/>
            <w:tcBorders>
              <w:top w:val="nil"/>
              <w:bottom w:val="nil"/>
              <w:left w:val="nil"/>
              <w:right w:val="nil"/>
            </w:tcBorders>
          </w:tcPr>
          <w:p>
            <w:pPr>
              <w:jc w:val="left"/>
            </w:pPr>
            <w:r>
              <w:rPr>
                <w:rFonts w:ascii="Times New Roman" w:hAnsi="Times New Roman"/>
                <w:b w:val="0"/>
                <w:sz w:val="22"/>
              </w:rPr>
              <w:t>Stable</w:t>
            </w:r>
          </w:p>
        </w:tc>
        <w:tc>
          <w:tcPr>
            <w:tcW w:type="dxa" w:w="1440"/>
            <w:tcBorders>
              <w:top w:val="nil"/>
              <w:bottom w:val="nil"/>
              <w:left w:val="nil"/>
              <w:right w:val="nil"/>
            </w:tcBorders>
          </w:tcPr>
          <w:p>
            <w:pPr>
              <w:jc w:val="right"/>
            </w:pPr>
            <w:r>
              <w:rPr>
                <w:rFonts w:ascii="Times New Roman" w:hAnsi="Times New Roman"/>
                <w:b w:val="0"/>
                <w:sz w:val="22"/>
              </w:rPr>
              <w:t>72</w:t>
            </w:r>
          </w:p>
        </w:tc>
        <w:tc>
          <w:tcPr>
            <w:tcW w:type="dxa" w:w="1440"/>
            <w:tcBorders>
              <w:top w:val="nil"/>
              <w:bottom w:val="nil"/>
              <w:left w:val="nil"/>
              <w:right w:val="nil"/>
            </w:tcBorders>
          </w:tcPr>
          <w:p>
            <w:pPr>
              <w:jc w:val="right"/>
            </w:pPr>
            <w:r>
              <w:rPr>
                <w:rFonts w:ascii="Times New Roman" w:hAnsi="Times New Roman"/>
                <w:b w:val="0"/>
                <w:sz w:val="22"/>
              </w:rPr>
              <w:t>8,087,379</w:t>
            </w:r>
          </w:p>
        </w:tc>
        <w:tc>
          <w:tcPr>
            <w:tcW w:type="dxa" w:w="1440"/>
            <w:tcBorders>
              <w:top w:val="nil"/>
              <w:bottom w:val="nil"/>
              <w:left w:val="nil"/>
              <w:right w:val="nil"/>
            </w:tcBorders>
          </w:tcPr>
          <w:p>
            <w:pPr>
              <w:jc w:val="left"/>
            </w:pPr>
            <w:r>
              <w:rPr>
                <w:rFonts w:ascii="Times New Roman" w:hAnsi="Times New Roman"/>
                <w:b w:val="0"/>
                <w:sz w:val="22"/>
              </w:rPr>
              <w:t>0.99 (0.99–1.00)</w:t>
            </w:r>
          </w:p>
        </w:tc>
        <w:tc>
          <w:tcPr>
            <w:tcW w:type="dxa" w:w="1440"/>
            <w:tcBorders>
              <w:top w:val="nil"/>
              <w:bottom w:val="nil"/>
              <w:left w:val="nil"/>
              <w:right w:val="nil"/>
            </w:tcBorders>
          </w:tcPr>
          <w:p>
            <w:pPr>
              <w:jc w:val="left"/>
            </w:pPr>
            <w:r>
              <w:rPr>
                <w:rFonts w:ascii="Times New Roman" w:hAnsi="Times New Roman"/>
                <w:b w:val="0"/>
                <w:sz w:val="22"/>
              </w:rPr>
              <w:t>0.99 (0.98–0.99)</w:t>
            </w:r>
          </w:p>
        </w:tc>
        <w:tc>
          <w:tcPr>
            <w:tcW w:type="dxa" w:w="1440"/>
            <w:tcBorders>
              <w:top w:val="nil"/>
              <w:bottom w:val="nil"/>
              <w:left w:val="nil"/>
              <w:right w:val="nil"/>
            </w:tcBorders>
          </w:tcPr>
          <w:p>
            <w:pPr>
              <w:jc w:val="left"/>
            </w:pPr>
            <w:r>
              <w:rPr>
                <w:rFonts w:ascii="Times New Roman" w:hAnsi="Times New Roman"/>
                <w:b w:val="0"/>
                <w:sz w:val="22"/>
              </w:rPr>
              <w:t>High</w:t>
            </w:r>
          </w:p>
        </w:tc>
      </w:tr>
      <w:tr>
        <w:tc>
          <w:tcPr>
            <w:tcW w:type="dxa" w:w="1440"/>
            <w:tcBorders>
              <w:top w:val="nil"/>
              <w:bottom w:val="nil"/>
              <w:left w:val="nil"/>
              <w:right w:val="nil"/>
            </w:tcBorders>
          </w:tcPr>
          <w:p>
            <w:pPr>
              <w:jc w:val="left"/>
            </w:pPr>
            <w:r>
              <w:rPr>
                <w:rFonts w:ascii="Times New Roman" w:hAnsi="Times New Roman"/>
                <w:b w:val="0"/>
                <w:sz w:val="22"/>
              </w:rPr>
              <w:t>Harvest</w:t>
            </w:r>
          </w:p>
        </w:tc>
        <w:tc>
          <w:tcPr>
            <w:tcW w:type="dxa" w:w="1440"/>
            <w:tcBorders>
              <w:top w:val="nil"/>
              <w:bottom w:val="nil"/>
              <w:left w:val="nil"/>
              <w:right w:val="nil"/>
            </w:tcBorders>
          </w:tcPr>
          <w:p>
            <w:pPr>
              <w:jc w:val="right"/>
            </w:pPr>
            <w:r>
              <w:rPr>
                <w:rFonts w:ascii="Times New Roman" w:hAnsi="Times New Roman"/>
                <w:b w:val="0"/>
                <w:sz w:val="22"/>
              </w:rPr>
              <w:t>35</w:t>
            </w:r>
          </w:p>
        </w:tc>
        <w:tc>
          <w:tcPr>
            <w:tcW w:type="dxa" w:w="1440"/>
            <w:tcBorders>
              <w:top w:val="nil"/>
              <w:bottom w:val="nil"/>
              <w:left w:val="nil"/>
              <w:right w:val="nil"/>
            </w:tcBorders>
          </w:tcPr>
          <w:p>
            <w:pPr>
              <w:jc w:val="right"/>
            </w:pPr>
            <w:r>
              <w:rPr>
                <w:rFonts w:ascii="Times New Roman" w:hAnsi="Times New Roman"/>
                <w:b w:val="0"/>
                <w:sz w:val="22"/>
              </w:rPr>
              <w:t>124,641</w:t>
            </w:r>
          </w:p>
        </w:tc>
        <w:tc>
          <w:tcPr>
            <w:tcW w:type="dxa" w:w="1440"/>
            <w:tcBorders>
              <w:top w:val="nil"/>
              <w:bottom w:val="nil"/>
              <w:left w:val="nil"/>
              <w:right w:val="nil"/>
            </w:tcBorders>
          </w:tcPr>
          <w:p>
            <w:pPr>
              <w:jc w:val="left"/>
            </w:pPr>
            <w:r>
              <w:rPr>
                <w:rFonts w:ascii="Times New Roman" w:hAnsi="Times New Roman"/>
                <w:b w:val="0"/>
                <w:sz w:val="22"/>
              </w:rPr>
              <w:t>0.75 (0.63–0.82)</w:t>
            </w:r>
          </w:p>
        </w:tc>
        <w:tc>
          <w:tcPr>
            <w:tcW w:type="dxa" w:w="1440"/>
            <w:tcBorders>
              <w:top w:val="nil"/>
              <w:bottom w:val="nil"/>
              <w:left w:val="nil"/>
              <w:right w:val="nil"/>
            </w:tcBorders>
          </w:tcPr>
          <w:p>
            <w:pPr>
              <w:jc w:val="left"/>
            </w:pPr>
            <w:r>
              <w:rPr>
                <w:rFonts w:ascii="Times New Roman" w:hAnsi="Times New Roman"/>
                <w:b w:val="0"/>
                <w:sz w:val="22"/>
              </w:rPr>
              <w:t>0.60 (0.46–0.70)</w:t>
            </w:r>
          </w:p>
        </w:tc>
        <w:tc>
          <w:tcPr>
            <w:tcW w:type="dxa" w:w="1440"/>
            <w:tcBorders>
              <w:top w:val="nil"/>
              <w:bottom w:val="nil"/>
              <w:left w:val="nil"/>
              <w:right w:val="nil"/>
            </w:tcBorders>
          </w:tcPr>
          <w:p>
            <w:pPr>
              <w:jc w:val="left"/>
            </w:pPr>
            <w:r>
              <w:rPr>
                <w:rFonts w:ascii="Times New Roman" w:hAnsi="Times New Roman"/>
                <w:b w:val="0"/>
                <w:sz w:val="22"/>
              </w:rPr>
              <w:t>High</w:t>
            </w:r>
          </w:p>
        </w:tc>
      </w:tr>
      <w:tr>
        <w:tc>
          <w:tcPr>
            <w:tcW w:type="dxa" w:w="1440"/>
            <w:tcBorders>
              <w:top w:val="nil"/>
              <w:bottom w:val="nil"/>
              <w:left w:val="nil"/>
              <w:right w:val="nil"/>
            </w:tcBorders>
          </w:tcPr>
          <w:p>
            <w:pPr>
              <w:jc w:val="left"/>
            </w:pPr>
            <w:r>
              <w:rPr>
                <w:rFonts w:ascii="Times New Roman" w:hAnsi="Times New Roman"/>
                <w:b w:val="0"/>
                <w:sz w:val="22"/>
              </w:rPr>
              <w:t>Development</w:t>
            </w:r>
          </w:p>
        </w:tc>
        <w:tc>
          <w:tcPr>
            <w:tcW w:type="dxa" w:w="1440"/>
            <w:tcBorders>
              <w:top w:val="nil"/>
              <w:bottom w:val="nil"/>
              <w:left w:val="nil"/>
              <w:right w:val="nil"/>
            </w:tcBorders>
          </w:tcPr>
          <w:p>
            <w:pPr>
              <w:jc w:val="right"/>
            </w:pPr>
            <w:r>
              <w:rPr>
                <w:rFonts w:ascii="Times New Roman" w:hAnsi="Times New Roman"/>
                <w:b w:val="0"/>
                <w:sz w:val="22"/>
              </w:rPr>
              <w:t>27</w:t>
            </w:r>
          </w:p>
        </w:tc>
        <w:tc>
          <w:tcPr>
            <w:tcW w:type="dxa" w:w="1440"/>
            <w:tcBorders>
              <w:top w:val="nil"/>
              <w:bottom w:val="nil"/>
              <w:left w:val="nil"/>
              <w:right w:val="nil"/>
            </w:tcBorders>
          </w:tcPr>
          <w:p>
            <w:pPr>
              <w:jc w:val="right"/>
            </w:pPr>
            <w:r>
              <w:rPr>
                <w:rFonts w:ascii="Times New Roman" w:hAnsi="Times New Roman"/>
                <w:b w:val="0"/>
                <w:sz w:val="22"/>
              </w:rPr>
              <w:t>9,288</w:t>
            </w:r>
          </w:p>
        </w:tc>
        <w:tc>
          <w:tcPr>
            <w:tcW w:type="dxa" w:w="1440"/>
            <w:tcBorders>
              <w:top w:val="nil"/>
              <w:bottom w:val="nil"/>
              <w:left w:val="nil"/>
              <w:right w:val="nil"/>
            </w:tcBorders>
          </w:tcPr>
          <w:p>
            <w:pPr>
              <w:jc w:val="left"/>
            </w:pPr>
            <w:r>
              <w:rPr>
                <w:rFonts w:ascii="Times New Roman" w:hAnsi="Times New Roman"/>
                <w:b w:val="0"/>
                <w:sz w:val="22"/>
              </w:rPr>
              <w:t>0.29 (0.03–0.47)</w:t>
            </w:r>
          </w:p>
        </w:tc>
        <w:tc>
          <w:tcPr>
            <w:tcW w:type="dxa" w:w="1440"/>
            <w:tcBorders>
              <w:top w:val="nil"/>
              <w:bottom w:val="nil"/>
              <w:left w:val="nil"/>
              <w:right w:val="nil"/>
            </w:tcBorders>
          </w:tcPr>
          <w:p>
            <w:pPr>
              <w:jc w:val="left"/>
            </w:pPr>
            <w:r>
              <w:rPr>
                <w:rFonts w:ascii="Times New Roman" w:hAnsi="Times New Roman"/>
                <w:b w:val="0"/>
                <w:sz w:val="22"/>
              </w:rPr>
              <w:t>0.17 (0.01–0.31)</w:t>
            </w:r>
          </w:p>
        </w:tc>
        <w:tc>
          <w:tcPr>
            <w:tcW w:type="dxa" w:w="1440"/>
            <w:tcBorders>
              <w:top w:val="nil"/>
              <w:bottom w:val="nil"/>
              <w:left w:val="nil"/>
              <w:right w:val="nil"/>
            </w:tcBorders>
          </w:tcPr>
          <w:p>
            <w:pPr>
              <w:jc w:val="left"/>
            </w:pPr>
            <w:r>
              <w:rPr>
                <w:rFonts w:ascii="Times New Roman" w:hAnsi="Times New Roman"/>
                <w:b w:val="0"/>
                <w:sz w:val="22"/>
              </w:rPr>
              <w:t>Low</w:t>
            </w:r>
          </w:p>
        </w:tc>
      </w:tr>
      <w:tr>
        <w:tc>
          <w:tcPr>
            <w:tcW w:type="dxa" w:w="1440"/>
            <w:tcBorders>
              <w:top w:val="nil"/>
              <w:bottom w:val="nil"/>
              <w:left w:val="nil"/>
              <w:right w:val="nil"/>
            </w:tcBorders>
          </w:tcPr>
          <w:p>
            <w:pPr>
              <w:jc w:val="left"/>
            </w:pPr>
            <w:r>
              <w:rPr>
                <w:rFonts w:ascii="Times New Roman" w:hAnsi="Times New Roman"/>
                <w:b w:val="0"/>
                <w:sz w:val="22"/>
              </w:rPr>
              <w:t>Insect/Disease</w:t>
            </w:r>
          </w:p>
        </w:tc>
        <w:tc>
          <w:tcPr>
            <w:tcW w:type="dxa" w:w="1440"/>
            <w:tcBorders>
              <w:top w:val="nil"/>
              <w:bottom w:val="nil"/>
              <w:left w:val="nil"/>
              <w:right w:val="nil"/>
            </w:tcBorders>
          </w:tcPr>
          <w:p>
            <w:pPr>
              <w:jc w:val="right"/>
            </w:pPr>
            <w:r>
              <w:rPr>
                <w:rFonts w:ascii="Times New Roman" w:hAnsi="Times New Roman"/>
                <w:b w:val="0"/>
                <w:sz w:val="22"/>
              </w:rPr>
              <w:t>19</w:t>
            </w:r>
          </w:p>
        </w:tc>
        <w:tc>
          <w:tcPr>
            <w:tcW w:type="dxa" w:w="1440"/>
            <w:tcBorders>
              <w:top w:val="nil"/>
              <w:bottom w:val="nil"/>
              <w:left w:val="nil"/>
              <w:right w:val="nil"/>
            </w:tcBorders>
          </w:tcPr>
          <w:p>
            <w:pPr>
              <w:jc w:val="right"/>
            </w:pPr>
            <w:r>
              <w:rPr>
                <w:rFonts w:ascii="Times New Roman" w:hAnsi="Times New Roman"/>
                <w:b w:val="0"/>
                <w:sz w:val="22"/>
              </w:rPr>
              <w:t>56,257</w:t>
            </w:r>
          </w:p>
        </w:tc>
        <w:tc>
          <w:tcPr>
            <w:tcW w:type="dxa" w:w="1440"/>
            <w:tcBorders>
              <w:top w:val="nil"/>
              <w:bottom w:val="nil"/>
              <w:left w:val="nil"/>
              <w:right w:val="nil"/>
            </w:tcBorders>
          </w:tcPr>
          <w:p>
            <w:pPr>
              <w:jc w:val="left"/>
            </w:pPr>
            <w:r>
              <w:rPr>
                <w:rFonts w:ascii="Times New Roman" w:hAnsi="Times New Roman"/>
                <w:b w:val="0"/>
                <w:sz w:val="22"/>
              </w:rPr>
              <w:t>0.23 (0.00–0.47)</w:t>
            </w:r>
          </w:p>
        </w:tc>
        <w:tc>
          <w:tcPr>
            <w:tcW w:type="dxa" w:w="1440"/>
            <w:tcBorders>
              <w:top w:val="nil"/>
              <w:bottom w:val="nil"/>
              <w:left w:val="nil"/>
              <w:right w:val="nil"/>
            </w:tcBorders>
          </w:tcPr>
          <w:p>
            <w:pPr>
              <w:jc w:val="left"/>
            </w:pPr>
            <w:r>
              <w:rPr>
                <w:rFonts w:ascii="Times New Roman" w:hAnsi="Times New Roman"/>
                <w:b w:val="0"/>
                <w:sz w:val="22"/>
              </w:rPr>
              <w:t>0.13 (0.00–0.30)</w:t>
            </w:r>
          </w:p>
        </w:tc>
        <w:tc>
          <w:tcPr>
            <w:tcW w:type="dxa" w:w="1440"/>
            <w:tcBorders>
              <w:top w:val="nil"/>
              <w:bottom w:val="nil"/>
              <w:left w:val="nil"/>
              <w:right w:val="nil"/>
            </w:tcBorders>
          </w:tcPr>
          <w:p>
            <w:pPr>
              <w:jc w:val="left"/>
            </w:pPr>
            <w:r>
              <w:rPr>
                <w:rFonts w:ascii="Times New Roman" w:hAnsi="Times New Roman"/>
                <w:b w:val="0"/>
                <w:sz w:val="22"/>
              </w:rPr>
              <w:t>Low</w:t>
            </w:r>
          </w:p>
        </w:tc>
      </w:tr>
      <w:tr>
        <w:tc>
          <w:tcPr>
            <w:tcW w:type="dxa" w:w="1440"/>
            <w:tcBorders>
              <w:top w:val="nil"/>
              <w:bottom w:val="single" w:sz="12" w:space="0" w:color="000000"/>
              <w:left w:val="nil"/>
              <w:right w:val="nil"/>
            </w:tcBorders>
          </w:tcPr>
          <w:p>
            <w:pPr>
              <w:jc w:val="left"/>
            </w:pPr>
            <w:r>
              <w:rPr>
                <w:rFonts w:ascii="Times New Roman" w:hAnsi="Times New Roman"/>
                <w:b w:val="0"/>
                <w:sz w:val="22"/>
              </w:rPr>
              <w:t>Beaver</w:t>
            </w:r>
          </w:p>
        </w:tc>
        <w:tc>
          <w:tcPr>
            <w:tcW w:type="dxa" w:w="1440"/>
            <w:tcBorders>
              <w:top w:val="nil"/>
              <w:bottom w:val="single" w:sz="12" w:space="0" w:color="000000"/>
              <w:left w:val="nil"/>
              <w:right w:val="nil"/>
            </w:tcBorders>
          </w:tcPr>
          <w:p>
            <w:pPr>
              <w:jc w:val="right"/>
            </w:pPr>
            <w:r>
              <w:rPr>
                <w:rFonts w:ascii="Times New Roman" w:hAnsi="Times New Roman"/>
                <w:b w:val="0"/>
                <w:sz w:val="22"/>
              </w:rPr>
              <w:t>15</w:t>
            </w:r>
          </w:p>
        </w:tc>
        <w:tc>
          <w:tcPr>
            <w:tcW w:type="dxa" w:w="1440"/>
            <w:tcBorders>
              <w:top w:val="nil"/>
              <w:bottom w:val="single" w:sz="12" w:space="0" w:color="000000"/>
              <w:left w:val="nil"/>
              <w:right w:val="nil"/>
            </w:tcBorders>
          </w:tcPr>
          <w:p>
            <w:pPr>
              <w:jc w:val="right"/>
            </w:pPr>
            <w:r>
              <w:rPr>
                <w:rFonts w:ascii="Times New Roman" w:hAnsi="Times New Roman"/>
                <w:b w:val="0"/>
                <w:sz w:val="22"/>
              </w:rPr>
              <w:t>8,828</w:t>
            </w:r>
          </w:p>
        </w:tc>
        <w:tc>
          <w:tcPr>
            <w:tcW w:type="dxa" w:w="1440"/>
            <w:tcBorders>
              <w:top w:val="nil"/>
              <w:bottom w:val="single" w:sz="12" w:space="0" w:color="000000"/>
              <w:left w:val="nil"/>
              <w:right w:val="nil"/>
            </w:tcBorders>
          </w:tcPr>
          <w:p>
            <w:pPr>
              <w:jc w:val="left"/>
            </w:pPr>
            <w:r>
              <w:rPr>
                <w:rFonts w:ascii="Times New Roman" w:hAnsi="Times New Roman"/>
                <w:b w:val="0"/>
                <w:sz w:val="22"/>
              </w:rPr>
              <w:t>0.08 (0.00–0.21)</w:t>
            </w:r>
          </w:p>
        </w:tc>
        <w:tc>
          <w:tcPr>
            <w:tcW w:type="dxa" w:w="1440"/>
            <w:tcBorders>
              <w:top w:val="nil"/>
              <w:bottom w:val="single" w:sz="12" w:space="0" w:color="000000"/>
              <w:left w:val="nil"/>
              <w:right w:val="nil"/>
            </w:tcBorders>
          </w:tcPr>
          <w:p>
            <w:pPr>
              <w:jc w:val="left"/>
            </w:pPr>
            <w:r>
              <w:rPr>
                <w:rFonts w:ascii="Times New Roman" w:hAnsi="Times New Roman"/>
                <w:b w:val="0"/>
                <w:sz w:val="22"/>
              </w:rPr>
              <w:t>0.04 (0.00–0.12)</w:t>
            </w:r>
          </w:p>
        </w:tc>
        <w:tc>
          <w:tcPr>
            <w:tcW w:type="dxa" w:w="1440"/>
            <w:tcBorders>
              <w:top w:val="nil"/>
              <w:bottom w:val="single" w:sz="12" w:space="0" w:color="000000"/>
              <w:left w:val="nil"/>
              <w:right w:val="nil"/>
            </w:tcBorders>
          </w:tcPr>
          <w:p>
            <w:pPr>
              <w:jc w:val="left"/>
            </w:pPr>
            <w:r>
              <w:rPr>
                <w:rFonts w:ascii="Times New Roman" w:hAnsi="Times New Roman"/>
                <w:b w:val="0"/>
                <w:sz w:val="22"/>
              </w:rPr>
              <w:t>Low</w:t>
            </w:r>
          </w:p>
        </w:tc>
      </w:tr>
    </w:tbl>
    <w:p>
      <w:pPr>
        <w:spacing w:after="0" w:before="120"/>
      </w:pPr>
      <w:r>
        <w:rPr>
          <w:rFonts w:ascii="Times New Roman" w:hAnsi="Times New Roman"/>
          <w:b w:val="0"/>
          <w:i w:val="0"/>
          <w:color w:val="404040"/>
          <w:sz w:val="18"/>
        </w:rPr>
        <w:t>F1 between independent interpreters over the 72 double-interpreted cells, with 95% cluster bootstrap confidence intervals and IoU, and the reliability tier (thresholds at 0.50 and 0.70). Interpreters agree almost perfectly on stable land and well on harvest, but poorly on development, insect and disease, and beaver.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