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Skin Microbiome Project</w:t>
      </w:r>
    </w:p>
    <w:p>
      <w:pPr>
        <w:pStyle w:val="Author"/>
      </w:pPr>
      <w:r>
        <w:t xml:space="preserve">Alexis Shulga, Brianna Correa, Marguerite Butler</w:t>
      </w:r>
    </w:p>
    <w:bookmarkStart w:id="20" w:name="project-description"/>
    <w:p>
      <w:pPr>
        <w:pStyle w:val="Heading2"/>
      </w:pPr>
      <w:r>
        <w:t xml:space="preserve">Project Description</w:t>
      </w:r>
    </w:p>
    <w:p>
      <w:pPr>
        <w:pStyle w:val="FirstParagraph"/>
      </w:pPr>
      <w:r>
        <w:t xml:space="preserve">The skin and its microbiome are the first layer between an organism and its environment. In moist-skinned animals such as frogs, the skin mucosa is particularly sensitive to external factors which may vary by habitat or site. The microbiome may play an important functional role in mediating the interaction between the host and its environment</w:t>
      </w:r>
      <w:r>
        <w:t xml:space="preserve"> </w:t>
      </w:r>
      <w:r>
        <w:t xml:space="preserve">(Troitsky et al., 2023)</w:t>
      </w:r>
      <w:r>
        <w:t xml:space="preserve">. Another intruiging role that the microbial community may play is providing some level of protection against pathogens, particularly fungal pathogens, including chytridiomycosis which is linked to mass extinction of many amphibian species</w:t>
      </w:r>
      <w:r>
        <w:t xml:space="preserve"> </w:t>
      </w:r>
      <w:r>
        <w:t xml:space="preserve">(Bates et al., 2022)</w:t>
      </w:r>
      <w:r>
        <w:t xml:space="preserve">. Although skin microbiomes are being characterized, we still know very little about the causes of microbiome diversity, whether bacterial composition provides some functional role, comes directly from the local environment, or is related to host diversity</w:t>
      </w:r>
      <w:r>
        <w:t xml:space="preserve"> </w:t>
      </w:r>
      <w:r>
        <w:t xml:space="preserve">(Gajewski et al., 2023; Garcia-Recinos et al., 2019; Kruger, 2020; Sylvain et al., 2020)</w:t>
      </w:r>
      <w:r>
        <w:t xml:space="preserve">.</w:t>
      </w:r>
    </w:p>
    <w:p>
      <w:pPr>
        <w:pStyle w:val="BodyText"/>
      </w:pPr>
      <w:r>
        <w:t xml:space="preserve">In 2014, the Butler Lab conducted a field expedition to Papua New Guinea, one the worldʻs biggest hotspots for frog diversity and sampled closely related frogs at three sites that vary in ecology (terrestrial, shrub, stream), and live together in complex tropical communities</w:t>
      </w:r>
      <w:r>
        <w:t xml:space="preserve"> </w:t>
      </w:r>
      <w:r>
        <w:t xml:space="preserve">(Hill et al., 2022)</w:t>
      </w:r>
      <w:r>
        <w:t xml:space="preserve">. Fortuitously, these frogs were carefully collected and individually stored in ethanol providing a unique dataset to explore factors which structure skin microbiome using NextGen sequencing metabarcoding methods. By comparing microbial community structure across sites, microhabitats, and species, I will test the hypotheses that microbiome composition is structured by microhabitat use</w:t>
      </w:r>
      <w:r>
        <w:t xml:space="preserve"> </w:t>
      </w:r>
      <w:r>
        <w:t xml:space="preserve">(Bierlich et al., 2018)</w:t>
      </w:r>
      <w:r>
        <w:t xml:space="preserve">, influenced by functional benefit such as protection against pathogens</w:t>
      </w:r>
      <w:r>
        <w:t xml:space="preserve"> </w:t>
      </w:r>
      <w:r>
        <w:t xml:space="preserve">(Bletz et al., 2017)</w:t>
      </w:r>
      <w:r>
        <w:t xml:space="preserve">, is site specific perhaps resulting from differences in the source population of microbes (e.g., soil microbial diversity), or is host specific</w:t>
      </w:r>
      <w:r>
        <w:t xml:space="preserve"> </w:t>
      </w:r>
      <w:r>
        <w:t xml:space="preserve">(Zheng et al., 2022)</w:t>
      </w:r>
      <w:r>
        <w:t xml:space="preserve">.</w:t>
      </w:r>
    </w:p>
    <w:bookmarkEnd w:id="20"/>
    <w:bookmarkStart w:id="46" w:name="signficance"/>
    <w:p>
      <w:pPr>
        <w:pStyle w:val="Heading2"/>
      </w:pPr>
      <w:r>
        <w:t xml:space="preserve">Signficance</w:t>
      </w:r>
    </w:p>
    <w:p>
      <w:pPr>
        <w:pStyle w:val="FirstParagraph"/>
      </w:pPr>
      <w:r>
        <w:t xml:space="preserve">There are over 7000 species of frogs which are widely regarded as critical indicators of ecosystem health, as all amphibians have moist skin, are sensitive to environmental changes, and better to reveal complex skin microbiome dynamics.</w:t>
      </w:r>
    </w:p>
    <w:p>
      <w:pPr>
        <w:pStyle w:val="BodyText"/>
      </w:pPr>
      <w:r>
        <w:t xml:space="preserve">Microbiome studies are rapidly growing in number yet we still know little about whether community composition is an accident of circumstance or whether it serves important functions. Are the skin bacteria and fungi simply a sample of the soil where they happen to live, or do the particular combination of microbes confer protection, such as inhibiting or outcompeting pathogens, anti-fungal protection, immune boosts</w:t>
      </w:r>
      <w:r>
        <w:t xml:space="preserve"> </w:t>
      </w:r>
      <w:r>
        <w:t xml:space="preserve">(Bates et al., 2022)</w:t>
      </w:r>
      <w:r>
        <w:t xml:space="preserve">? Given the devastating role of emerging fungal pathogens</w:t>
      </w:r>
      <w:r>
        <w:t xml:space="preserve"> </w:t>
      </w:r>
      <w:r>
        <w:t xml:space="preserve">(Schilliger et al., 2023)</w:t>
      </w:r>
      <w:r>
        <w:t xml:space="preserve">, understanding the relationships between microbial and fungal diversity are critical.</w:t>
      </w:r>
    </w:p>
    <w:p>
      <w:pPr>
        <w:pStyle w:val="BodyText"/>
      </w:pPr>
      <w:r>
        <w:t xml:space="preserve">Alternatively do microbiomes mediate the absorption of water, nutrients, and functional exchanges with the environment</w:t>
      </w:r>
      <w:r>
        <w:t xml:space="preserve"> </w:t>
      </w:r>
      <w:r>
        <w:t xml:space="preserve">(Hughey et al., 2017)</w:t>
      </w:r>
      <w:r>
        <w:t xml:space="preserve">? Comparing microbiomes of frogs that live together at the same site, but are found in the leaf litter vs. on plants vs. in the stream can reveal these associations</w:t>
      </w:r>
      <w:r>
        <w:t xml:space="preserve"> </w:t>
      </w:r>
      <w:r>
        <w:t xml:space="preserve">(Gajewski et al., 2023; Garcia-Recinos et al., 2019)</w:t>
      </w:r>
      <w:r>
        <w:t xml:space="preserve">, lessons which are applicable to all species.</w:t>
      </w:r>
    </w:p>
    <w:p>
      <w:pPr>
        <w:pStyle w:val="BodyText"/>
      </w:pPr>
      <w:r>
        <w:t xml:space="preserve">Finally my study will provide an important baseline for understanding the relationship between skin and gut microbiome, and for future studies using museum specimens which have been formalin-fixed. While challenging to sequence, unlocking this</w:t>
      </w:r>
      <w:r>
        <w:t xml:space="preserve"> </w:t>
      </w:r>
      <w:r>
        <w:t xml:space="preserve">“biobank”</w:t>
      </w:r>
      <w:r>
        <w:t xml:space="preserve"> </w:t>
      </w:r>
      <w:r>
        <w:t xml:space="preserve">will provide access to thousands of important historical and geographical samples.</w:t>
      </w:r>
    </w:p>
    <w:bookmarkStart w:id="45" w:name="refs"/>
    <w:bookmarkStart w:id="22" w:name="ref-Bates:2022"/>
    <w:p>
      <w:pPr>
        <w:pStyle w:val="Bibliography"/>
      </w:pPr>
      <w:r>
        <w:t xml:space="preserve">Bates, K. A., Sommer, U., Hopkins, K. P., Shelton, J. M. G., Wierzbicki, C., Sergeant, C., Tapley, B., Michaels, C. J., Schmeller, D. S., Loyau, A., Bosch, J., Viant, M. R., Harrison, X. A., Garner, T. W. J., &amp; Fisher, M. C. (2022). Microbiome function predicts amphibian chytridiomycosis disease dynamics [Article].</w:t>
      </w:r>
      <w:r>
        <w:t xml:space="preserve"> </w:t>
      </w:r>
      <w:r>
        <w:rPr>
          <w:i/>
          <w:iCs/>
        </w:rPr>
        <w:t xml:space="preserve">MICROBIOME</w:t>
      </w:r>
      <w:r>
        <w:t xml:space="preserve">,</w:t>
      </w:r>
      <w:r>
        <w:t xml:space="preserve"> </w:t>
      </w:r>
      <w:r>
        <w:rPr>
          <w:i/>
          <w:iCs/>
        </w:rPr>
        <w:t xml:space="preserve">10</w:t>
      </w:r>
      <w:r>
        <w:t xml:space="preserve">(1).</w:t>
      </w:r>
      <w:r>
        <w:t xml:space="preserve"> </w:t>
      </w:r>
      <w:hyperlink r:id="rId21">
        <w:r>
          <w:rPr>
            <w:rStyle w:val="Hyperlink"/>
          </w:rPr>
          <w:t xml:space="preserve">https://doi.org/10.1186/s40168-021-01215-6</w:t>
        </w:r>
      </w:hyperlink>
    </w:p>
    <w:bookmarkEnd w:id="22"/>
    <w:bookmarkStart w:id="24" w:name="ref-Bierlich:2018"/>
    <w:p>
      <w:pPr>
        <w:pStyle w:val="Bibliography"/>
      </w:pPr>
      <w:r>
        <w:t xml:space="preserve">Bierlich, K. C., Miller, C., DeForce, E., Friedlaender, A. S., Johnston, D. W., &amp; Apprill, A. (2018). Temporal and regional variability in the skin microbiome of humpback whales along the western antarctic peninsula [Article].</w:t>
      </w:r>
      <w:r>
        <w:t xml:space="preserve"> </w:t>
      </w:r>
      <w:r>
        <w:rPr>
          <w:i/>
          <w:iCs/>
        </w:rPr>
        <w:t xml:space="preserve">APPLIED AND ENVIRONMENTAL MICROBIOLOGY</w:t>
      </w:r>
      <w:r>
        <w:t xml:space="preserve">,</w:t>
      </w:r>
      <w:r>
        <w:t xml:space="preserve"> </w:t>
      </w:r>
      <w:r>
        <w:rPr>
          <w:i/>
          <w:iCs/>
        </w:rPr>
        <w:t xml:space="preserve">84</w:t>
      </w:r>
      <w:r>
        <w:t xml:space="preserve">(5).</w:t>
      </w:r>
      <w:r>
        <w:t xml:space="preserve"> </w:t>
      </w:r>
      <w:hyperlink r:id="rId23">
        <w:r>
          <w:rPr>
            <w:rStyle w:val="Hyperlink"/>
          </w:rPr>
          <w:t xml:space="preserve">https://doi.org/10.1128/AEM.02574-17</w:t>
        </w:r>
      </w:hyperlink>
    </w:p>
    <w:bookmarkEnd w:id="24"/>
    <w:bookmarkStart w:id="26" w:name="ref-Bletz:2017"/>
    <w:p>
      <w:pPr>
        <w:pStyle w:val="Bibliography"/>
      </w:pPr>
      <w:r>
        <w:t xml:space="preserve">Bletz, M. C., Perl, R. G. B., &amp; Vences, M. (2017). Skin microbiota differs drastically between co-occurring frogs and newts [Article].</w:t>
      </w:r>
      <w:r>
        <w:t xml:space="preserve"> </w:t>
      </w:r>
      <w:r>
        <w:rPr>
          <w:i/>
          <w:iCs/>
        </w:rPr>
        <w:t xml:space="preserve">ROYAL SOCIETY OPEN SCIENCE</w:t>
      </w:r>
      <w:r>
        <w:t xml:space="preserve">,</w:t>
      </w:r>
      <w:r>
        <w:t xml:space="preserve"> </w:t>
      </w:r>
      <w:r>
        <w:rPr>
          <w:i/>
          <w:iCs/>
        </w:rPr>
        <w:t xml:space="preserve">4</w:t>
      </w:r>
      <w:r>
        <w:t xml:space="preserve">(4).</w:t>
      </w:r>
      <w:r>
        <w:t xml:space="preserve"> </w:t>
      </w:r>
      <w:hyperlink r:id="rId25">
        <w:r>
          <w:rPr>
            <w:rStyle w:val="Hyperlink"/>
          </w:rPr>
          <w:t xml:space="preserve">https://doi.org/10.1098/rsos.170107</w:t>
        </w:r>
      </w:hyperlink>
    </w:p>
    <w:bookmarkEnd w:id="26"/>
    <w:bookmarkStart w:id="28" w:name="ref-Gajewski:2023"/>
    <w:p>
      <w:pPr>
        <w:pStyle w:val="Bibliography"/>
      </w:pPr>
      <w:r>
        <w:t xml:space="preserve">Gajewski, Z., Johnson, L. R., Medina, D., Crainer, W. W., Nagy, C. M., &amp; Belden, L. K. (2023). Skin bacterial community differences among three species of co-occurring ranid frogs [Article].</w:t>
      </w:r>
      <w:r>
        <w:t xml:space="preserve"> </w:t>
      </w:r>
      <w:r>
        <w:rPr>
          <w:i/>
          <w:iCs/>
        </w:rPr>
        <w:t xml:space="preserve">PEERJ</w:t>
      </w:r>
      <w:r>
        <w:t xml:space="preserve">,</w:t>
      </w:r>
      <w:r>
        <w:t xml:space="preserve"> </w:t>
      </w:r>
      <w:r>
        <w:rPr>
          <w:i/>
          <w:iCs/>
        </w:rPr>
        <w:t xml:space="preserve">11</w:t>
      </w:r>
      <w:r>
        <w:t xml:space="preserve">.</w:t>
      </w:r>
      <w:r>
        <w:t xml:space="preserve"> </w:t>
      </w:r>
      <w:hyperlink r:id="rId27">
        <w:r>
          <w:rPr>
            <w:rStyle w:val="Hyperlink"/>
          </w:rPr>
          <w:t xml:space="preserve">https://doi.org/10.7717/peerj.15556</w:t>
        </w:r>
      </w:hyperlink>
    </w:p>
    <w:bookmarkEnd w:id="28"/>
    <w:bookmarkStart w:id="30" w:name="ref-Garcia-Recinos:2019"/>
    <w:p>
      <w:pPr>
        <w:pStyle w:val="Bibliography"/>
      </w:pPr>
      <w:r>
        <w:t xml:space="preserve">Garcia-Recinos, L., Burrowes, P. A., &amp; Dominguez-Bello, M. (2019). The skin microbiota of</w:t>
      </w:r>
      <w:r>
        <w:t xml:space="preserve"> </w:t>
      </w:r>
      <w:r>
        <w:rPr>
          <w:i/>
          <w:iCs/>
        </w:rPr>
        <w:t xml:space="preserve">eleutherodactylus</w:t>
      </w:r>
      <w:r>
        <w:t xml:space="preserve"> </w:t>
      </w:r>
      <w:r>
        <w:t xml:space="preserve">frogs: Effects of host ecology, phylogeny, and local environment [Article].</w:t>
      </w:r>
      <w:r>
        <w:t xml:space="preserve"> </w:t>
      </w:r>
      <w:r>
        <w:rPr>
          <w:i/>
          <w:iCs/>
        </w:rPr>
        <w:t xml:space="preserve">FRONTIERS IN MICROBIOLOGY</w:t>
      </w:r>
      <w:r>
        <w:t xml:space="preserve">,</w:t>
      </w:r>
      <w:r>
        <w:t xml:space="preserve"> </w:t>
      </w:r>
      <w:r>
        <w:rPr>
          <w:i/>
          <w:iCs/>
        </w:rPr>
        <w:t xml:space="preserve">10</w:t>
      </w:r>
      <w:r>
        <w:t xml:space="preserve">.</w:t>
      </w:r>
      <w:r>
        <w:t xml:space="preserve"> </w:t>
      </w:r>
      <w:hyperlink r:id="rId29">
        <w:r>
          <w:rPr>
            <w:rStyle w:val="Hyperlink"/>
          </w:rPr>
          <w:t xml:space="preserve">https://doi.org/10.3389/fmicb.2019.02571</w:t>
        </w:r>
      </w:hyperlink>
    </w:p>
    <w:bookmarkEnd w:id="30"/>
    <w:bookmarkStart w:id="32" w:name="ref-Hill:2022"/>
    <w:p>
      <w:pPr>
        <w:pStyle w:val="Bibliography"/>
      </w:pPr>
      <w:r>
        <w:t xml:space="preserve">Hill, E. C., Fraser, C. J., Gao, D. F., Jarman, M. J., Henry, E. R., Iova, B., Allison, A., &amp; Butler, M. A. (2022).</w:t>
      </w:r>
      <w:r>
        <w:t xml:space="preserve"> </w:t>
      </w:r>
      <w:r>
        <w:t xml:space="preserve">Resolving the deep phylogeny: Implications for early adaptive radiation, cryptic, and present-day ecological diversity of Papuan microhylid frogs</w:t>
      </w:r>
      <w:r>
        <w:t xml:space="preserve">.</w:t>
      </w:r>
      <w:r>
        <w:t xml:space="preserve"> </w:t>
      </w:r>
      <w:r>
        <w:rPr>
          <w:i/>
          <w:iCs/>
        </w:rPr>
        <w:t xml:space="preserve">Molecular Phylogenetics and Evolution</w:t>
      </w:r>
      <w:r>
        <w:t xml:space="preserve">,</w:t>
      </w:r>
      <w:r>
        <w:t xml:space="preserve"> </w:t>
      </w:r>
      <w:r>
        <w:rPr>
          <w:i/>
          <w:iCs/>
        </w:rPr>
        <w:t xml:space="preserve">177</w:t>
      </w:r>
      <w:r>
        <w:t xml:space="preserve">, 107618. https://doi.org/</w:t>
      </w:r>
      <w:hyperlink r:id="rId31">
        <w:r>
          <w:rPr>
            <w:rStyle w:val="Hyperlink"/>
          </w:rPr>
          <w:t xml:space="preserve">https://doi.org/10.1016/j.ympev.2022.107618</w:t>
        </w:r>
      </w:hyperlink>
    </w:p>
    <w:bookmarkEnd w:id="32"/>
    <w:bookmarkStart w:id="34" w:name="ref-Hughey:2017"/>
    <w:p>
      <w:pPr>
        <w:pStyle w:val="Bibliography"/>
      </w:pPr>
      <w:r>
        <w:t xml:space="preserve">Hughey, M. C., Pena, J. A., Reyes, R., Medina, D., Belden, L. K., &amp; Burrowes, P. A. (2017). Skin bacterial microbiome of a generalist puerto rican frog varies along elevation and land use gradients [Article].</w:t>
      </w:r>
      <w:r>
        <w:t xml:space="preserve"> </w:t>
      </w:r>
      <w:r>
        <w:rPr>
          <w:i/>
          <w:iCs/>
        </w:rPr>
        <w:t xml:space="preserve">PEERJ</w:t>
      </w:r>
      <w:r>
        <w:t xml:space="preserve">,</w:t>
      </w:r>
      <w:r>
        <w:t xml:space="preserve"> </w:t>
      </w:r>
      <w:r>
        <w:rPr>
          <w:i/>
          <w:iCs/>
        </w:rPr>
        <w:t xml:space="preserve">5</w:t>
      </w:r>
      <w:r>
        <w:t xml:space="preserve">.</w:t>
      </w:r>
      <w:r>
        <w:t xml:space="preserve"> </w:t>
      </w:r>
      <w:hyperlink r:id="rId33">
        <w:r>
          <w:rPr>
            <w:rStyle w:val="Hyperlink"/>
          </w:rPr>
          <w:t xml:space="preserve">https://doi.org/10.7717/peerj.3688</w:t>
        </w:r>
      </w:hyperlink>
    </w:p>
    <w:bookmarkEnd w:id="34"/>
    <w:bookmarkStart w:id="36" w:name="ref-Kruger:2020"/>
    <w:p>
      <w:pPr>
        <w:pStyle w:val="Bibliography"/>
      </w:pPr>
      <w:r>
        <w:t xml:space="preserve">Kruger, A. (2020). Frog skin microbiota vary with host species and environment but not chytrid infection [Article].</w:t>
      </w:r>
      <w:r>
        <w:t xml:space="preserve"> </w:t>
      </w:r>
      <w:r>
        <w:rPr>
          <w:i/>
          <w:iCs/>
        </w:rPr>
        <w:t xml:space="preserve">FRONTIERS IN MICROBIOLOGY</w:t>
      </w:r>
      <w:r>
        <w:t xml:space="preserve">,</w:t>
      </w:r>
      <w:r>
        <w:t xml:space="preserve"> </w:t>
      </w:r>
      <w:r>
        <w:rPr>
          <w:i/>
          <w:iCs/>
        </w:rPr>
        <w:t xml:space="preserve">11</w:t>
      </w:r>
      <w:r>
        <w:t xml:space="preserve">.</w:t>
      </w:r>
      <w:r>
        <w:t xml:space="preserve"> </w:t>
      </w:r>
      <w:hyperlink r:id="rId35">
        <w:r>
          <w:rPr>
            <w:rStyle w:val="Hyperlink"/>
          </w:rPr>
          <w:t xml:space="preserve">https://doi.org/10.3389/fmicb.2020.01330</w:t>
        </w:r>
      </w:hyperlink>
    </w:p>
    <w:bookmarkEnd w:id="36"/>
    <w:bookmarkStart w:id="38" w:name="ref-Schilliger:2023"/>
    <w:p>
      <w:pPr>
        <w:pStyle w:val="Bibliography"/>
      </w:pPr>
      <w:r>
        <w:t xml:space="preserve">Schilliger, L., Paillusseau, C., Francois, C., &amp; Bonwitt, J. (2023). Major emerging fungal diseases of reptiles and amphibians [Review].</w:t>
      </w:r>
      <w:r>
        <w:t xml:space="preserve"> </w:t>
      </w:r>
      <w:r>
        <w:rPr>
          <w:i/>
          <w:iCs/>
        </w:rPr>
        <w:t xml:space="preserve">PATHOGENS</w:t>
      </w:r>
      <w:r>
        <w:t xml:space="preserve">,</w:t>
      </w:r>
      <w:r>
        <w:t xml:space="preserve"> </w:t>
      </w:r>
      <w:r>
        <w:rPr>
          <w:i/>
          <w:iCs/>
        </w:rPr>
        <w:t xml:space="preserve">12</w:t>
      </w:r>
      <w:r>
        <w:t xml:space="preserve">(3).</w:t>
      </w:r>
      <w:r>
        <w:t xml:space="preserve"> </w:t>
      </w:r>
      <w:hyperlink r:id="rId37">
        <w:r>
          <w:rPr>
            <w:rStyle w:val="Hyperlink"/>
          </w:rPr>
          <w:t xml:space="preserve">https://doi.org/10.3390/pathogens12030429</w:t>
        </w:r>
      </w:hyperlink>
    </w:p>
    <w:bookmarkEnd w:id="38"/>
    <w:bookmarkStart w:id="40" w:name="ref-Sylvain:2020"/>
    <w:p>
      <w:pPr>
        <w:pStyle w:val="Bibliography"/>
      </w:pPr>
      <w:r>
        <w:t xml:space="preserve">Sylvain, F.-E., Holland, A., Bouslama, S., Audet-Gilbert, E., Lavoie, C., Val, A. L., &amp; Derome, N. (2020). Fish skin and gut microbiomes show contrasting signatures of host species and habitat [Article].</w:t>
      </w:r>
      <w:r>
        <w:t xml:space="preserve"> </w:t>
      </w:r>
      <w:r>
        <w:rPr>
          <w:i/>
          <w:iCs/>
        </w:rPr>
        <w:t xml:space="preserve">APPLIED AND ENVIRONMENTAL MICROBIOLOGY</w:t>
      </w:r>
      <w:r>
        <w:t xml:space="preserve">,</w:t>
      </w:r>
      <w:r>
        <w:t xml:space="preserve"> </w:t>
      </w:r>
      <w:r>
        <w:rPr>
          <w:i/>
          <w:iCs/>
        </w:rPr>
        <w:t xml:space="preserve">86</w:t>
      </w:r>
      <w:r>
        <w:t xml:space="preserve">(16).</w:t>
      </w:r>
      <w:r>
        <w:t xml:space="preserve"> </w:t>
      </w:r>
      <w:hyperlink r:id="rId39">
        <w:r>
          <w:rPr>
            <w:rStyle w:val="Hyperlink"/>
          </w:rPr>
          <w:t xml:space="preserve">https://doi.org/10.1128/AEM.00789-20</w:t>
        </w:r>
      </w:hyperlink>
    </w:p>
    <w:bookmarkEnd w:id="40"/>
    <w:bookmarkStart w:id="42" w:name="ref-Troitsky:2023"/>
    <w:p>
      <w:pPr>
        <w:pStyle w:val="Bibliography"/>
      </w:pPr>
      <w:r>
        <w:t xml:space="preserve">Troitsky, T. S., Laine, V. N., &amp; Lilley, T. M. (2023). When the host’s away, the pathogen will play: The protective role of the skin microbiome during hibernation [Review].</w:t>
      </w:r>
      <w:r>
        <w:t xml:space="preserve"> </w:t>
      </w:r>
      <w:r>
        <w:rPr>
          <w:i/>
          <w:iCs/>
        </w:rPr>
        <w:t xml:space="preserve">ANIMAL MICROBIOME</w:t>
      </w:r>
      <w:r>
        <w:t xml:space="preserve">,</w:t>
      </w:r>
      <w:r>
        <w:t xml:space="preserve"> </w:t>
      </w:r>
      <w:r>
        <w:rPr>
          <w:i/>
          <w:iCs/>
        </w:rPr>
        <w:t xml:space="preserve">5</w:t>
      </w:r>
      <w:r>
        <w:t xml:space="preserve">(1).</w:t>
      </w:r>
      <w:r>
        <w:t xml:space="preserve"> </w:t>
      </w:r>
      <w:hyperlink r:id="rId41">
        <w:r>
          <w:rPr>
            <w:rStyle w:val="Hyperlink"/>
          </w:rPr>
          <w:t xml:space="preserve">https://doi.org/10.1186/s42523-023-00285-1</w:t>
        </w:r>
      </w:hyperlink>
    </w:p>
    <w:bookmarkEnd w:id="42"/>
    <w:bookmarkStart w:id="44" w:name="ref-Zheng:2022"/>
    <w:p>
      <w:pPr>
        <w:pStyle w:val="Bibliography"/>
      </w:pPr>
      <w:r>
        <w:t xml:space="preserve">Zheng, Y., Shi, J., Chen, Q., Deng, C., Yang, F., &amp; Wang, Y. (2022). Identifying individual-specific microbial DNA fingerprints from skin microbiomes [Article].</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43">
        <w:r>
          <w:rPr>
            <w:rStyle w:val="Hyperlink"/>
          </w:rPr>
          <w:t xml:space="preserve">https://doi.org/10.3389/fmicb.2022.960043</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ympev.2022.107618" TargetMode="External" /><Relationship Type="http://schemas.openxmlformats.org/officeDocument/2006/relationships/hyperlink" Id="rId25" Target="https://doi.org/10.1098/rsos.170107" TargetMode="External" /><Relationship Type="http://schemas.openxmlformats.org/officeDocument/2006/relationships/hyperlink" Id="rId39" Target="https://doi.org/10.1128/AEM.00789-20" TargetMode="External" /><Relationship Type="http://schemas.openxmlformats.org/officeDocument/2006/relationships/hyperlink" Id="rId23" Target="https://doi.org/10.1128/AEM.02574-17" TargetMode="External" /><Relationship Type="http://schemas.openxmlformats.org/officeDocument/2006/relationships/hyperlink" Id="rId21" Target="https://doi.org/10.1186/s40168-021-01215-6" TargetMode="External" /><Relationship Type="http://schemas.openxmlformats.org/officeDocument/2006/relationships/hyperlink" Id="rId41" Target="https://doi.org/10.1186/s42523-023-00285-1" TargetMode="External" /><Relationship Type="http://schemas.openxmlformats.org/officeDocument/2006/relationships/hyperlink" Id="rId29" Target="https://doi.org/10.3389/fmicb.2019.02571" TargetMode="External" /><Relationship Type="http://schemas.openxmlformats.org/officeDocument/2006/relationships/hyperlink" Id="rId35" Target="https://doi.org/10.3389/fmicb.2020.01330" TargetMode="External" /><Relationship Type="http://schemas.openxmlformats.org/officeDocument/2006/relationships/hyperlink" Id="rId43" Target="https://doi.org/10.3389/fmicb.2022.960043" TargetMode="External" /><Relationship Type="http://schemas.openxmlformats.org/officeDocument/2006/relationships/hyperlink" Id="rId37" Target="https://doi.org/10.3390/pathogens12030429" TargetMode="External" /><Relationship Type="http://schemas.openxmlformats.org/officeDocument/2006/relationships/hyperlink" Id="rId27" Target="https://doi.org/10.7717/peerj.15556" TargetMode="External" /><Relationship Type="http://schemas.openxmlformats.org/officeDocument/2006/relationships/hyperlink" Id="rId33" Target="https://doi.org/10.7717/peerj.3688"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ympev.2022.107618" TargetMode="External" /><Relationship Type="http://schemas.openxmlformats.org/officeDocument/2006/relationships/hyperlink" Id="rId25" Target="https://doi.org/10.1098/rsos.170107" TargetMode="External" /><Relationship Type="http://schemas.openxmlformats.org/officeDocument/2006/relationships/hyperlink" Id="rId39" Target="https://doi.org/10.1128/AEM.00789-20" TargetMode="External" /><Relationship Type="http://schemas.openxmlformats.org/officeDocument/2006/relationships/hyperlink" Id="rId23" Target="https://doi.org/10.1128/AEM.02574-17" TargetMode="External" /><Relationship Type="http://schemas.openxmlformats.org/officeDocument/2006/relationships/hyperlink" Id="rId21" Target="https://doi.org/10.1186/s40168-021-01215-6" TargetMode="External" /><Relationship Type="http://schemas.openxmlformats.org/officeDocument/2006/relationships/hyperlink" Id="rId41" Target="https://doi.org/10.1186/s42523-023-00285-1" TargetMode="External" /><Relationship Type="http://schemas.openxmlformats.org/officeDocument/2006/relationships/hyperlink" Id="rId29" Target="https://doi.org/10.3389/fmicb.2019.02571" TargetMode="External" /><Relationship Type="http://schemas.openxmlformats.org/officeDocument/2006/relationships/hyperlink" Id="rId35" Target="https://doi.org/10.3389/fmicb.2020.01330" TargetMode="External" /><Relationship Type="http://schemas.openxmlformats.org/officeDocument/2006/relationships/hyperlink" Id="rId43" Target="https://doi.org/10.3389/fmicb.2022.960043" TargetMode="External" /><Relationship Type="http://schemas.openxmlformats.org/officeDocument/2006/relationships/hyperlink" Id="rId37" Target="https://doi.org/10.3390/pathogens12030429" TargetMode="External" /><Relationship Type="http://schemas.openxmlformats.org/officeDocument/2006/relationships/hyperlink" Id="rId27" Target="https://doi.org/10.7717/peerj.15556" TargetMode="External" /><Relationship Type="http://schemas.openxmlformats.org/officeDocument/2006/relationships/hyperlink" Id="rId33" Target="https://doi.org/10.7717/peerj.36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Skin Microbiome Project</dc:title>
  <dc:creator>Alexis Shulga, Brianna Correa, Marguerite Butler</dc:creator>
  <cp:keywords/>
  <dcterms:created xsi:type="dcterms:W3CDTF">2025-03-02T21:01:05Z</dcterms:created>
  <dcterms:modified xsi:type="dcterms:W3CDTF">2025-03-02T21:01:05Z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