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2025-04-12</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(73 species) with a surprisingly expansive distribution across Papua New Guinea to Southeast Asia, representing nearly all of the arboreal species in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arboreality has evolved at least twice within Asterophryne, making these two clades strong candidates for convergent evolution. More complete sampling of additional species with greater range can help to further inform the dynamics of diversification of these ecologically diverse clades.</w:t>
      </w:r>
    </w:p>
    <w:bookmarkEnd w:id="21"/>
    <w:bookmarkStart w:id="29"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Microhylidae:Asterophryinae, the largest subfamily of Microhylidae. With 75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the largest geographic distribution of any genus in its subfamily, and is therefore an important group for understanding the biogeography of the region</w:t>
      </w:r>
      <w:r>
        <w:t xml:space="preserve"> </w:t>
      </w:r>
      <w:r>
        <w:t xml:space="preserve">(Hill et al. 2023a)</w:t>
      </w:r>
      <w:r>
        <w:t xml:space="preserve">.</w:t>
      </w:r>
      <w:r>
        <w:t xml:space="preserve"> </w:t>
      </w:r>
      <w:r>
        <w:rPr>
          <w:i/>
          <w:iCs/>
        </w:rPr>
        <w:t xml:space="preserve">Oreophryne</w:t>
      </w:r>
      <w:r>
        <w:t xml:space="preserve"> </w:t>
      </w:r>
      <w:r>
        <w:t xml:space="preserve">sensu lato occupy mostly low to mid-elevation ranges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 to Sulawesi</w:t>
      </w:r>
      <w:r>
        <w:t xml:space="preserve"> </w:t>
      </w:r>
      <w:r>
        <w:t xml:space="preserve">(Müller 1894; Boulenger 1896; Ahl 1933; Putri et al. 2023)</w:t>
      </w:r>
      <w:r>
        <w:t xml:space="preserve">,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Several species are also known at high elevation where they are no longer arboreal, and instead adopt a terrestrial lifestyle</w:t>
      </w:r>
      <w:r>
        <w:t xml:space="preserve"> </w:t>
      </w:r>
      <w:r>
        <w:t xml:space="preserve">(Zweifel et al. 2009; Günther and Richards 2011; Putri et al. 2023)</w:t>
      </w:r>
      <w:r>
        <w:t xml:space="preserve">.</w:t>
      </w:r>
    </w:p>
    <w:p>
      <w:pPr>
        <w:pStyle w:val="BodyText"/>
      </w:pPr>
      <w:r>
        <w:t xml:space="preserve">Although the generic taxonomy of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w:t>
      </w:r>
      <w:r>
        <w:t xml:space="preserve"> </w:t>
      </w:r>
      <w:hyperlink r:id="rId22">
        <w:r>
          <w:rPr>
            <w:rStyle w:val="Hyperlink"/>
          </w:rPr>
          <w:t xml:space="preserve">– Cut Aphantophryne text 1 –</w:t>
        </w:r>
      </w:hyperlink>
      <w:r>
        <w:t xml:space="preserve"> </w:t>
      </w:r>
      <w:r>
        <w:t xml:space="preserve">(Hill et al. 2022, 2023b)</w:t>
      </w:r>
      <w:r>
        <w:t xml:space="preserve"> </w:t>
      </w:r>
      <w:r>
        <w:t xml:space="preserve">established that Oreophryne 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p>
      <w:pPr>
        <w:pStyle w:val="BodyText"/>
      </w:pPr>
      <w:r>
        <w:t xml:space="preserve">The aims of this study are to include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Start w:id="28" w:name="taxonomic-history"/>
    <w:p>
      <w:pPr>
        <w:pStyle w:val="Heading3"/>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 Most of these are small, arboreal or scansorial frogs that inhabit lowland to montane rain forest, but there is a small group of diminutive species, some of which are terrestrial, that inhabit high elevation grasslands</w:t>
      </w:r>
      <w:r>
        <w:t xml:space="preserve"> </w:t>
      </w:r>
      <w:r>
        <w:t xml:space="preserve">(Zweifel et al. 2009)</w:t>
      </w:r>
      <w:r>
        <w:t xml:space="preserve">.</w:t>
      </w:r>
    </w:p>
    <w:p>
      <w:pPr>
        <w:pStyle w:val="BodyText"/>
      </w:pPr>
      <w:hyperlink r:id="rId23">
        <w:r>
          <w:rPr>
            <w:rStyle w:val="Hyperlink"/>
          </w:rPr>
          <w:t xml:space="preserve">– Cut Aphantophryne text 2 –</w:t>
        </w:r>
      </w:hyperlink>
    </w:p>
    <w:tbl>
      <w:tblPr>
        <w:tblStyle w:val="Table"/>
        <w:tblW w:type="pct" w:w="5000"/>
        <w:tblLayout w:type="fixed"/>
        <w:tblLook w:firstRow="0" w:lastRow="0" w:firstColumn="0" w:lastColumn="0" w:noHBand="0" w:noVBand="0" w:val="0000"/>
      </w:tblPr>
      <w:tblGrid>
        <w:gridCol w:w="7920"/>
      </w:tblGrid>
      <w:tr>
        <w:tc>
          <w:tcPr/>
          <w:bookmarkStart w:id="27" w:name="fig-morph"/>
          <w:p>
            <w:pPr>
              <w:pStyle w:val="Compact"/>
              <w:jc w:val="center"/>
            </w:pPr>
            <w:r>
              <w:drawing>
                <wp:inline>
                  <wp:extent cx="5334000" cy="4342140"/>
                  <wp:effectExtent b="0" l="0" r="0" t="0"/>
                  <wp:docPr descr="" title="" id="25" name="Picture"/>
                  <a:graphic>
                    <a:graphicData uri="http://schemas.openxmlformats.org/drawingml/2006/picture">
                      <pic:pic>
                        <pic:nvPicPr>
                          <pic:cNvPr descr="Figures/morphology_plate.png" id="26" name="Picture"/>
                          <pic:cNvPicPr>
                            <a:picLocks noChangeArrowheads="1" noChangeAspect="1"/>
                          </pic:cNvPicPr>
                        </pic:nvPicPr>
                        <pic:blipFill>
                          <a:blip r:embed="rId24"/>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7"/>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bookmarkEnd w:id="28"/>
    <w:bookmarkEnd w:id="29"/>
    <w:bookmarkStart w:id="40" w:name="materials-and-methods"/>
    <w:p>
      <w:pPr>
        <w:pStyle w:val="Heading1"/>
      </w:pPr>
      <w:r>
        <w:t xml:space="preserve">Materials and Methods</w:t>
      </w:r>
    </w:p>
    <w:p>
      <w:pPr>
        <w:pStyle w:val="FirstParagraph"/>
      </w:pPr>
      <w:r>
        <w:t xml:space="preserve">NOTE: M&amp;M IS FROM THE NEW OREOPHRYNE MANUSCRIPT - CHECK IF ANYTHING NEEDS TO BE BROUGHT OVER FROM THE GOOGLE DOC.</w:t>
      </w:r>
    </w:p>
    <w:bookmarkStart w:id="31"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 Oreophryne</w:t>
      </w:r>
      <w:r>
        <w:t xml:space="preserve"> </w:t>
      </w:r>
      <w:r>
        <w:t xml:space="preserve">(Halmahera, Ternate, and Batjan Islands, Indonesia as documented by Peters and Doria 1878; Boettger 1895)</w:t>
      </w:r>
      <w:r>
        <w:t xml:space="preserve">.</w:t>
      </w:r>
    </w:p>
    <w:p>
      <w:pPr>
        <w:pStyle w:val="SourceCode"/>
      </w:pPr>
      <w:r>
        <w:rPr>
          <w:rStyle w:val="VerbatimChar"/>
        </w:rPr>
        <w:t xml:space="preserve">Warning in read.table(file = file, header = header, sep = sep, quote = quote, :</w:t>
      </w:r>
      <w:r>
        <w:br/>
      </w:r>
      <w:r>
        <w:rPr>
          <w:rStyle w:val="VerbatimChar"/>
        </w:rPr>
        <w:t xml:space="preserve">incomplete final line found by readTableHeader on '../Data/locality.csv'</w:t>
      </w:r>
    </w:p>
    <w:tbl>
      <w:tblPr>
        <w:tblStyle w:val="Table"/>
        <w:tblW w:type="pct" w:w="5000"/>
        <w:tblLayout w:type="fixed"/>
        <w:tblLook w:firstRow="0" w:lastRow="0" w:firstColumn="0" w:lastColumn="0" w:noHBand="0" w:noVBand="0" w:val="0000"/>
      </w:tblPr>
      <w:tblGrid>
        <w:gridCol w:w="7920"/>
      </w:tblGrid>
      <w:tr>
        <w:tc>
          <w:tcPr/>
          <w:bookmarkStart w:id="30"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30"/>
        </w:tc>
      </w:tr>
    </w:tbl>
    <w:bookmarkEnd w:id="31"/>
    <w:bookmarkStart w:id="35" w:name="data"/>
    <w:p>
      <w:pPr>
        <w:pStyle w:val="Heading2"/>
      </w:pPr>
      <w:r>
        <w:t xml:space="preserve">Data</w:t>
      </w:r>
    </w:p>
    <w:bookmarkStart w:id="32"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32"/>
    <w:bookmarkStart w:id="34"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3"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 if present</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 if present</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 if present</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3"/>
        </w:tc>
      </w:tr>
    </w:tbl>
    <w:bookmarkEnd w:id="34"/>
    <w:bookmarkEnd w:id="35"/>
    <w:bookmarkStart w:id="36" w:name="nomenclature"/>
    <w:p>
      <w:pPr>
        <w:pStyle w:val="Heading2"/>
      </w:pPr>
      <w:r>
        <w:t xml:space="preserve">Nomenclature</w:t>
      </w:r>
    </w:p>
    <w:p>
      <w:pPr>
        <w:pStyle w:val="FirstParagraph"/>
      </w:pPr>
      <w:r>
        <w:t xml:space="preserve">We conducted a comprehensive taxonomic literature review of all diagnoses for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6"/>
    <w:bookmarkStart w:id="37"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7"/>
    <w:bookmarkStart w:id="38"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8"/>
    <w:bookmarkStart w:id="39"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9"/>
    <w:bookmarkEnd w:id="40"/>
    <w:bookmarkStart w:id="55" w:name="results"/>
    <w:p>
      <w:pPr>
        <w:pStyle w:val="Heading1"/>
      </w:pPr>
      <w:r>
        <w:t xml:space="preserve">Results</w:t>
      </w:r>
    </w:p>
    <w:bookmarkStart w:id="45"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fullphylogeny-support">
        <w:r>
          <w:rPr>
            <w:rStyle w:val="Hyperlink"/>
          </w:rPr>
          <w:t xml:space="preserve">Figure 2</w:t>
        </w:r>
      </w:hyperlink>
      <w:r>
        <w:t xml:space="preserve">. Nearly all nodes are moderately or highly supported, with most of the weakly supported nodes falling along the backbone of the adaptive radiation with short branch lengths.</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fullphylogeny-support">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4" w:name="fig-fullphylogeny-support"/>
          <w:p>
            <w:pPr>
              <w:pStyle w:val="Compact"/>
              <w:jc w:val="center"/>
            </w:pPr>
            <w:r>
              <w:drawing>
                <wp:inline>
                  <wp:extent cx="5334000" cy="7620000"/>
                  <wp:effectExtent b="0" l="0" r="0" t="0"/>
                  <wp:docPr descr="" title="" id="42" name="Picture"/>
                  <a:graphic>
                    <a:graphicData uri="http://schemas.openxmlformats.org/drawingml/2006/picture">
                      <pic:pic>
                        <pic:nvPicPr>
                          <pic:cNvPr descr="Figures/FullTree_support_highlight.png" id="43" name="Picture"/>
                          <pic:cNvPicPr>
                            <a:picLocks noChangeArrowheads="1" noChangeAspect="1"/>
                          </pic:cNvPicPr>
                        </pic:nvPicPr>
                        <pic:blipFill>
                          <a:blip r:embed="rId41"/>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The former genus</w:t>
            </w:r>
            <w:r>
              <w:t xml:space="preserve"> </w:t>
            </w:r>
            <w:r>
              <w:rPr>
                <w:i/>
                <w:iCs/>
              </w:rPr>
              <w:t xml:space="preserve">Aphantophryne</w:t>
            </w:r>
            <w:r>
              <w:t xml:space="preserve"> </w:t>
            </w:r>
            <w:r>
              <w:t xml:space="preserve">(node C) is a monophyletic clade nested within</w:t>
            </w:r>
            <w:r>
              <w:t xml:space="preserve"> </w:t>
            </w:r>
            <w:r>
              <w:rPr>
                <w:i/>
                <w:iCs/>
              </w:rPr>
              <w:t xml:space="preserve">Auparoparo</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4"/>
        </w:tc>
      </w:tr>
    </w:tbl>
    <w:bookmarkEnd w:id="45"/>
    <w:bookmarkStart w:id="47" w:name="morphology-behavior-and-ranked-taxonomy"/>
    <w:p>
      <w:pPr>
        <w:pStyle w:val="Heading2"/>
      </w:pPr>
      <w:r>
        <w:t xml:space="preserve">Morphology, Behavior, and Ranked Taxonomy</w:t>
      </w:r>
    </w:p>
    <w:p>
      <w:pPr>
        <w:pStyle w:val="FirstParagraph"/>
      </w:pPr>
      <w:r>
        <w:t xml:space="preserve">We find no morphological synapomorphies that unite</w:t>
      </w:r>
      <w:r>
        <w:t xml:space="preserve"> </w:t>
      </w:r>
      <w:r>
        <w:rPr>
          <w:i/>
          <w:iCs/>
        </w:rPr>
        <w:t xml:space="preserve">Auparoparo</w:t>
      </w:r>
      <w:r>
        <w:t xml:space="preserve"> </w:t>
      </w:r>
      <w:r>
        <w:t xml:space="preserve">nor distinguish</w:t>
      </w:r>
      <w:r>
        <w:t xml:space="preserve"> </w:t>
      </w:r>
      <w:r>
        <w:rPr>
          <w:i/>
          <w:iCs/>
        </w:rPr>
        <w:t xml:space="preserve">Auparoparo</w:t>
      </w:r>
      <w:r>
        <w:t xml:space="preserve"> </w:t>
      </w:r>
      <w:r>
        <w:t xml:space="preserve">from</w:t>
      </w:r>
      <w:r>
        <w:t xml:space="preserve"> </w:t>
      </w:r>
      <w:r>
        <w:rPr>
          <w:i/>
          <w:iCs/>
        </w:rPr>
        <w:t xml:space="preserve">Oreophryne</w:t>
      </w:r>
      <w:r>
        <w:t xml:space="preserve">.</w:t>
      </w:r>
    </w:p>
    <w:p>
      <w:pPr>
        <w:pStyle w:val="BodyText"/>
      </w:pP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but not</w:t>
      </w:r>
      <w:r>
        <w:t xml:space="preserve"> </w:t>
      </w:r>
      <w:r>
        <w:rPr>
          <w:i/>
          <w:iCs/>
        </w:rPr>
        <w:t xml:space="preserve">Aphantophryne</w:t>
      </w:r>
      <w:r>
        <w:t xml:space="preserve">, and therefore is not diagnostic for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either separately nor for both clades together (</w:t>
      </w:r>
      <w:hyperlink w:anchor="tbl-morph">
        <w:r>
          <w:rPr>
            <w:rStyle w:val="Hyperlink"/>
          </w:rPr>
          <w:t xml:space="preserve">Table 3</w:t>
        </w:r>
      </w:hyperlink>
      <w:r>
        <w:t xml:space="preserve">).</w:t>
      </w:r>
      <w:r>
        <w:t xml:space="preserve"> </w:t>
      </w:r>
      <w:r>
        <w:rPr>
          <w:i/>
          <w:iCs/>
        </w:rPr>
        <w:t xml:space="preserve">Aphantophryne</w:t>
      </w:r>
      <w:r>
        <w:t xml:space="preserve"> </w:t>
      </w:r>
      <w:r>
        <w:t xml:space="preserve">in contrast, lacks clavicles as well as procoracoid cartilages and an omasternum.</w:t>
      </w:r>
    </w:p>
    <w:p>
      <w:pPr>
        <w:pStyle w:val="BodyText"/>
      </w:pPr>
      <w:r>
        <w:t xml:space="preserve">Two traits imperfectly segretate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Aphantophryne</w:t>
      </w:r>
      <w:r>
        <w:t xml:space="preserve"> </w:t>
      </w:r>
      <w:r>
        <w:t xml:space="preserve">is a small, high-elevation fosssorial clade that call using</w:t>
      </w:r>
      <w:r>
        <w:t xml:space="preserve"> </w:t>
      </w:r>
      <w:r>
        <w:t xml:space="preserve">“clicks”</w:t>
      </w:r>
      <w:r>
        <w:t xml:space="preserve"> </w:t>
      </w:r>
      <w:r>
        <w:t xml:space="preserve">and have no toe pads. They have undifferentiated toe tips with ordinary squamous epithelium</w:t>
      </w:r>
      <w:r>
        <w:t xml:space="preserve"> </w:t>
      </w:r>
      <w:r>
        <w:t xml:space="preserve">(Green and Simon 1986)</w:t>
      </w:r>
      <w:r>
        <w:t xml:space="preserve">.</w:t>
      </w:r>
      <w:r>
        <w:t xml:space="preserve"> </w:t>
      </w:r>
      <w:r>
        <w:rPr>
          <w:i/>
          <w:iCs/>
        </w:rPr>
        <w:t xml:space="preserve">Oreophryne</w:t>
      </w:r>
      <w:r>
        <w:t xml:space="preserve"> </w:t>
      </w:r>
      <w:r>
        <w:t xml:space="preserve">is an arboreal clade with expanded digital dics of roughly equal width between the fingers and toes, whereas</w:t>
      </w:r>
      <w:r>
        <w:t xml:space="preserve"> </w:t>
      </w:r>
      <w:r>
        <w:rPr>
          <w:i/>
          <w:iCs/>
        </w:rPr>
        <w:t xml:space="preserve">Auparoparo</w:t>
      </w:r>
      <w:r>
        <w:t xml:space="preserve"> </w:t>
      </w:r>
      <w:r>
        <w:t xml:space="preserve">excluding</w:t>
      </w:r>
      <w:r>
        <w:t xml:space="preserve"> </w:t>
      </w:r>
      <w:r>
        <w:rPr>
          <w:i/>
          <w:iCs/>
        </w:rPr>
        <w:t xml:space="preserve">Aphantophryne</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excluding</w:t>
      </w:r>
      <w:r>
        <w:t xml:space="preserve"> </w:t>
      </w:r>
      <w:r>
        <w:rPr>
          <w:i/>
          <w:iCs/>
        </w:rPr>
        <w:t xml:space="preserve">Aphantophryne</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Aside from the fact that</w:t>
      </w:r>
      <w:r>
        <w:t xml:space="preserve"> </w:t>
      </w:r>
      <w:r>
        <w:rPr>
          <w:i/>
          <w:iCs/>
        </w:rPr>
        <w:t xml:space="preserve">Aphantophryne</w:t>
      </w:r>
      <w:r>
        <w:t xml:space="preserve"> </w:t>
      </w:r>
      <w:r>
        <w:t xml:space="preserve">and</w:t>
      </w:r>
      <w:r>
        <w:t xml:space="preserve"> </w:t>
      </w:r>
      <w:r>
        <w:rPr>
          <w:i/>
          <w:iCs/>
        </w:rPr>
        <w:t xml:space="preserve">Auparoparo</w:t>
      </w:r>
      <w:r>
        <w:t xml:space="preserve"> </w:t>
      </w:r>
      <w:r>
        <w:t xml:space="preserve">are so phenotypically distinct that no diagnostic traits identify them as a group,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6"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6"/>
        </w:tc>
      </w:tr>
    </w:tbl>
    <w:bookmarkEnd w:id="47"/>
    <w:bookmarkStart w:id="52"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429000"/>
                  <wp:effectExtent b="0" l="0" r="0" t="0"/>
                  <wp:docPr descr="" title="" id="49" name="Picture"/>
                  <a:graphic>
                    <a:graphicData uri="http://schemas.openxmlformats.org/drawingml/2006/picture">
                      <pic:pic>
                        <pic:nvPicPr>
                          <pic:cNvPr descr="Figures/map.png" id="50" name="Picture"/>
                          <pic:cNvPicPr>
                            <a:picLocks noChangeArrowheads="1" noChangeAspect="1"/>
                          </pic:cNvPicPr>
                        </pic:nvPicPr>
                        <pic:blipFill>
                          <a:blip r:embed="rId4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and</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w:t>
            </w:r>
          </w:p>
          <w:bookmarkEnd w:id="51"/>
        </w:tc>
      </w:tr>
    </w:tbl>
    <w:bookmarkEnd w:id="52"/>
    <w:bookmarkStart w:id="54" w:name="taxonomy"/>
    <w:p>
      <w:pPr>
        <w:pStyle w:val="Heading2"/>
      </w:pPr>
      <w:r>
        <w:t xml:space="preserve">Taxonomy</w:t>
      </w:r>
    </w:p>
    <w:p>
      <w:pPr>
        <w:pStyle w:val="FirstParagraph"/>
      </w:pPr>
      <w:r>
        <w:t xml:space="preserve">We use a maximum crown-clade definition for designating Oreophryne and Auparoparo 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(Auparoparo), whereas the previously defined polyphyletic Oreophryne is indicated by</w:t>
      </w:r>
      <w:r>
        <w:t xml:space="preserve"> </w:t>
      </w:r>
      <w:r>
        <w:t xml:space="preserve">“sensu lato”</w:t>
      </w:r>
      <w:r>
        <w:t xml:space="preserve">.</w:t>
      </w:r>
    </w:p>
    <w:p>
      <w:pPr>
        <w:pStyle w:val="BodyText"/>
      </w:pPr>
      <w:r>
        <w:rPr>
          <w:b/>
          <w:bCs/>
        </w:rPr>
        <w:t xml:space="preserve">Family Microhylidae Günther, 1858 (1843)</w:t>
      </w:r>
      <w:r>
        <w:rPr>
          <w:b/>
          <w:bCs/>
        </w:rPr>
        <w:t xml:space="preserve"> </w:t>
      </w:r>
      <w:r>
        <w:rPr>
          <w:b/>
          <w:bCs/>
        </w:rPr>
        <w:t xml:space="preserve">Subfamily Asterophryinae Günther, 1858</w:t>
      </w:r>
      <w:r>
        <w:rPr>
          <w:b/>
          <w:bCs/>
        </w:rPr>
        <w:t xml:space="preserve"> </w:t>
      </w:r>
      <w:r>
        <w:rPr>
          <w:b/>
          <w:bCs/>
        </w:rPr>
        <w:t xml:space="preserve">Genus Oreophryne Boettger, 1895 amended</w:t>
      </w:r>
      <w:r>
        <w:br/>
      </w:r>
      <w:r>
        <w:rPr>
          <w:i/>
          <w:iCs/>
        </w:rPr>
        <w:t xml:space="preserve">Microhyla</w:t>
      </w:r>
      <w:r>
        <w:t xml:space="preserve"> </w:t>
      </w:r>
      <w:r>
        <w:t xml:space="preserve">Peters and Doria, 1878</w:t>
      </w:r>
      <w:r>
        <w:br/>
      </w:r>
      <w:r>
        <w:rPr>
          <w:i/>
          <w:iCs/>
        </w:rPr>
        <w:t xml:space="preserve">Callula</w:t>
      </w:r>
      <w:r>
        <w:br/>
      </w:r>
      <w:r>
        <w:rPr>
          <w:i/>
          <w:iCs/>
        </w:rPr>
        <w:t xml:space="preserve">Oreophryne</w:t>
      </w:r>
      <w:r>
        <w:t xml:space="preserve"> </w:t>
      </w:r>
      <w:r>
        <w:t xml:space="preserve">Boettger, 1895: 135. Type species:</w:t>
      </w:r>
      <w:r>
        <w:t xml:space="preserve"> </w:t>
      </w:r>
      <w:r>
        <w:rPr>
          <w:i/>
          <w:iCs/>
        </w:rPr>
        <w:t xml:space="preserve">Oreophryne senckenbergiana</w:t>
      </w:r>
      <w:r>
        <w:br/>
      </w:r>
      <w:r>
        <w:t xml:space="preserve">Boettger, 1895 (= Microhyla achatina var. moluccensis Peters and Doria, 1878), by monotypy. Placed on Official List of Generic Names in Zoology by Opinion 1266, Anonymous, 1984.</w:t>
      </w:r>
      <w:r>
        <w:br/>
      </w:r>
      <w:r>
        <w:rPr>
          <w:i/>
          <w:iCs/>
        </w:rPr>
        <w:t xml:space="preserve">Sphenophryne</w:t>
      </w:r>
      <w:r>
        <w:br/>
      </w:r>
      <w:r>
        <w:rPr>
          <w:i/>
          <w:iCs/>
        </w:rPr>
        <w:t xml:space="preserve">Phrynixalus</w:t>
      </w:r>
      <w:r>
        <w:br/>
      </w:r>
      <w:r>
        <w:rPr>
          <w:i/>
          <w:iCs/>
        </w:rPr>
        <w:t xml:space="preserve">Mehelyia</w:t>
      </w:r>
      <w:r>
        <w:t xml:space="preserve"> </w:t>
      </w:r>
      <w:r>
        <w:t xml:space="preserve">Wandolleck, 1911</w:t>
      </w:r>
      <w:r>
        <w:t xml:space="preserve"> </w:t>
      </w:r>
      <w:r>
        <w:t xml:space="preserve">“1910”</w:t>
      </w:r>
      <w:r>
        <w:t xml:space="preserve">, Type species:</w:t>
      </w:r>
      <w:r>
        <w:t xml:space="preserve"> </w:t>
      </w:r>
      <w:r>
        <w:rPr>
          <w:i/>
          <w:iCs/>
        </w:rPr>
        <w:t xml:space="preserve">Meheylia lineata</w:t>
      </w:r>
      <w:r>
        <w:t xml:space="preserve"> </w:t>
      </w:r>
      <w:r>
        <w:t xml:space="preserve">Wandolleck, 1911 (=</w:t>
      </w:r>
      <w:r>
        <w:t xml:space="preserve"> </w:t>
      </w:r>
      <w:r>
        <w:rPr>
          <w:i/>
          <w:iCs/>
        </w:rPr>
        <w:t xml:space="preserve">Sphenophryne biroi</w:t>
      </w:r>
      <w:r>
        <w:t xml:space="preserve"> </w:t>
      </w:r>
      <w:r>
        <w:t xml:space="preserve">Méhely, 1897), by subsequent designation of Parker, 1934. Synonymy by Nieden, 1926.</w:t>
      </w:r>
      <w:r>
        <w:br/>
      </w:r>
      <w:r>
        <w:rPr>
          <w:i/>
          <w:iCs/>
        </w:rPr>
        <w:t xml:space="preserve">Cophixalus</w:t>
      </w:r>
      <w:r>
        <w:br/>
      </w:r>
      <w:r>
        <w:rPr>
          <w:i/>
          <w:iCs/>
        </w:rPr>
        <w:t xml:space="preserve">Chaperina</w:t>
      </w:r>
    </w:p>
    <w:p>
      <w:pPr>
        <w:pStyle w:val="BodyText"/>
      </w:pPr>
      <w:r>
        <w:rPr>
          <w:i/>
          <w:iCs/>
        </w:rPr>
        <w:t xml:space="preserve">Type species Oreophryne senckenbergiana</w:t>
      </w:r>
      <w:r>
        <w:t xml:space="preserve"> </w:t>
      </w:r>
      <w:r>
        <w:t xml:space="preserve">(Peters and Doria, 1878)</w:t>
      </w:r>
    </w:p>
    <w:p>
      <w:pPr>
        <w:pStyle w:val="BodyText"/>
      </w:pPr>
      <w:r>
        <w:rPr>
          <w:b/>
          <w:bCs/>
        </w:rPr>
        <w:t xml:space="preserve">Diagnosis:</w:t>
      </w:r>
      <w:r>
        <w:t xml:space="preserve"> </w:t>
      </w:r>
      <w:r>
        <w:t xml:space="preserve">We note that these morphological features for Oreophryne are shared with</w:t>
      </w:r>
      <w:r>
        <w:t xml:space="preserve"> </w:t>
      </w:r>
      <w:r>
        <w:rPr>
          <w:i/>
          <w:iCs/>
        </w:rPr>
        <w:t xml:space="preserve">Auparoparo</w:t>
      </w:r>
      <w:r>
        <w:t xml:space="preserve">.</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may be distinguished from other genera in subfamily Asterophryinae primarily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 (</w:t>
      </w:r>
      <w:r>
        <w:rPr>
          <w:i/>
          <w:iCs/>
        </w:rPr>
        <w:t xml:space="preserve">O. graminis</w:t>
      </w:r>
      <w:r>
        <w:t xml:space="preserve">, Gunther &amp; Richards 2011) 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Oreophryne may be preliminarily distinguished from Auparoparo 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call types, and geographic range, but confirmation should be made by molecular phylogenetics. We are not aware of any morphological synapomorphies for Oreophryne.</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(A, Figure 1) originating with the most recent common ancestor of</w:t>
      </w:r>
      <w:r>
        <w:t xml:space="preserve"> </w:t>
      </w:r>
      <w:r>
        <w:rPr>
          <w:i/>
          <w:iCs/>
        </w:rPr>
        <w:t xml:space="preserve">Oreophryne senckenbergiana</w:t>
      </w:r>
      <w:r>
        <w:t xml:space="preserve"> </w:t>
      </w:r>
      <w:r>
        <w:t xml:space="preserve">(Peters and Doria, 1878),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w:t>
      </w:r>
      <w:r>
        <w:t xml:space="preserve"> </w:t>
      </w:r>
      <w:r>
        <w:rPr>
          <w:i/>
          <w:iCs/>
        </w:rPr>
        <w:t xml:space="preserve">Auparoparo penelopeia</w:t>
      </w:r>
      <w:r>
        <w:t xml:space="preserve"> </w:t>
      </w:r>
      <w:r>
        <w:t xml:space="preserve">Kraus 2016, nor</w:t>
      </w:r>
      <w:r>
        <w:t xml:space="preserve"> </w:t>
      </w:r>
      <w:r>
        <w:rPr>
          <w:i/>
          <w:iCs/>
        </w:rPr>
        <w:t xml:space="preserve">Cophixalus verrucosus</w:t>
      </w:r>
      <w:r>
        <w:t xml:space="preserve"> </w:t>
      </w:r>
      <w:r>
        <w:t xml:space="preserve">Boettger 1892, nor</w:t>
      </w:r>
      <w:r>
        <w:t xml:space="preserve"> </w:t>
      </w:r>
      <w:r>
        <w:rPr>
          <w:i/>
          <w:iCs/>
        </w:rPr>
        <w:t xml:space="preserve">Paedophryne kathismaphlox</w:t>
      </w:r>
      <w:r>
        <w:t xml:space="preserve"> </w:t>
      </w:r>
      <w:r>
        <w:t xml:space="preserve">Kraus 2010.</w:t>
      </w:r>
    </w:p>
    <w:tbl>
      <w:tblPr>
        <w:tblStyle w:val="Table"/>
        <w:tblW w:type="pct" w:w="5000"/>
        <w:tblLayout w:type="fixed"/>
        <w:tblLook w:firstRow="0" w:lastRow="0" w:firstColumn="0" w:lastColumn="0" w:noHBand="0" w:noVBand="0" w:val="0000"/>
      </w:tblPr>
      <w:tblGrid>
        <w:gridCol w:w="7920"/>
      </w:tblGrid>
      <w:tr>
        <w:tc>
          <w:tcPr/>
          <w:bookmarkStart w:id="53"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3"/>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w:t>
      </w:r>
      <w:r>
        <w:t xml:space="preserve"> </w:t>
      </w:r>
      <w:r>
        <w:rPr>
          <w:i/>
          <w:iCs/>
        </w:rPr>
        <w:t xml:space="preserve">Oreophryne anamiatoi</w:t>
      </w:r>
      <w:r>
        <w:t xml:space="preserve"> </w:t>
      </w:r>
      <w:r>
        <w:t xml:space="preserve">(Kraus &amp; Allison, 2009),</w:t>
      </w:r>
      <w:r>
        <w:t xml:space="preserve"> </w:t>
      </w:r>
      <w:r>
        <w:rPr>
          <w:i/>
          <w:iCs/>
        </w:rPr>
        <w:t xml:space="preserve">O. anulata</w:t>
      </w:r>
      <w:r>
        <w:t xml:space="preserve"> </w:t>
      </w:r>
      <w:r>
        <w:t xml:space="preserve">(Stejneger, 1908),</w:t>
      </w:r>
      <w:r>
        <w:t xml:space="preserve"> </w:t>
      </w:r>
      <w:r>
        <w:rPr>
          <w:i/>
          <w:iCs/>
        </w:rPr>
        <w:t xml:space="preserve">O. aurora</w:t>
      </w:r>
      <w:r>
        <w:t xml:space="preserve"> </w:t>
      </w:r>
      <w:r>
        <w:t xml:space="preserve">(Kraus, 2016),</w:t>
      </w:r>
      <w:r>
        <w:t xml:space="preserve"> </w:t>
      </w:r>
      <w:r>
        <w:rPr>
          <w:i/>
          <w:iCs/>
        </w:rPr>
        <w:t xml:space="preserve">O. biroi</w:t>
      </w:r>
      <w:r>
        <w:t xml:space="preserve"> </w:t>
      </w:r>
      <w:r>
        <w:t xml:space="preserve">(Méhely, 1897),</w:t>
      </w:r>
      <w:r>
        <w:t xml:space="preserve"> </w:t>
      </w:r>
      <w:r>
        <w:rPr>
          <w:i/>
          <w:iCs/>
        </w:rPr>
        <w:t xml:space="preserve">O. brachypus</w:t>
      </w:r>
      <w:r>
        <w:t xml:space="preserve"> </w:t>
      </w:r>
      <w:r>
        <w:t xml:space="preserve">(Werner, 1898),</w:t>
      </w:r>
      <w:r>
        <w:t xml:space="preserve"> </w:t>
      </w:r>
      <w:r>
        <w:rPr>
          <w:i/>
          <w:iCs/>
        </w:rPr>
        <w:t xml:space="preserve">Oreophryne cameroni</w:t>
      </w:r>
      <w:r>
        <w:t xml:space="preserve"> </w:t>
      </w:r>
      <w:r>
        <w:t xml:space="preserve">(Kraus, 2013),</w:t>
      </w:r>
      <w:r>
        <w:t xml:space="preserve"> </w:t>
      </w:r>
      <w:r>
        <w:rPr>
          <w:i/>
          <w:iCs/>
        </w:rPr>
        <w:t xml:space="preserve">O. frontifasciata</w:t>
      </w:r>
      <w:r>
        <w:t xml:space="preserve"> </w:t>
      </w:r>
      <w:r>
        <w:t xml:space="preserve">((Horst, 1883),</w:t>
      </w:r>
      <w:r>
        <w:t xml:space="preserve"> </w:t>
      </w:r>
      <w:r>
        <w:rPr>
          <w:i/>
          <w:iCs/>
        </w:rPr>
        <w:t xml:space="preserve">O. geislerorum</w:t>
      </w:r>
      <w:r>
        <w:t xml:space="preserve"> </w:t>
      </w:r>
      <w:r>
        <w:t xml:space="preserve">(Boettger, 1892),</w:t>
      </w:r>
      <w:r>
        <w:t xml:space="preserve"> </w:t>
      </w:r>
      <w:r>
        <w:rPr>
          <w:i/>
          <w:iCs/>
        </w:rPr>
        <w:t xml:space="preserve">O. graminis</w:t>
      </w:r>
      <w:r>
        <w:t xml:space="preserve"> </w:t>
      </w:r>
      <w:r>
        <w:t xml:space="preserve">(Günther &amp; Richards, 2012),</w:t>
      </w:r>
      <w:r>
        <w:t xml:space="preserve"> </w:t>
      </w:r>
      <w:r>
        <w:rPr>
          <w:i/>
          <w:iCs/>
        </w:rPr>
        <w:t xml:space="preserve">Oreophryne inornata</w:t>
      </w:r>
      <w:r>
        <w:t xml:space="preserve"> </w:t>
      </w:r>
      <w:r>
        <w:t xml:space="preserve">(Zweifel, 1956),</w:t>
      </w:r>
      <w:r>
        <w:t xml:space="preserve"> </w:t>
      </w:r>
      <w:r>
        <w:rPr>
          <w:i/>
          <w:iCs/>
        </w:rPr>
        <w:t xml:space="preserve">Oreophryne lemur</w:t>
      </w:r>
      <w:r>
        <w:t xml:space="preserve"> </w:t>
      </w:r>
      <w:r>
        <w:t xml:space="preserve">(Kraus, 2016),</w:t>
      </w:r>
      <w:r>
        <w:t xml:space="preserve"> </w:t>
      </w:r>
      <w:r>
        <w:rPr>
          <w:i/>
          <w:iCs/>
        </w:rPr>
        <w:t xml:space="preserve">O. loriae</w:t>
      </w:r>
      <w:r>
        <w:t xml:space="preserve"> </w:t>
      </w:r>
      <w:r>
        <w:t xml:space="preserve">(Boulenger, 1898),</w:t>
      </w:r>
      <w:r>
        <w:t xml:space="preserve"> </w:t>
      </w:r>
      <w:r>
        <w:rPr>
          <w:i/>
          <w:iCs/>
        </w:rPr>
        <w:t xml:space="preserve">O. nana</w:t>
      </w:r>
      <w:r>
        <w:t xml:space="preserve"> </w:t>
      </w:r>
      <w:r>
        <w:t xml:space="preserve">(Brown and Alcala, 1967),</w:t>
      </w:r>
      <w:r>
        <w:t xml:space="preserve"> </w:t>
      </w:r>
      <w:r>
        <w:rPr>
          <w:i/>
          <w:iCs/>
        </w:rPr>
        <w:t xml:space="preserve">O. notata</w:t>
      </w:r>
      <w:r>
        <w:t xml:space="preserve"> </w:t>
      </w:r>
      <w:r>
        <w:t xml:space="preserve">(Zweifel, 2003),</w:t>
      </w:r>
      <w:r>
        <w:t xml:space="preserve"> </w:t>
      </w:r>
      <w:r>
        <w:rPr>
          <w:i/>
          <w:iCs/>
        </w:rPr>
        <w:t xml:space="preserve">Oreophryne parkeri</w:t>
      </w:r>
      <w:r>
        <w:t xml:space="preserve"> </w:t>
      </w:r>
      <w:r>
        <w:t xml:space="preserve">(Loveridge, 1955),</w:t>
      </w:r>
      <w:r>
        <w:t xml:space="preserve"> </w:t>
      </w:r>
      <w:r>
        <w:rPr>
          <w:i/>
          <w:iCs/>
        </w:rPr>
        <w:t xml:space="preserve">Oreophryne parkopanorum</w:t>
      </w:r>
      <w:r>
        <w:t xml:space="preserve"> </w:t>
      </w:r>
      <w:r>
        <w:t xml:space="preserve">(Kraus, 2013),</w:t>
      </w:r>
      <w:r>
        <w:t xml:space="preserve"> </w:t>
      </w:r>
      <w:r>
        <w:rPr>
          <w:i/>
          <w:iCs/>
        </w:rPr>
        <w:t xml:space="preserve">Oreophryne philosylleptoris</w:t>
      </w:r>
      <w:r>
        <w:t xml:space="preserve"> </w:t>
      </w:r>
      <w:r>
        <w:t xml:space="preserve">(Kraus, 2016), and</w:t>
      </w:r>
      <w:r>
        <w:t xml:space="preserve"> </w:t>
      </w:r>
      <w:r>
        <w:rPr>
          <w:i/>
          <w:iCs/>
        </w:rPr>
        <w:t xml:space="preserve">O. senckenbergiana</w:t>
      </w:r>
      <w:r>
        <w:t xml:space="preserve"> </w:t>
      </w:r>
      <w:r>
        <w:t xml:space="preserve">(Peters &amp; Doria, 1878). Forty-six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Oreophryne.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 Günther, 1858.</w:t>
      </w:r>
      <w:r>
        <w:br/>
      </w:r>
      <w:r>
        <w:rPr>
          <w:b/>
          <w:bCs/>
        </w:rPr>
        <w:t xml:space="preserve">Subfamily Asterophryinae Günther, 1858.</w:t>
      </w:r>
      <w:r>
        <w:br/>
      </w:r>
      <w:r>
        <w:rPr>
          <w:b/>
          <w:bCs/>
        </w:rPr>
        <w:t xml:space="preserve">Genus Auparoparo gen. Nov.</w:t>
      </w:r>
      <w:r>
        <w:br/>
      </w:r>
      <w:r>
        <w:rPr>
          <w:i/>
          <w:iCs/>
        </w:rPr>
        <w:t xml:space="preserve">Oreophryne</w:t>
      </w:r>
      <w:r>
        <w:t xml:space="preserve"> </w:t>
      </w:r>
      <w:r>
        <w:t xml:space="preserve">Boettger, 1895</w:t>
      </w:r>
      <w:r>
        <w:br/>
      </w:r>
      <w:r>
        <w:rPr>
          <w:i/>
          <w:iCs/>
        </w:rPr>
        <w:t xml:space="preserve">Aphantophryne</w:t>
      </w:r>
      <w:r>
        <w:t xml:space="preserve"> </w:t>
      </w:r>
      <w:r>
        <w:t xml:space="preserve">Fry, 1917</w:t>
      </w:r>
      <w:r>
        <w:br/>
      </w:r>
      <w:r>
        <w:rPr>
          <w:i/>
          <w:iCs/>
        </w:rPr>
        <w:t xml:space="preserve">Sphenophryne</w:t>
      </w:r>
      <w:r>
        <w:t xml:space="preserve"> </w:t>
      </w:r>
      <w:r>
        <w:t xml:space="preserve">(</w:t>
      </w:r>
      <w:r>
        <w:rPr>
          <w:i/>
          <w:iCs/>
        </w:rPr>
        <w:t xml:space="preserve">anthonyi</w:t>
      </w:r>
      <w:r>
        <w:t xml:space="preserve">) Boulenger, 1897</w:t>
      </w:r>
      <w:r>
        <w:br/>
      </w:r>
      <w:r>
        <w:t xml:space="preserve">Type species</w:t>
      </w:r>
      <w:r>
        <w:t xml:space="preserve"> </w:t>
      </w:r>
      <w:r>
        <w:rPr>
          <w:i/>
          <w:iCs/>
        </w:rPr>
        <w:t xml:space="preserve">Oreophryne penelopeia</w:t>
      </w:r>
      <w:r>
        <w:t xml:space="preserve"> </w:t>
      </w:r>
      <w:r>
        <w:t xml:space="preserve">(Kraus 2016) [=</w:t>
      </w:r>
      <w:r>
        <w:rPr>
          <w:i/>
          <w:iCs/>
        </w:rPr>
        <w:t xml:space="preserve">Auparoparo penelopeia</w:t>
      </w:r>
      <w:r>
        <w:t xml:space="preserve">].</w:t>
      </w:r>
    </w:p>
    <w:p>
      <w:pPr>
        <w:pStyle w:val="BodyText"/>
      </w:pPr>
      <w:r>
        <w:rPr>
          <w:b/>
          <w:bCs/>
        </w:rPr>
        <w:t xml:space="preserve">Diagnosis:</w:t>
      </w:r>
      <w:r>
        <w:t xml:space="preserve"> </w:t>
      </w:r>
      <w:r>
        <w:t xml:space="preserve">We note that these diagnostic morphological features for arboreal species of</w:t>
      </w:r>
      <w:r>
        <w:t xml:space="preserve"> </w:t>
      </w:r>
      <w:r>
        <w:rPr>
          <w:i/>
          <w:iCs/>
        </w:rPr>
        <w:t xml:space="preserve">Auparoparo</w:t>
      </w:r>
      <w:r>
        <w:t xml:space="preserve"> </w:t>
      </w:r>
      <w:r>
        <w:t xml:space="preserve">are all shared with</w:t>
      </w:r>
      <w:r>
        <w:t xml:space="preserve"> </w:t>
      </w:r>
      <w:r>
        <w:rPr>
          <w:i/>
          <w:iCs/>
        </w:rPr>
        <w:t xml:space="preserve">Oreophryne</w:t>
      </w:r>
      <w:r>
        <w:t xml:space="preserve">. Most species of</w:t>
      </w:r>
      <w:r>
        <w:t xml:space="preserve"> </w:t>
      </w:r>
      <w:r>
        <w:rPr>
          <w:i/>
          <w:iCs/>
        </w:rPr>
        <w:t xml:space="preserve">Auparoparo</w:t>
      </w:r>
      <w:r>
        <w:t xml:space="preserve"> </w:t>
      </w:r>
      <w:r>
        <w:t xml:space="preserve">may be distinguished from other genera in subfamily Asterophryinae primarily by the combination of (1) presence of highly reduced clavicles (vs absence or elongate) which have a distinctly curved shape; (2) presence of well developed digital pads, with finger pads notably wider than toe pads (typically 20% or more); (3) arboreal lifestyle (perch height &gt;2m above ground); (4) small to moderately large body size in known species, from 16mm (</w:t>
      </w:r>
      <w:r>
        <w:rPr>
          <w:i/>
          <w:iCs/>
        </w:rPr>
        <w:t xml:space="preserve">A. brunnea</w:t>
      </w:r>
      <w:r>
        <w:t xml:space="preserve">, Kraus 2017) to 25 mm (</w:t>
      </w:r>
      <w:r>
        <w:rPr>
          <w:i/>
          <w:iCs/>
        </w:rPr>
        <w:t xml:space="preserve">A. picticrus</w:t>
      </w:r>
      <w:r>
        <w:t xml:space="preserve">, Kraus 2016); (5) small to invisible tympanum; (6) large eyes with pupil horizontal;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Researchers should be aware of a high-elevation morphotype exception that are terrestrial or fossorial species, included in subgenus nov.</w:t>
      </w:r>
      <w:r>
        <w:t xml:space="preserve"> </w:t>
      </w:r>
      <w:r>
        <w:rPr>
          <w:i/>
          <w:iCs/>
        </w:rPr>
        <w:t xml:space="preserve">Aphantophryne</w:t>
      </w:r>
      <w:r>
        <w:t xml:space="preserve">, previously genus</w:t>
      </w:r>
      <w:r>
        <w:t xml:space="preserve"> </w:t>
      </w:r>
      <w:r>
        <w:rPr>
          <w:i/>
          <w:iCs/>
        </w:rPr>
        <w:t xml:space="preserve">Aphantophryne</w:t>
      </w:r>
      <w:r>
        <w:t xml:space="preserve">. We suspect that there are other members in the genus that have not yet been sequenced which may exhibit specialized features that vary from those described, including smaller body size and less digital pad expansion. We are not aware of any morphological synapomorphies for</w:t>
      </w:r>
      <w:r>
        <w:t xml:space="preserve"> </w:t>
      </w:r>
      <w:r>
        <w:rPr>
          <w:i/>
          <w:iCs/>
        </w:rPr>
        <w:t xml:space="preserve">Auparoparo</w:t>
      </w:r>
      <w:r>
        <w:t xml:space="preserve">.</w:t>
      </w:r>
    </w:p>
    <w:p>
      <w:pPr>
        <w:pStyle w:val="BodyText"/>
      </w:pPr>
      <w:r>
        <w:rPr>
          <w:b/>
          <w:bCs/>
        </w:rPr>
        <w:t xml:space="preserve">Phylogenetic definition:</w:t>
      </w:r>
      <w:r>
        <w:t xml:space="preserve"> </w:t>
      </w:r>
      <w:r>
        <w:rPr>
          <w:i/>
          <w:iCs/>
        </w:rPr>
        <w:t xml:space="preserve">Auparoparo</w:t>
      </w:r>
      <w:r>
        <w:t xml:space="preserve"> </w:t>
      </w:r>
      <w:r>
        <w:t xml:space="preserve">(NCN) applies to the maximum crown-clade originating with the most recent common ancestor of</w:t>
      </w:r>
      <w:r>
        <w:t xml:space="preserve"> </w:t>
      </w:r>
      <w:r>
        <w:rPr>
          <w:i/>
          <w:iCs/>
        </w:rPr>
        <w:t xml:space="preserve">Auparoparo penelopeia</w:t>
      </w:r>
      <w:r>
        <w:t xml:space="preserve"> </w:t>
      </w:r>
      <w:r>
        <w:t xml:space="preserve">Kraus 2016, the type species of</w:t>
      </w:r>
      <w:r>
        <w:t xml:space="preserve"> </w:t>
      </w:r>
      <w:r>
        <w:rPr>
          <w:i/>
          <w:iCs/>
        </w:rPr>
        <w:t xml:space="preserve">Auparoparo</w:t>
      </w:r>
      <w:r>
        <w:t xml:space="preserve">,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Cophixalus verrucosus</w:t>
      </w:r>
      <w:r>
        <w:t xml:space="preserve"> </w:t>
      </w:r>
      <w:r>
        <w:t xml:space="preserve">Boettger 1892,</w:t>
      </w:r>
      <w:r>
        <w:t xml:space="preserve"> </w:t>
      </w:r>
      <w:r>
        <w:rPr>
          <w:i/>
          <w:iCs/>
        </w:rPr>
        <w:t xml:space="preserve">Paedophryne kathismaphlox</w:t>
      </w:r>
      <w:r>
        <w:t xml:space="preserve"> </w:t>
      </w:r>
      <w:r>
        <w:t xml:space="preserve">Kraus 2010,</w:t>
      </w:r>
      <w:r>
        <w:t xml:space="preserve"> </w:t>
      </w:r>
      <w:r>
        <w:rPr>
          <w:i/>
          <w:iCs/>
        </w:rPr>
        <w:t xml:space="preserve">Oreophryne senckenbergiana</w:t>
      </w:r>
      <w:r>
        <w:t xml:space="preserve"> </w:t>
      </w:r>
      <w:r>
        <w:t xml:space="preserve">Peters and Doria, 1878, and any of the remaining genera in</w:t>
      </w:r>
      <w:r>
        <w:t xml:space="preserve"> </w:t>
      </w:r>
      <w:hyperlink w:anchor="tbl-genera-types">
        <w:r>
          <w:rPr>
            <w:rStyle w:val="Hyperlink"/>
          </w:rPr>
          <w:t xml:space="preserve">Table 4</w:t>
        </w:r>
      </w:hyperlink>
      <w:r>
        <w:t xml:space="preserve">.</w:t>
      </w:r>
    </w:p>
    <w:p>
      <w:pPr>
        <w:pStyle w:val="BodyText"/>
      </w:pPr>
      <w:r>
        <w:rPr>
          <w:b/>
          <w:bCs/>
        </w:rPr>
        <w:t xml:space="preserve">Content:</w:t>
      </w:r>
      <w:r>
        <w:t xml:space="preserve"> </w:t>
      </w:r>
      <w:r>
        <w:t xml:space="preserve">We transfer eleven named species from</w:t>
      </w:r>
      <w:r>
        <w:t xml:space="preserve"> </w:t>
      </w:r>
      <w:r>
        <w:rPr>
          <w:i/>
          <w:iCs/>
        </w:rPr>
        <w:t xml:space="preserve">Oreophryne</w:t>
      </w:r>
      <w:r>
        <w:t xml:space="preserve"> </w:t>
      </w:r>
      <w:r>
        <w:t xml:space="preserve">sensu lato into</w:t>
      </w:r>
      <w:r>
        <w:t xml:space="preserve"> </w:t>
      </w:r>
      <w:r>
        <w:rPr>
          <w:i/>
          <w:iCs/>
        </w:rPr>
        <w:t xml:space="preserve">Auparoparo</w:t>
      </w:r>
      <w:r>
        <w:t xml:space="preserve"> </w:t>
      </w:r>
      <w:r>
        <w:t xml:space="preserve">gen. Nov.:</w:t>
      </w:r>
      <w:r>
        <w:t xml:space="preserve"> </w:t>
      </w:r>
      <w:r>
        <w:rPr>
          <w:i/>
          <w:iCs/>
        </w:rPr>
        <w:t xml:space="preserve">Auparoparo brunnea</w:t>
      </w:r>
      <w:r>
        <w:t xml:space="preserve"> </w:t>
      </w:r>
      <w:r>
        <w:t xml:space="preserve">(Kraus, 2017),</w:t>
      </w:r>
      <w:r>
        <w:t xml:space="preserve"> </w:t>
      </w:r>
      <w:r>
        <w:rPr>
          <w:i/>
          <w:iCs/>
        </w:rPr>
        <w:t xml:space="preserve">Auparoparo equus</w:t>
      </w:r>
      <w:r>
        <w:t xml:space="preserve"> </w:t>
      </w:r>
      <w:r>
        <w:t xml:space="preserve">(Kraus, 2016),</w:t>
      </w:r>
      <w:r>
        <w:t xml:space="preserve"> </w:t>
      </w:r>
      <w:r>
        <w:rPr>
          <w:i/>
          <w:iCs/>
        </w:rPr>
        <w:t xml:space="preserve">Auparoparo ezra</w:t>
      </w:r>
      <w:r>
        <w:t xml:space="preserve"> </w:t>
      </w:r>
      <w:r>
        <w:t xml:space="preserve">Kraus and Allison, 2009,</w:t>
      </w:r>
      <w:r>
        <w:t xml:space="preserve"> </w:t>
      </w:r>
      <w:r>
        <w:rPr>
          <w:i/>
          <w:iCs/>
        </w:rPr>
        <w:t xml:space="preserve">Auparoparo insulana</w:t>
      </w:r>
      <w:r>
        <w:t xml:space="preserve"> </w:t>
      </w:r>
      <w:r>
        <w:t xml:space="preserve">Zweifel, 1956,</w:t>
      </w:r>
      <w:r>
        <w:t xml:space="preserve"> </w:t>
      </w:r>
      <w:r>
        <w:rPr>
          <w:i/>
          <w:iCs/>
        </w:rPr>
        <w:t xml:space="preserve">Auparoparo matawan</w:t>
      </w:r>
      <w:r>
        <w:t xml:space="preserve"> </w:t>
      </w:r>
      <w:r>
        <w:t xml:space="preserve">Kraus, 2016,</w:t>
      </w:r>
      <w:r>
        <w:t xml:space="preserve"> </w:t>
      </w:r>
      <w:r>
        <w:rPr>
          <w:i/>
          <w:iCs/>
        </w:rPr>
        <w:t xml:space="preserve">Auparoparo meliades</w:t>
      </w:r>
      <w:r>
        <w:t xml:space="preserve"> </w:t>
      </w:r>
      <w:r>
        <w:t xml:space="preserve">Kraus, 2016,</w:t>
      </w:r>
      <w:r>
        <w:t xml:space="preserve"> </w:t>
      </w:r>
      <w:r>
        <w:rPr>
          <w:i/>
          <w:iCs/>
        </w:rPr>
        <w:t xml:space="preserve">Auparoparo penelopeia</w:t>
      </w:r>
      <w:r>
        <w:t xml:space="preserve"> </w:t>
      </w:r>
      <w:r>
        <w:t xml:space="preserve">Kraus, 2016,</w:t>
      </w:r>
      <w:r>
        <w:t xml:space="preserve"> </w:t>
      </w:r>
      <w:r>
        <w:rPr>
          <w:i/>
          <w:iCs/>
        </w:rPr>
        <w:t xml:space="preserve">Auparoparo phoebe</w:t>
      </w:r>
      <w:r>
        <w:t xml:space="preserve"> </w:t>
      </w:r>
      <w:r>
        <w:t xml:space="preserve">Kraus, 2017,</w:t>
      </w:r>
      <w:r>
        <w:t xml:space="preserve"> </w:t>
      </w:r>
      <w:r>
        <w:rPr>
          <w:i/>
          <w:iCs/>
        </w:rPr>
        <w:t xml:space="preserve">Auparoparo picticrus</w:t>
      </w:r>
      <w:r>
        <w:t xml:space="preserve"> </w:t>
      </w:r>
      <w:r>
        <w:t xml:space="preserve">Kraus, 2016,</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 </w:t>
      </w:r>
      <w:r>
        <w:rPr>
          <w:i/>
          <w:iCs/>
        </w:rPr>
        <w:t xml:space="preserve">Auparoparo variabilis</w:t>
      </w:r>
      <w:r>
        <w:t xml:space="preserve"> </w:t>
      </w:r>
      <w:r>
        <w:t xml:space="preserve">(Boulenger, 1896). We also deprecate the genus</w:t>
      </w:r>
      <w:r>
        <w:t xml:space="preserve"> </w:t>
      </w:r>
      <w:r>
        <w:rPr>
          <w:i/>
          <w:iCs/>
        </w:rPr>
        <w:t xml:space="preserve">Aphantophryne</w:t>
      </w:r>
      <w:r>
        <w:t xml:space="preserve"> </w:t>
      </w:r>
      <w:r>
        <w:t xml:space="preserve">to a subgenus within</w:t>
      </w:r>
      <w:r>
        <w:t xml:space="preserve"> </w:t>
      </w:r>
      <w:r>
        <w:rPr>
          <w:i/>
          <w:iCs/>
        </w:rPr>
        <w:t xml:space="preserve">Auparoparo</w:t>
      </w:r>
      <w:r>
        <w:t xml:space="preserve">, transferring species:</w:t>
      </w:r>
      <w:r>
        <w:t xml:space="preserve"> </w:t>
      </w:r>
      <w:r>
        <w:rPr>
          <w:i/>
          <w:iCs/>
        </w:rPr>
        <w:t xml:space="preserve">Auparoparo Aphantophryne pansa</w:t>
      </w:r>
      <w:r>
        <w:t xml:space="preserve"> </w:t>
      </w:r>
      <w:r>
        <w:t xml:space="preserve">(Fry, 1917),</w:t>
      </w:r>
      <w:r>
        <w:t xml:space="preserve"> </w:t>
      </w:r>
      <w:r>
        <w:rPr>
          <w:i/>
          <w:iCs/>
        </w:rPr>
        <w:t xml:space="preserve">Auparoparo Aphantophryne sabini</w:t>
      </w:r>
      <w:r>
        <w:t xml:space="preserve"> </w:t>
      </w:r>
      <w:r>
        <w:t xml:space="preserve">(Zweifel and Parker, 1989).</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 (</w:t>
      </w:r>
      <w:hyperlink w:anchor="fig-map">
        <w:r>
          <w:rPr>
            <w:rStyle w:val="Hyperlink"/>
          </w:rPr>
          <w:t xml:space="preserve">Figure 3</w:t>
        </w:r>
      </w:hyperlink>
      <w:r>
        <w:t xml:space="preserve">).</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p>
      <w:pPr>
        <w:pStyle w:val="BodyText"/>
      </w:pPr>
      <w:r>
        <w:rPr>
          <w:b/>
          <w:bCs/>
        </w:rPr>
        <w:t xml:space="preserve">Comment:</w:t>
      </w:r>
      <w:r>
        <w:t xml:space="preserve"> </w:t>
      </w:r>
      <w:r>
        <w:t xml:space="preserve">According to ICZN convention for nomenclature assignment, the genus</w:t>
      </w:r>
      <w:r>
        <w:t xml:space="preserve"> </w:t>
      </w:r>
      <w:r>
        <w:rPr>
          <w:i/>
          <w:iCs/>
        </w:rPr>
        <w:t xml:space="preserve">Aphantophryne</w:t>
      </w:r>
      <w:r>
        <w:t xml:space="preserve">, which is newly confirmed to be contained within</w:t>
      </w:r>
      <w:r>
        <w:t xml:space="preserve"> </w:t>
      </w:r>
      <w:r>
        <w:rPr>
          <w:i/>
          <w:iCs/>
        </w:rPr>
        <w:t xml:space="preserve">Auparoparo</w:t>
      </w:r>
      <w:r>
        <w:t xml:space="preserve"> </w:t>
      </w:r>
      <w:r>
        <w:t xml:space="preserve">could be considered a name of priority (ICZN, 1999). However, based on the tremendous morphological and lifestyle differences between</w:t>
      </w:r>
      <w:r>
        <w:t xml:space="preserve"> </w:t>
      </w:r>
      <w:r>
        <w:rPr>
          <w:i/>
          <w:iCs/>
        </w:rPr>
        <w:t xml:space="preserve">Aphantophryne</w:t>
      </w:r>
      <w:r>
        <w:t xml:space="preserve"> </w:t>
      </w:r>
      <w:r>
        <w:t xml:space="preserve">and other species of</w:t>
      </w:r>
      <w:r>
        <w:t xml:space="preserve"> </w:t>
      </w:r>
      <w:r>
        <w:rPr>
          <w:i/>
          <w:iCs/>
        </w:rPr>
        <w:t xml:space="preserve">Auparoparo</w:t>
      </w:r>
      <w:r>
        <w:t xml:space="preserve">, we do not consider this name to be representative of the entire clade and therefore recommend deprecation of</w:t>
      </w:r>
      <w:r>
        <w:t xml:space="preserve"> </w:t>
      </w:r>
      <w:r>
        <w:rPr>
          <w:i/>
          <w:iCs/>
        </w:rPr>
        <w:t xml:space="preserve">Aphantophryne</w:t>
      </w:r>
      <w:r>
        <w:t xml:space="preserve"> </w:t>
      </w:r>
      <w:r>
        <w:t xml:space="preserve">to a subgenus within</w:t>
      </w:r>
      <w:r>
        <w:t xml:space="preserve"> </w:t>
      </w:r>
      <w:r>
        <w:rPr>
          <w:i/>
          <w:iCs/>
        </w:rPr>
        <w:t xml:space="preserve">Auparoparo</w:t>
      </w:r>
      <w:r>
        <w:t xml:space="preserve">.</w:t>
      </w:r>
    </w:p>
    <w:p>
      <w:pPr>
        <w:pStyle w:val="BodyText"/>
      </w:pPr>
      <w:r>
        <w:rPr>
          <w:b/>
          <w:bCs/>
        </w:rPr>
        <w:t xml:space="preserve">Subgenus Aphantophryne (Fry 1917)</w:t>
      </w:r>
    </w:p>
    <w:p>
      <w:pPr>
        <w:pStyle w:val="BodyText"/>
      </w:pPr>
      <w:r>
        <w:rPr>
          <w:b/>
          <w:bCs/>
        </w:rPr>
        <w:t xml:space="preserve">Diagnosis:</w:t>
      </w:r>
      <w:r>
        <w:t xml:space="preserve"> </w:t>
      </w:r>
      <w:r>
        <w:t xml:space="preserve">These species were previously designated as the genus</w:t>
      </w:r>
      <w:r>
        <w:t xml:space="preserve"> </w:t>
      </w:r>
      <w:r>
        <w:rPr>
          <w:i/>
          <w:iCs/>
        </w:rPr>
        <w:t xml:space="preserve">Aphantophryne</w:t>
      </w:r>
      <w:r>
        <w:t xml:space="preserve"> </w:t>
      </w:r>
      <w:r>
        <w:t xml:space="preserve">and have the following distinctive morphological traits including: (1) absence of clavicles and procoracoid; (3) loss of a sternum or presence of a vestigial sternum; (4) absence of digital pads; (5) unwebbed toes and rounded tips; (6) clicking calls (7) fossorial lifestyle.</w:t>
      </w:r>
    </w:p>
    <w:p>
      <w:pPr>
        <w:pStyle w:val="BodyText"/>
      </w:pPr>
      <w:r>
        <w:rPr>
          <w:b/>
          <w:bCs/>
        </w:rPr>
        <w:t xml:space="preserve">Content:</w:t>
      </w:r>
      <w:r>
        <w:t xml:space="preserve"> </w:t>
      </w:r>
      <w:r>
        <w:rPr>
          <w:i/>
          <w:iCs/>
        </w:rPr>
        <w:t xml:space="preserve">Aphantophryne</w:t>
      </w:r>
      <w:r>
        <w:t xml:space="preserve"> </w:t>
      </w:r>
      <w:r>
        <w:t xml:space="preserve">consists of three named species,</w:t>
      </w:r>
      <w:r>
        <w:t xml:space="preserve"> </w:t>
      </w:r>
      <w:r>
        <w:rPr>
          <w:i/>
          <w:iCs/>
        </w:rPr>
        <w:t xml:space="preserve">A. pansa</w:t>
      </w:r>
      <w:r>
        <w:t xml:space="preserve">,</w:t>
      </w:r>
      <w:r>
        <w:t xml:space="preserve"> </w:t>
      </w:r>
      <w:r>
        <w:rPr>
          <w:i/>
          <w:iCs/>
        </w:rPr>
        <w:t xml:space="preserve">A. sabini</w:t>
      </w:r>
      <w:r>
        <w:t xml:space="preserve">, and</w:t>
      </w:r>
      <w:r>
        <w:t xml:space="preserve"> </w:t>
      </w:r>
      <w:r>
        <w:rPr>
          <w:i/>
          <w:iCs/>
        </w:rPr>
        <w:t xml:space="preserve">A. minuta</w:t>
      </w:r>
      <w:r>
        <w:t xml:space="preserve">. Zweifel and Parker (1989) mentioned the species A. minuta differs from the other two in its small size and relatively smaller first finger in proportion. Currently, no sample or phylogenetic data of</w:t>
      </w:r>
      <w:r>
        <w:t xml:space="preserve"> </w:t>
      </w:r>
      <w:r>
        <w:rPr>
          <w:i/>
          <w:iCs/>
        </w:rPr>
        <w:t xml:space="preserve">A. minuta</w:t>
      </w:r>
      <w:r>
        <w:t xml:space="preserve"> </w:t>
      </w:r>
      <w:r>
        <w:t xml:space="preserve">was obtained and thus this species is not included in this analysis. Given that</w:t>
      </w:r>
      <w:r>
        <w:t xml:space="preserve"> </w:t>
      </w:r>
      <w:r>
        <w:rPr>
          <w:i/>
          <w:iCs/>
        </w:rPr>
        <w:t xml:space="preserve">A. pansa</w:t>
      </w:r>
      <w:r>
        <w:t xml:space="preserve"> </w:t>
      </w:r>
      <w:r>
        <w:t xml:space="preserve">(Fry 1917)</w:t>
      </w:r>
      <w:r>
        <w:t xml:space="preserve"> </w:t>
      </w:r>
      <w:r>
        <w:t xml:space="preserve">is the type species of the genus</w:t>
      </w:r>
      <w:r>
        <w:t xml:space="preserve"> </w:t>
      </w:r>
      <w:r>
        <w:rPr>
          <w:i/>
          <w:iCs/>
        </w:rPr>
        <w:t xml:space="preserve">Aphantophryne</w:t>
      </w:r>
      <w:r>
        <w:t xml:space="preserve">, we deprecate</w:t>
      </w:r>
      <w:r>
        <w:t xml:space="preserve"> </w:t>
      </w:r>
      <w:r>
        <w:rPr>
          <w:i/>
          <w:iCs/>
        </w:rPr>
        <w:t xml:space="preserve">Aphantophryne</w:t>
      </w:r>
      <w:r>
        <w:t xml:space="preserve"> </w:t>
      </w:r>
      <w:r>
        <w:t xml:space="preserve">to a subgenus within</w:t>
      </w:r>
      <w:r>
        <w:t xml:space="preserve"> </w:t>
      </w:r>
      <w:r>
        <w:rPr>
          <w:i/>
          <w:iCs/>
        </w:rPr>
        <w:t xml:space="preserve">Auparoparo</w:t>
      </w:r>
      <w:r>
        <w:t xml:space="preserve">.</w:t>
      </w:r>
    </w:p>
    <w:bookmarkEnd w:id="54"/>
    <w:bookmarkEnd w:id="55"/>
    <w:bookmarkStart w:id="60" w:name="discussion"/>
    <w:p>
      <w:pPr>
        <w:pStyle w:val="Heading1"/>
      </w:pPr>
      <w:r>
        <w:t xml:space="preserve">Discussion</w:t>
      </w:r>
    </w:p>
    <w:bookmarkStart w:id="56" w:name="phenotypic-characters-and-diagnoses"/>
    <w:p>
      <w:pPr>
        <w:pStyle w:val="Heading2"/>
      </w:pPr>
      <w:r>
        <w:t xml:space="preserve">Phenotypic Characters and Diagnoses</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End w:id="56"/>
    <w:bookmarkStart w:id="57"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2009)</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diangnose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most common across both genera (Table 4).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(Table 4).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2009)</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7"/>
    <w:bookmarkStart w:id="58"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(along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8"/>
    <w:bookmarkStart w:id="59"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it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9"/>
    <w:bookmarkEnd w:id="60"/>
    <w:bookmarkStart w:id="61" w:name="supplementary-table-1"/>
    <w:p>
      <w:pPr>
        <w:pStyle w:val="Heading1"/>
      </w:pPr>
      <w:r>
        <w:t xml:space="preserve">Supplementary Table 1</w:t>
      </w:r>
    </w:p>
    <w:p>
      <w:pPr>
        <w:pStyle w:val="FirstParagraph"/>
      </w:pPr>
      <w:r>
        <w:t xml:space="preserve">Named species of Oreophryne sensu lato for which we do not have genetic material and cannot classify into Oreophryne vs. Auparoparo.</w:t>
      </w:r>
    </w:p>
    <w:p>
      <w:pPr>
        <w:pStyle w:val="BodyText"/>
      </w:pPr>
      <w:r>
        <w:t xml:space="preserve">Oreophryne albitympanum (Günther, Richards, and Tjaturadi, 2018)</w:t>
      </w:r>
      <w:r>
        <w:br/>
      </w:r>
      <w:r>
        <w:t xml:space="preserve">Oreophryne albomaculata (Günther, Richards, and Dahl, 2014)</w:t>
      </w:r>
      <w:r>
        <w:br/>
      </w:r>
      <w:r>
        <w:t xml:space="preserve">Oreophryne albopunctata (Van Kampen, 1909)</w:t>
      </w:r>
      <w:r>
        <w:br/>
      </w:r>
      <w:r>
        <w:t xml:space="preserve">Oreophryne alticola Zweifel, Cogger, and Richards, 2005</w:t>
      </w:r>
      <w:r>
        <w:br/>
      </w:r>
      <w:r>
        <w:t xml:space="preserve">Oreophryne ampelos Kraus, 2011</w:t>
      </w:r>
      <w:r>
        <w:br/>
      </w:r>
      <w:r>
        <w:t xml:space="preserve">Oreophryne anser Kraus, 2016</w:t>
      </w:r>
      <w:r>
        <w:br/>
      </w:r>
      <w:r>
        <w:t xml:space="preserve">Oreophryne anthonyi (Boulenger, 1897)</w:t>
      </w:r>
      <w:r>
        <w:br/>
      </w:r>
      <w:r>
        <w:t xml:space="preserve">Oreophryne asplenicola Günther, 2003</w:t>
      </w:r>
      <w:r>
        <w:br/>
      </w:r>
      <w:r>
        <w:t xml:space="preserve">Oreophryne atrigularis Günther, Richards, and Iskandar, 2001</w:t>
      </w:r>
      <w:r>
        <w:br/>
      </w:r>
      <w:r>
        <w:t xml:space="preserve">Oreophryne banshee Kraus, 2016</w:t>
      </w:r>
      <w:r>
        <w:br/>
      </w:r>
      <w:r>
        <w:t xml:space="preserve">Oreophryne brevicrus Zweifel, 1956</w:t>
      </w:r>
      <w:r>
        <w:br/>
      </w:r>
      <w:r>
        <w:t xml:space="preserve">Oreophryne brevirostris Zweifel, Cogger, and Richards, 2005</w:t>
      </w:r>
      <w:r>
        <w:br/>
      </w:r>
      <w:r>
        <w:t xml:space="preserve">Oreophryne celebensis (Müller, 1894)</w:t>
      </w:r>
      <w:r>
        <w:br/>
      </w:r>
      <w:r>
        <w:t xml:space="preserve">Oreophryne choerophrynoides Günther, 2015</w:t>
      </w:r>
      <w:r>
        <w:br/>
      </w:r>
      <w:r>
        <w:t xml:space="preserve">Oreophryne chlorops Günther, Iskandar, and Richards, 2023</w:t>
      </w:r>
      <w:r>
        <w:br/>
      </w:r>
      <w:r>
        <w:t xml:space="preserve">Oreophryne clamata Günther, 2003</w:t>
      </w:r>
      <w:r>
        <w:br/>
      </w:r>
      <w:r>
        <w:t xml:space="preserve">Oreophryne crucifer (Van Kampen, 1913)</w:t>
      </w:r>
      <w:r>
        <w:br/>
      </w:r>
      <w:r>
        <w:t xml:space="preserve">Oreophryne curator Günther, Richards, and Dahl, 2014</w:t>
      </w:r>
      <w:r>
        <w:br/>
      </w:r>
      <w:r>
        <w:t xml:space="preserve">Oreophryne flava Parker, 1934</w:t>
      </w:r>
      <w:r>
        <w:br/>
      </w:r>
      <w:r>
        <w:t xml:space="preserve">Oreophryne flavomaculata Günther and Richards, 2016</w:t>
      </w:r>
      <w:r>
        <w:br/>
      </w:r>
      <w:r>
        <w:t xml:space="preserve">Oreophryne furu Günther, Richards, Tjaturadi, and Iskandar, 2009</w:t>
      </w:r>
      <w:r>
        <w:br/>
      </w:r>
      <w:r>
        <w:t xml:space="preserve">Oreophryne geminus Zweifel, Cogger, and Richards, 2005</w:t>
      </w:r>
      <w:r>
        <w:br/>
      </w:r>
      <w:r>
        <w:t xml:space="preserve">Oreophryne habbemensis Zweifel, Cogger, and Richards, 2005</w:t>
      </w:r>
      <w:r>
        <w:br/>
      </w:r>
      <w:r>
        <w:t xml:space="preserve">Oreophryne hypsiops Zweifel, Menzies, and Price, 2003</w:t>
      </w:r>
      <w:r>
        <w:br/>
      </w:r>
      <w:r>
        <w:t xml:space="preserve">Oreophryne idenburgensis Zweifel, 1956</w:t>
      </w:r>
      <w:r>
        <w:br/>
      </w:r>
      <w:r>
        <w:t xml:space="preserve">Oreophryne jeffersoniana Dunn, 1928</w:t>
      </w:r>
      <w:r>
        <w:br/>
      </w:r>
      <w:r>
        <w:t xml:space="preserve">Oreophryne kampeni Parker, 1934</w:t>
      </w:r>
      <w:r>
        <w:br/>
      </w:r>
      <w:r>
        <w:t xml:space="preserve">Oreophryne kapisa Günther, 2003</w:t>
      </w:r>
      <w:r>
        <w:br/>
      </w:r>
      <w:r>
        <w:t xml:space="preserve">Oreophryne mertoni (Roux, 1910)</w:t>
      </w:r>
      <w:r>
        <w:br/>
      </w:r>
      <w:r>
        <w:t xml:space="preserve">Oreophryne minuta Richards and Iskandar, 2000</w:t>
      </w:r>
      <w:r>
        <w:br/>
      </w:r>
      <w:r>
        <w:t xml:space="preserve">Oreophryne monticola (Boulenger, 1897)</w:t>
      </w:r>
      <w:r>
        <w:br/>
      </w:r>
      <w:r>
        <w:t xml:space="preserve">Oreophryne nicolasi Richards and Günther, 2019</w:t>
      </w:r>
      <w:r>
        <w:br/>
      </w:r>
      <w:r>
        <w:t xml:space="preserve">Oreophryne oviprotector Günther, Richards, Bickford, and Johnston, 2012</w:t>
      </w:r>
      <w:r>
        <w:br/>
      </w:r>
      <w:r>
        <w:t xml:space="preserve">Oreophryne pseudasplenicola Günther, 2003</w:t>
      </w:r>
      <w:r>
        <w:br/>
      </w:r>
      <w:r>
        <w:t xml:space="preserve">Oreophryne pseudunicolor Günther and Richards, 2016</w:t>
      </w:r>
      <w:r>
        <w:br/>
      </w:r>
      <w:r>
        <w:t xml:space="preserve">Oreophryne roedeli Günther, 2015</w:t>
      </w:r>
      <w:r>
        <w:br/>
      </w:r>
      <w:r>
        <w:t xml:space="preserve">Oreophryne rookmaakeri Mertens, 1927</w:t>
      </w:r>
      <w:r>
        <w:br/>
      </w:r>
      <w:r>
        <w:t xml:space="preserve">Oreophryne riyantoi Putri, Trilaksono, Kurniati, Engilis, and Hamidy, 2023</w:t>
      </w:r>
      <w:r>
        <w:br/>
      </w:r>
      <w:r>
        <w:t xml:space="preserve">Oreophryne sibilans Günther, 2003</w:t>
      </w:r>
      <w:r>
        <w:br/>
      </w:r>
      <w:r>
        <w:t xml:space="preserve">Oreophryne streiffeleri Günther and Richards, 2012</w:t>
      </w:r>
      <w:r>
        <w:br/>
      </w:r>
      <w:r>
        <w:t xml:space="preserve">Oreophryne terrestris Zweifel, Cogger, and Richards, 2005</w:t>
      </w:r>
      <w:r>
        <w:br/>
      </w:r>
      <w:r>
        <w:t xml:space="preserve">Oreophryne unicolor Günther, 2003</w:t>
      </w:r>
      <w:r>
        <w:br/>
      </w:r>
      <w:r>
        <w:t xml:space="preserve">Oreophryne waira Günther, 2003</w:t>
      </w:r>
      <w:r>
        <w:br/>
      </w:r>
      <w:r>
        <w:t xml:space="preserve">Oreophryne wapoga Günther, Richards, and Iskandar, 2001</w:t>
      </w:r>
      <w:r>
        <w:br/>
      </w:r>
      <w:r>
        <w:t xml:space="preserve">Oreophryne wolterstorffi (Werner, 1901)</w:t>
      </w:r>
      <w:r>
        <w:br/>
      </w:r>
      <w:r>
        <w:t xml:space="preserve">Oreophryne zimmeri Ahl, 1933</w:t>
      </w:r>
    </w:p>
    <w:bookmarkEnd w:id="61"/>
    <w:bookmarkStart w:id="157" w:name="citations"/>
    <w:p>
      <w:pPr>
        <w:pStyle w:val="Heading1"/>
      </w:pPr>
      <w:r>
        <w:t xml:space="preserve">Citations</w:t>
      </w:r>
    </w:p>
    <w:bookmarkStart w:id="156" w:name="refs"/>
    <w:bookmarkStart w:id="62" w:name="ref-Ahl:1933"/>
    <w:p>
      <w:pPr>
        <w:pStyle w:val="Bibliography"/>
      </w:pPr>
      <w:r>
        <w:t xml:space="preserve">Ahl, E. 1933. Ergebnisse der celebes-und halmaheira-expedition heinrich 1930–32. Mitteilungen aus dem Zoologischen Museum in Berlin 19:577–583.</w:t>
      </w:r>
    </w:p>
    <w:bookmarkEnd w:id="62"/>
    <w:bookmarkStart w:id="64" w:name="ref-Alcala:1986"/>
    <w:p>
      <w:pPr>
        <w:pStyle w:val="Bibliography"/>
      </w:pPr>
      <w:r>
        <w:t xml:space="preserve">Alcala, A. C. 1986.</w:t>
      </w:r>
      <w:r>
        <w:t xml:space="preserve"> </w:t>
      </w:r>
      <w:hyperlink r:id="rId63">
        <w:r>
          <w:rPr>
            <w:rStyle w:val="Hyperlink"/>
          </w:rPr>
          <w:t xml:space="preserve">Guide to philippine flora and fauna: Amphibians and reptiles</w:t>
        </w:r>
      </w:hyperlink>
      <w:r>
        <w:t xml:space="preserve">. Natural Resources Management Center, Ministry of Natural Resources; University of the Philippines.</w:t>
      </w:r>
    </w:p>
    <w:bookmarkEnd w:id="64"/>
    <w:bookmarkStart w:id="66" w:name="ref-Balinton:2015"/>
    <w:p>
      <w:pPr>
        <w:pStyle w:val="Bibliography"/>
      </w:pPr>
      <w:r>
        <w:t xml:space="preserve">Balinton, R. B., and C. A. de la Seña. 2015.</w:t>
      </w:r>
      <w:r>
        <w:t xml:space="preserve"> </w:t>
      </w:r>
      <w:hyperlink r:id="rId65">
        <w:r>
          <w:rPr>
            <w:rStyle w:val="Hyperlink"/>
          </w:rPr>
          <w:t xml:space="preserve">Karyotype of a rare minute frog, oreophryne cf. Anulata (anura: Microhylidae), in agusan marsh, mindanao, philippines</w:t>
        </w:r>
      </w:hyperlink>
      <w:r>
        <w:t xml:space="preserve">. The Herpetological Bulletin.</w:t>
      </w:r>
    </w:p>
    <w:bookmarkEnd w:id="66"/>
    <w:bookmarkStart w:id="67"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7"/>
    <w:bookmarkStart w:id="69" w:name="ref-Boulenger:1896"/>
    <w:p>
      <w:pPr>
        <w:pStyle w:val="Bibliography"/>
      </w:pPr>
      <w:r>
        <w:t xml:space="preserve">Boulenger, G. A. 1896.</w:t>
      </w:r>
      <w:r>
        <w:t xml:space="preserve"> </w:t>
      </w:r>
      <w:hyperlink r:id="rId68">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69"/>
    <w:bookmarkStart w:id="71" w:name="ref-Brown:2015"/>
    <w:p>
      <w:pPr>
        <w:pStyle w:val="Bibliography"/>
      </w:pPr>
      <w:r>
        <w:t xml:space="preserve">Brown, R. M., C. D. Siler, S. J. Richards, A. C. Diesmos, and D. C. Cannatella. 2015.</w:t>
      </w:r>
      <w:r>
        <w:t xml:space="preserve"> </w:t>
      </w:r>
      <w:hyperlink r:id="rId70">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71"/>
    <w:bookmarkStart w:id="73" w:name="ref-deQueiroz:2020"/>
    <w:p>
      <w:pPr>
        <w:pStyle w:val="Bibliography"/>
      </w:pPr>
      <w:r>
        <w:t xml:space="preserve">de Queiroz, K., and P. Cantino. 2020.</w:t>
      </w:r>
      <w:r>
        <w:t xml:space="preserve"> </w:t>
      </w:r>
      <w:hyperlink r:id="rId72">
        <w:r>
          <w:rPr>
            <w:rStyle w:val="Hyperlink"/>
          </w:rPr>
          <w:t xml:space="preserve">International code of phylogenetic nomenclature (PhyloCode)</w:t>
        </w:r>
      </w:hyperlink>
      <w:r>
        <w:t xml:space="preserve">. 1st ed. CRC Press.</w:t>
      </w:r>
    </w:p>
    <w:bookmarkEnd w:id="73"/>
    <w:bookmarkStart w:id="75" w:name="ref-deQueiroz:1992"/>
    <w:p>
      <w:pPr>
        <w:pStyle w:val="Bibliography"/>
      </w:pPr>
      <w:r>
        <w:t xml:space="preserve">de Queiroz, K., and J. Gauthier. 1992.</w:t>
      </w:r>
      <w:r>
        <w:t xml:space="preserve"> </w:t>
      </w:r>
      <w:hyperlink r:id="rId74">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5"/>
    <w:bookmarkStart w:id="77" w:name="ref-deQueiroz:1990"/>
    <w:p>
      <w:pPr>
        <w:pStyle w:val="Bibliography"/>
      </w:pPr>
      <w:r>
        <w:t xml:space="preserve">de Queiroz, K., and J. Gauthier. 1990.</w:t>
      </w:r>
      <w:r>
        <w:t xml:space="preserve"> </w:t>
      </w:r>
      <w:hyperlink r:id="rId76">
        <w:r>
          <w:rPr>
            <w:rStyle w:val="Hyperlink"/>
          </w:rPr>
          <w:t xml:space="preserve">Phylogeny as a central principle in taxonomy - phylogenetic definitions of taxon names</w:t>
        </w:r>
      </w:hyperlink>
      <w:r>
        <w:t xml:space="preserve">. Systematic Zoology 39:307–322.</w:t>
      </w:r>
    </w:p>
    <w:bookmarkEnd w:id="77"/>
    <w:bookmarkStart w:id="79" w:name="ref-deQueiroz:1994"/>
    <w:p>
      <w:pPr>
        <w:pStyle w:val="Bibliography"/>
      </w:pPr>
      <w:r>
        <w:t xml:space="preserve">de Queiroz, K., and J. Gauthier. 1994.</w:t>
      </w:r>
      <w:r>
        <w:t xml:space="preserve"> </w:t>
      </w:r>
      <w:hyperlink r:id="rId78">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79"/>
    <w:bookmarkStart w:id="81" w:name="ref-deSa:2012"/>
    <w:p>
      <w:pPr>
        <w:pStyle w:val="Bibliography"/>
      </w:pPr>
      <w:r>
        <w:t xml:space="preserve">de Sa, R. O., J. W. Streicher, R. Sekonyela, M. C. Forlani, S. P. Loader, E. Greenbaum, S. Richards, and C. F. B. Haddad. 2012.</w:t>
      </w:r>
      <w:r>
        <w:t xml:space="preserve"> </w:t>
      </w:r>
      <w:hyperlink r:id="rId80">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81"/>
    <w:bookmarkStart w:id="83" w:name="ref-Edgar:2004"/>
    <w:p>
      <w:pPr>
        <w:pStyle w:val="Bibliography"/>
      </w:pPr>
      <w:r>
        <w:t xml:space="preserve">Edgar, R. C. 2004.</w:t>
      </w:r>
      <w:r>
        <w:t xml:space="preserve"> </w:t>
      </w:r>
      <w:hyperlink r:id="rId82">
        <w:r>
          <w:rPr>
            <w:rStyle w:val="Hyperlink"/>
          </w:rPr>
          <w:t xml:space="preserve">Muscle: A multiple sequence alignment method with reduced time and space complexity</w:t>
        </w:r>
      </w:hyperlink>
      <w:r>
        <w:t xml:space="preserve">. BMC Bioinformatics 5:113.</w:t>
      </w:r>
    </w:p>
    <w:bookmarkEnd w:id="83"/>
    <w:bookmarkStart w:id="85" w:name="ref-Engelkes:2020"/>
    <w:p>
      <w:pPr>
        <w:pStyle w:val="Bibliography"/>
      </w:pPr>
      <w:r>
        <w:t xml:space="preserve">Engelkes, K., L. Kath, T. Kleinteich, J. U. Hammel, A. Beerlink, and A. Haas. 2020.</w:t>
      </w:r>
      <w:r>
        <w:t xml:space="preserve"> </w:t>
      </w:r>
      <w:hyperlink r:id="rId84">
        <w:r>
          <w:rPr>
            <w:rStyle w:val="Hyperlink"/>
          </w:rPr>
          <w:t xml:space="preserve">Ecomorphology of the pectoral girdle in anurans (amphibia, anura): Shape diversity and biomechanical considerations</w:t>
        </w:r>
      </w:hyperlink>
      <w:r>
        <w:t xml:space="preserve">. ECOLOGY AND EVOLUTION 10:11467–11487.</w:t>
      </w:r>
    </w:p>
    <w:bookmarkEnd w:id="85"/>
    <w:bookmarkStart w:id="87" w:name="ref-Frost:2024"/>
    <w:p>
      <w:pPr>
        <w:pStyle w:val="Bibliography"/>
      </w:pPr>
      <w:r>
        <w:t xml:space="preserve">Frost, D. R. 2024.</w:t>
      </w:r>
      <w:r>
        <w:t xml:space="preserve"> </w:t>
      </w:r>
      <w:hyperlink r:id="rId86">
        <w:r>
          <w:rPr>
            <w:rStyle w:val="Hyperlink"/>
          </w:rPr>
          <w:t xml:space="preserve">Amphibian species of the world: An online reference. Version 6.2</w:t>
        </w:r>
      </w:hyperlink>
      <w:r>
        <w:t xml:space="preserve">.</w:t>
      </w:r>
    </w:p>
    <w:bookmarkEnd w:id="87"/>
    <w:bookmarkStart w:id="88" w:name="ref-Fry:1917"/>
    <w:p>
      <w:pPr>
        <w:pStyle w:val="Bibliography"/>
      </w:pPr>
      <w:r>
        <w:t xml:space="preserve">Fry, D. B. 1917. Description of aphantophryne, a new batrachian genus from new guinea; with comparative notes on the pectoral musculature. Proceedings of the Linnean Society of New South Wales 41:770–785.</w:t>
      </w:r>
    </w:p>
    <w:bookmarkEnd w:id="88"/>
    <w:bookmarkStart w:id="90" w:name="ref-Gillman:2020"/>
    <w:p>
      <w:pPr>
        <w:pStyle w:val="Bibliography"/>
      </w:pPr>
      <w:r>
        <w:t xml:space="preserve">Gillman, L. N., and S. D. Wright. 2020.</w:t>
      </w:r>
      <w:r>
        <w:t xml:space="preserve"> </w:t>
      </w:r>
      <w:hyperlink r:id="rId89">
        <w:r>
          <w:rPr>
            <w:rStyle w:val="Hyperlink"/>
          </w:rPr>
          <w:t xml:space="preserve">Restoring indigenous names in taxonomy</w:t>
        </w:r>
      </w:hyperlink>
      <w:r>
        <w:t xml:space="preserve">. Communications Biology 3:609.</w:t>
      </w:r>
    </w:p>
    <w:bookmarkEnd w:id="90"/>
    <w:bookmarkStart w:id="92" w:name="ref-Green:1986"/>
    <w:p>
      <w:pPr>
        <w:pStyle w:val="Bibliography"/>
      </w:pPr>
      <w:r>
        <w:t xml:space="preserve">Green, D., and M. Simon. 1986.</w:t>
      </w:r>
      <w:r>
        <w:t xml:space="preserve"> </w:t>
      </w:r>
      <w:hyperlink r:id="rId91">
        <w:r>
          <w:rPr>
            <w:rStyle w:val="Hyperlink"/>
          </w:rPr>
          <w:t xml:space="preserve">Digital microstructure in ecologically diverse sympatric microhylid frogs, genera cophixalus and sphenophryne (amphibia, anura), from papua-new-guinea</w:t>
        </w:r>
      </w:hyperlink>
      <w:r>
        <w:t xml:space="preserve">. Australian Journal of Zoology 34:135–145.</w:t>
      </w:r>
    </w:p>
    <w:bookmarkEnd w:id="92"/>
    <w:bookmarkStart w:id="94" w:name="ref-Gunther:2023"/>
    <w:p>
      <w:pPr>
        <w:pStyle w:val="Bibliography"/>
      </w:pPr>
      <w:r>
        <w:t xml:space="preserve">Günther, R., D. T. Iskandar, and S. J. Richards. 2023.</w:t>
      </w:r>
      <w:r>
        <w:t xml:space="preserve"> </w:t>
      </w:r>
      <w:hyperlink r:id="rId93">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94"/>
    <w:bookmarkStart w:id="95" w:name="ref-Gunther:2011"/>
    <w:p>
      <w:pPr>
        <w:pStyle w:val="Bibliography"/>
      </w:pPr>
      <w:r>
        <w:t xml:space="preserve">Günther, R., and S. J. Richards. 2011. Five new microhylid frog species from enga province, papua new guinea, and remarks on albericus alpestris (anura, microhylidae). VERTEBRATE ZOOLOGY 61:343–372.</w:t>
      </w:r>
    </w:p>
    <w:bookmarkEnd w:id="95"/>
    <w:bookmarkStart w:id="96" w:name="ref-Gunther:2001"/>
    <w:p>
      <w:pPr>
        <w:pStyle w:val="Bibliography"/>
      </w:pPr>
      <w:r>
        <w:t xml:space="preserve">Günther, R., S. Richards, and D. T. Iskandar. 2001. Two new species of the genus oreophryne from irian jaya, indonesia (amphibia, anura, microhylidae). Spixiana 24:257–274.</w:t>
      </w:r>
    </w:p>
    <w:bookmarkEnd w:id="96"/>
    <w:bookmarkStart w:id="98" w:name="ref-Hill:2022"/>
    <w:p>
      <w:pPr>
        <w:pStyle w:val="Bibliography"/>
      </w:pPr>
      <w:r>
        <w:t xml:space="preserve">Hill, E. C., C. J. Fraser, D. F. Gao, M. J. Jarman, E. R. Henry, B. Iova, A. Allison, and M. A. Butler. 2022.</w:t>
      </w:r>
      <w:r>
        <w:t xml:space="preserve"> </w:t>
      </w:r>
      <w:hyperlink r:id="rId97">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8"/>
    <w:bookmarkStart w:id="99"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99"/>
    <w:bookmarkStart w:id="101" w:name="ref-Hill:2023"/>
    <w:p>
      <w:pPr>
        <w:pStyle w:val="Bibliography"/>
      </w:pPr>
      <w:r>
        <w:t xml:space="preserve">Hill, E. C., M. J. Jarman, C. J. Fraser, D. F. Gao, E. R. Henry, A. R. Fisher, B. Iova, A. Allison, and M. A. Butler. 2023b.</w:t>
      </w:r>
      <w:r>
        <w:t xml:space="preserve"> </w:t>
      </w:r>
      <w:hyperlink r:id="rId100">
        <w:r>
          <w:rPr>
            <w:rStyle w:val="Hyperlink"/>
          </w:rPr>
          <w:t xml:space="preserve">Molecular and phylogenetic datasets for the asterophryinae frogs of new guinea with additional data on lifestyle, geography, and elevation</w:t>
        </w:r>
      </w:hyperlink>
      <w:r>
        <w:t xml:space="preserve">. Data in Brief 47:108987.</w:t>
      </w:r>
    </w:p>
    <w:bookmarkEnd w:id="101"/>
    <w:bookmarkStart w:id="103" w:name="ref-VanKampen:1923"/>
    <w:p>
      <w:pPr>
        <w:pStyle w:val="Bibliography"/>
      </w:pPr>
      <w:r>
        <w:t xml:space="preserve">Kampen, P. N. van. 1923.</w:t>
      </w:r>
      <w:r>
        <w:t xml:space="preserve"> </w:t>
      </w:r>
      <w:hyperlink r:id="rId102">
        <w:r>
          <w:rPr>
            <w:rStyle w:val="Hyperlink"/>
          </w:rPr>
          <w:t xml:space="preserve">The amphibia of the indo-australian archipelago</w:t>
        </w:r>
      </w:hyperlink>
      <w:r>
        <w:t xml:space="preserve">. E. J. Brill, ltd, Leiden.</w:t>
      </w:r>
    </w:p>
    <w:bookmarkEnd w:id="103"/>
    <w:bookmarkStart w:id="105" w:name="ref-Koehler:2008"/>
    <w:p>
      <w:pPr>
        <w:pStyle w:val="Bibliography"/>
      </w:pPr>
      <w:r>
        <w:t xml:space="preserve">Köhler, F., and R. Günther. 2008.</w:t>
      </w:r>
      <w:r>
        <w:t xml:space="preserve"> </w:t>
      </w:r>
      <w:hyperlink r:id="rId104">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105"/>
    <w:bookmarkStart w:id="107" w:name="ref-Kraus:2016"/>
    <w:p>
      <w:pPr>
        <w:pStyle w:val="Bibliography"/>
      </w:pPr>
      <w:r>
        <w:t xml:space="preserve">Kraus, F. 2016.</w:t>
      </w:r>
      <w:r>
        <w:t xml:space="preserve"> </w:t>
      </w:r>
      <w:hyperlink r:id="rId106">
        <w:r>
          <w:rPr>
            <w:rStyle w:val="Hyperlink"/>
          </w:rPr>
          <w:t xml:space="preserve">Ten new species of oreophryne (anura, microhylidae) from papua new guinea</w:t>
        </w:r>
      </w:hyperlink>
      <w:r>
        <w:t xml:space="preserve">. Zootaxa 4195:1–68. Magnolia Press.</w:t>
      </w:r>
    </w:p>
    <w:bookmarkEnd w:id="107"/>
    <w:bookmarkStart w:id="109" w:name="ref-Kraus:2013"/>
    <w:p>
      <w:pPr>
        <w:pStyle w:val="Bibliography"/>
      </w:pPr>
      <w:r>
        <w:t xml:space="preserve">Kraus, F. 2013.</w:t>
      </w:r>
      <w:r>
        <w:t xml:space="preserve"> </w:t>
      </w:r>
      <w:hyperlink r:id="rId108">
        <w:r>
          <w:rPr>
            <w:rStyle w:val="Hyperlink"/>
          </w:rPr>
          <w:t xml:space="preserve">Three new species of &lt;i&gt;oreophryne&lt;/i&gt; (anura, microhylidae) from papua new guinea</w:t>
        </w:r>
      </w:hyperlink>
      <w:r>
        <w:t xml:space="preserve">. ZOOKEYS 93–121.</w:t>
      </w:r>
    </w:p>
    <w:bookmarkEnd w:id="109"/>
    <w:bookmarkStart w:id="111" w:name="ref-Kraus:2009"/>
    <w:p>
      <w:pPr>
        <w:pStyle w:val="Bibliography"/>
      </w:pPr>
      <w:r>
        <w:t xml:space="preserve">Kraus, F., and A. Allison. 2009.</w:t>
      </w:r>
      <w:r>
        <w:t xml:space="preserve"> </w:t>
      </w:r>
      <w:hyperlink r:id="rId110">
        <w:r>
          <w:rPr>
            <w:rStyle w:val="Hyperlink"/>
          </w:rPr>
          <w:t xml:space="preserve">New microhylid frogs from the muller range, papua new guinea</w:t>
        </w:r>
      </w:hyperlink>
      <w:r>
        <w:t xml:space="preserve">. ZooKeys 26:53–76.</w:t>
      </w:r>
    </w:p>
    <w:bookmarkEnd w:id="111"/>
    <w:bookmarkStart w:id="112"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12"/>
    <w:bookmarkStart w:id="114" w:name="ref-Lanfear:2012"/>
    <w:p>
      <w:pPr>
        <w:pStyle w:val="Bibliography"/>
      </w:pPr>
      <w:r>
        <w:t xml:space="preserve">Lanfear, R., B. Calcott, S. Y. W. Ho, and S. Guindon. 2012.</w:t>
      </w:r>
      <w:r>
        <w:t xml:space="preserve"> </w:t>
      </w:r>
      <w:hyperlink r:id="rId113">
        <w:r>
          <w:rPr>
            <w:rStyle w:val="Hyperlink"/>
          </w:rPr>
          <w:t xml:space="preserve">PartitionFinder: Combined Selection of Partitioning Schemes and Substitution Models for Phylogenetic Analyses</w:t>
        </w:r>
      </w:hyperlink>
      <w:r>
        <w:t xml:space="preserve">. Molecular Biology and Evolution 29:1695–1701.</w:t>
      </w:r>
    </w:p>
    <w:bookmarkEnd w:id="114"/>
    <w:bookmarkStart w:id="116" w:name="ref-Maddison:2023"/>
    <w:p>
      <w:pPr>
        <w:pStyle w:val="Bibliography"/>
      </w:pPr>
      <w:r>
        <w:t xml:space="preserve">Maddison, W. P., and D. R. Maddison. 2023.</w:t>
      </w:r>
      <w:r>
        <w:t xml:space="preserve"> </w:t>
      </w:r>
      <w:hyperlink r:id="rId115">
        <w:r>
          <w:rPr>
            <w:rStyle w:val="Hyperlink"/>
          </w:rPr>
          <w:t xml:space="preserve">Mesquite: A modular system for evolutionary analysis</w:t>
        </w:r>
      </w:hyperlink>
      <w:r>
        <w:t xml:space="preserve">.</w:t>
      </w:r>
    </w:p>
    <w:bookmarkEnd w:id="116"/>
    <w:bookmarkStart w:id="117"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17"/>
    <w:bookmarkStart w:id="118" w:name="ref-Menzies:2006"/>
    <w:p>
      <w:pPr>
        <w:pStyle w:val="Bibliography"/>
      </w:pPr>
      <w:r>
        <w:t xml:space="preserve">Menzies, J. 2006. The frogs of new guinea and the solomon islands. Pensoft Publishers.</w:t>
      </w:r>
    </w:p>
    <w:bookmarkEnd w:id="118"/>
    <w:bookmarkStart w:id="120" w:name="ref-Minh:2020"/>
    <w:p>
      <w:pPr>
        <w:pStyle w:val="Bibliography"/>
      </w:pPr>
      <w:r>
        <w:t xml:space="preserve">Minh, B. Q., H. A. Schmidt, O. Chernomor, D. Schrempf, M. D. Woodhams, A. von Haeseler, and R. Lanfear. 2020.</w:t>
      </w:r>
      <w:r>
        <w:t xml:space="preserve"> </w:t>
      </w:r>
      <w:hyperlink r:id="rId119">
        <w:r>
          <w:rPr>
            <w:rStyle w:val="Hyperlink"/>
          </w:rPr>
          <w:t xml:space="preserve">IQ-TREE 2: New models and efficient methods for phylogenetic inference in the genomic era</w:t>
        </w:r>
      </w:hyperlink>
      <w:r>
        <w:t xml:space="preserve">. Molecular Biology and Evolution 37:1530–1534.</w:t>
      </w:r>
    </w:p>
    <w:bookmarkEnd w:id="120"/>
    <w:bookmarkStart w:id="121" w:name="ref-Muller:1894"/>
    <w:p>
      <w:pPr>
        <w:pStyle w:val="Bibliography"/>
      </w:pPr>
      <w:r>
        <w:t xml:space="preserve">Müller, F. 1894. Reptilien und amphibien aus celebes. Verhandlungen der Naturforschenden Gesellschaft in Basel 10:825–843.</w:t>
      </w:r>
    </w:p>
    <w:bookmarkEnd w:id="121"/>
    <w:bookmarkStart w:id="122" w:name="ref-Parker:1934"/>
    <w:p>
      <w:pPr>
        <w:pStyle w:val="Bibliography"/>
      </w:pPr>
      <w:r>
        <w:t xml:space="preserve">Parker, H. W. 1934. A monograph of the frogs of the family microhylidae. London: Trustees of the British Museum.</w:t>
      </w:r>
    </w:p>
    <w:bookmarkEnd w:id="122"/>
    <w:bookmarkStart w:id="123"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23"/>
    <w:bookmarkStart w:id="125" w:name="ref-Putri:2023"/>
    <w:p>
      <w:pPr>
        <w:pStyle w:val="Bibliography"/>
      </w:pPr>
      <w:r>
        <w:t xml:space="preserve">Putri, A., W. TRILAKSONO, H. KURNIATI, A. Hitch, A. Jr, K. Widayati, A. Farajallah, and A. Hamidy. 2023.</w:t>
      </w:r>
      <w:r>
        <w:t xml:space="preserve"> </w:t>
      </w:r>
      <w:hyperlink r:id="rId124">
        <w:r>
          <w:rPr>
            <w:rStyle w:val="Hyperlink"/>
          </w:rPr>
          <w:t xml:space="preserve">A new high elevation species of oreophryne boettger (anura: Microhylidae) from sulawesi, indonesia</w:t>
        </w:r>
      </w:hyperlink>
      <w:r>
        <w:t xml:space="preserve">. Zootaxa 5353:455–467.</w:t>
      </w:r>
    </w:p>
    <w:bookmarkEnd w:id="125"/>
    <w:bookmarkStart w:id="127" w:name="ref-R:2024"/>
    <w:p>
      <w:pPr>
        <w:pStyle w:val="Bibliography"/>
      </w:pPr>
      <w:r>
        <w:t xml:space="preserve">R Core Team. 2024.</w:t>
      </w:r>
      <w:r>
        <w:t xml:space="preserve"> </w:t>
      </w:r>
      <w:hyperlink r:id="rId126">
        <w:r>
          <w:rPr>
            <w:rStyle w:val="Hyperlink"/>
          </w:rPr>
          <w:t xml:space="preserve">R: A language and environment for statistical computing</w:t>
        </w:r>
      </w:hyperlink>
      <w:r>
        <w:t xml:space="preserve">. R Foundation for Statistical Computing, Vienna, Austria.</w:t>
      </w:r>
    </w:p>
    <w:bookmarkEnd w:id="127"/>
    <w:bookmarkStart w:id="129" w:name="ref-Revell:2012"/>
    <w:p>
      <w:pPr>
        <w:pStyle w:val="Bibliography"/>
      </w:pPr>
      <w:r>
        <w:t xml:space="preserve">Revell, L. J. 2012.</w:t>
      </w:r>
      <w:r>
        <w:t xml:space="preserve"> </w:t>
      </w:r>
      <w:hyperlink r:id="rId128">
        <w:r>
          <w:rPr>
            <w:rStyle w:val="Hyperlink"/>
          </w:rPr>
          <w:t xml:space="preserve">Phytools: An r package for phylogenetic comparative biology (and other things)</w:t>
        </w:r>
      </w:hyperlink>
      <w:r>
        <w:t xml:space="preserve">. Methods in Ecology and Evolution 3:217–223.</w:t>
      </w:r>
    </w:p>
    <w:bookmarkEnd w:id="129"/>
    <w:bookmarkStart w:id="131" w:name="ref-Rivera:2017"/>
    <w:p>
      <w:pPr>
        <w:pStyle w:val="Bibliography"/>
      </w:pPr>
      <w:r>
        <w:t xml:space="preserve">Rivera, J. A., F. Kraus, A. Allison, and M. A. Butler. 2017.</w:t>
      </w:r>
      <w:r>
        <w:t xml:space="preserve"> </w:t>
      </w:r>
      <w:hyperlink r:id="rId130">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31"/>
    <w:bookmarkStart w:id="133" w:name="ref-Setiadi:2010"/>
    <w:p>
      <w:pPr>
        <w:pStyle w:val="Bibliography"/>
      </w:pPr>
      <w:r>
        <w:t xml:space="preserve">Setiadi, M. I., A. Hamidy, Z. Abidin, D. Susanto, R. M. Brown, A. T. Peterson, X. Li, and B. J. Evans. 2010.</w:t>
      </w:r>
      <w:r>
        <w:t xml:space="preserve"> </w:t>
      </w:r>
      <w:hyperlink r:id="rId132">
        <w:r>
          <w:rPr>
            <w:rStyle w:val="Hyperlink"/>
          </w:rPr>
          <w:t xml:space="preserve">Genetic structure of herpetofauna on halmahera island, indonesia: Implications for aketajawe-lolobata national park</w:t>
        </w:r>
      </w:hyperlink>
      <w:r>
        <w:t xml:space="preserve">. Conservation Biology 24:553–562.</w:t>
      </w:r>
    </w:p>
    <w:bookmarkEnd w:id="133"/>
    <w:bookmarkStart w:id="135" w:name="ref-Soliz:2025"/>
    <w:p>
      <w:pPr>
        <w:pStyle w:val="Bibliography"/>
      </w:pPr>
      <w:r>
        <w:t xml:space="preserve">Soliz, M. C., V. Abdala, and M. J. Tulli. 2025.</w:t>
      </w:r>
      <w:r>
        <w:t xml:space="preserve"> </w:t>
      </w:r>
      <w:hyperlink r:id="rId134">
        <w:r>
          <w:rPr>
            <w:rStyle w:val="Hyperlink"/>
          </w:rPr>
          <w:t xml:space="preserve">The ecological drivers of variation in pectoral girdle anatomy in frogs</w:t>
        </w:r>
      </w:hyperlink>
      <w:r>
        <w:t xml:space="preserve">. Acta Zoologica 106:38–54.</w:t>
      </w:r>
    </w:p>
    <w:bookmarkEnd w:id="135"/>
    <w:bookmarkStart w:id="137" w:name="ref-Tu:2018"/>
    <w:p>
      <w:pPr>
        <w:pStyle w:val="Bibliography"/>
      </w:pPr>
      <w:r>
        <w:t xml:space="preserve">Tu, N., M. Yang, D. Liang, and P. Zhang. 2018.</w:t>
      </w:r>
      <w:r>
        <w:t xml:space="preserve"> </w:t>
      </w:r>
      <w:hyperlink r:id="rId136">
        <w:r>
          <w:rPr>
            <w:rStyle w:val="Hyperlink"/>
          </w:rPr>
          <w:t xml:space="preserve">A large-scale phylogeny of microhylidae inferred from a combined dataset of 121 genes and 427 taxa</w:t>
        </w:r>
      </w:hyperlink>
      <w:r>
        <w:t xml:space="preserve">. Mol Phylogenet Evol 126:85–91.</w:t>
      </w:r>
    </w:p>
    <w:bookmarkEnd w:id="137"/>
    <w:bookmarkStart w:id="139" w:name="ref-Werner:1898"/>
    <w:p>
      <w:pPr>
        <w:pStyle w:val="Bibliography"/>
      </w:pPr>
      <w:r>
        <w:t xml:space="preserve">Werner, Franz. 1898.</w:t>
      </w:r>
      <w:r>
        <w:t xml:space="preserve"> </w:t>
      </w:r>
      <w:hyperlink r:id="rId138">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39"/>
    <w:bookmarkStart w:id="141" w:name="ref-Wickham:2016"/>
    <w:p>
      <w:pPr>
        <w:pStyle w:val="Bibliography"/>
      </w:pPr>
      <w:r>
        <w:t xml:space="preserve">Wickham, H. 2016.</w:t>
      </w:r>
      <w:r>
        <w:t xml:space="preserve"> </w:t>
      </w:r>
      <w:hyperlink r:id="rId140">
        <w:r>
          <w:rPr>
            <w:rStyle w:val="Hyperlink"/>
          </w:rPr>
          <w:t xml:space="preserve">ggplot2: Elegant graphics for data analysis</w:t>
        </w:r>
      </w:hyperlink>
      <w:r>
        <w:t xml:space="preserve">. Springer-Verlag New York.</w:t>
      </w:r>
    </w:p>
    <w:bookmarkEnd w:id="141"/>
    <w:bookmarkStart w:id="143" w:name="ref-Ye:2012"/>
    <w:p>
      <w:pPr>
        <w:pStyle w:val="Bibliography"/>
      </w:pPr>
      <w:r>
        <w:t xml:space="preserve">Ye, J., G. Coulouris, I. Zaretskaya, I. Cutcutache, S. Rozen, and T. L. Madden. 2012.</w:t>
      </w:r>
      <w:r>
        <w:t xml:space="preserve"> </w:t>
      </w:r>
      <w:hyperlink r:id="rId142">
        <w:r>
          <w:rPr>
            <w:rStyle w:val="Hyperlink"/>
          </w:rPr>
          <w:t xml:space="preserve">Primer-BLAST: A tool to design target-specific primers for polymerase chain reaction</w:t>
        </w:r>
      </w:hyperlink>
      <w:r>
        <w:t xml:space="preserve">. BMC Bioinformatics 13:134.</w:t>
      </w:r>
    </w:p>
    <w:bookmarkEnd w:id="143"/>
    <w:bookmarkStart w:id="145" w:name="ref-Yu:2020"/>
    <w:p>
      <w:pPr>
        <w:pStyle w:val="Bibliography"/>
      </w:pPr>
      <w:r>
        <w:t xml:space="preserve">Yu, G. 2020.</w:t>
      </w:r>
      <w:r>
        <w:t xml:space="preserve"> </w:t>
      </w:r>
      <w:hyperlink r:id="rId144">
        <w:r>
          <w:rPr>
            <w:rStyle w:val="Hyperlink"/>
          </w:rPr>
          <w:t xml:space="preserve">Using ggtree to visualize data on tree-like structures</w:t>
        </w:r>
      </w:hyperlink>
      <w:r>
        <w:t xml:space="preserve">. Current Protocols in Bioinformatics 69:e96.</w:t>
      </w:r>
    </w:p>
    <w:bookmarkEnd w:id="145"/>
    <w:bookmarkStart w:id="147" w:name="ref-Yu:2017"/>
    <w:p>
      <w:pPr>
        <w:pStyle w:val="Bibliography"/>
      </w:pPr>
      <w:r>
        <w:t xml:space="preserve">Yu, G., D. Smith, H. Zhu, Y. Guan, and T. T.-Y. Lam. 2017.</w:t>
      </w:r>
      <w:r>
        <w:t xml:space="preserve"> </w:t>
      </w:r>
      <w:hyperlink r:id="rId146">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47"/>
    <w:bookmarkStart w:id="149"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48">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49"/>
    <w:bookmarkStart w:id="150" w:name="ref-Zweifel:2003"/>
    <w:p>
      <w:pPr>
        <w:pStyle w:val="Bibliography"/>
      </w:pPr>
      <w:r>
        <w:t xml:space="preserve">Zweifel, R. G. 2003. A new species of microhylid frog, genus oreophryne, from papua new guinea. American Museum Novitates 1–8.</w:t>
      </w:r>
    </w:p>
    <w:bookmarkEnd w:id="150"/>
    <w:bookmarkStart w:id="151" w:name="ref-Zweifel:1956"/>
    <w:p>
      <w:pPr>
        <w:pStyle w:val="Bibliography"/>
      </w:pPr>
      <w:r>
        <w:t xml:space="preserve">Zweifel, R. G. 1956. Microhylid frogs from new guinea, with descriptions of new species. American Museum Novitates 1–49.</w:t>
      </w:r>
    </w:p>
    <w:bookmarkEnd w:id="151"/>
    <w:bookmarkStart w:id="153" w:name="ref-Zweifel:2005"/>
    <w:p>
      <w:pPr>
        <w:pStyle w:val="Bibliography"/>
      </w:pPr>
      <w:r>
        <w:t xml:space="preserve">Zweifel, R. G., H. Cogger, and S. Richards. 2009.</w:t>
      </w:r>
      <w:r>
        <w:t xml:space="preserve"> </w:t>
      </w:r>
      <w:hyperlink r:id="rId152">
        <w:r>
          <w:rPr>
            <w:rStyle w:val="Hyperlink"/>
          </w:rPr>
          <w:t xml:space="preserve">Systematics of microhylid frogs, genus oreophryne, living at high elevations in new guinea</w:t>
        </w:r>
      </w:hyperlink>
      <w:r>
        <w:t xml:space="preserve">. American Museum Novitates 3495:1–25.</w:t>
      </w:r>
    </w:p>
    <w:bookmarkEnd w:id="153"/>
    <w:bookmarkStart w:id="155" w:name="ref-Zweifel:2003a"/>
    <w:p>
      <w:pPr>
        <w:pStyle w:val="Bibliography"/>
      </w:pPr>
      <w:r>
        <w:t xml:space="preserve">Zweifel, R., J. Menzies, and D. Price. 2003.</w:t>
      </w:r>
      <w:r>
        <w:t xml:space="preserve"> </w:t>
      </w:r>
      <w:hyperlink r:id="rId154">
        <w:r>
          <w:rPr>
            <w:rStyle w:val="Hyperlink"/>
          </w:rPr>
          <w:t xml:space="preserve">Systematics of microhylid frogs, genus oreophryne, from the north coast region of new guinea</w:t>
        </w:r>
      </w:hyperlink>
      <w:r>
        <w:t xml:space="preserve">. AMERICAN MUSEUM NOVITATES 1–31.</w:t>
      </w:r>
    </w:p>
    <w:bookmarkEnd w:id="155"/>
    <w:bookmarkEnd w:id="156"/>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hyperlink" Id="rId115" Target="http://www.mesquiteproject.org" TargetMode="External" /><Relationship Type="http://schemas.openxmlformats.org/officeDocument/2006/relationships/hyperlink" Id="rId65" Target="https://api.semanticscholar.org/CorpusID:202544117" TargetMode="External" /><Relationship Type="http://schemas.openxmlformats.org/officeDocument/2006/relationships/hyperlink" Id="rId63"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4" Target="https://doi.org/10.1002/cpbi.96" TargetMode="External" /><Relationship Type="http://schemas.openxmlformats.org/officeDocument/2006/relationships/hyperlink" Id="rId84" Target="https://doi.org/10.1002/ece3.6784" TargetMode="External" /><Relationship Type="http://schemas.openxmlformats.org/officeDocument/2006/relationships/hyperlink" Id="rId78" Target="https://doi.org/10.1016/0169-5347(94)90231-3" TargetMode="External" /><Relationship Type="http://schemas.openxmlformats.org/officeDocument/2006/relationships/hyperlink" Id="rId100" Target="https://doi.org/10.1016/j.dib.2023.108987" TargetMode="External" /><Relationship Type="http://schemas.openxmlformats.org/officeDocument/2006/relationships/hyperlink" Id="rId130" Target="https://doi.org/10.1016/j.ympev.2017.04.008" TargetMode="External" /><Relationship Type="http://schemas.openxmlformats.org/officeDocument/2006/relationships/hyperlink" Id="rId136" Target="https://doi.org/10.1016/j.ympev.2018.03.036" TargetMode="External" /><Relationship Type="http://schemas.openxmlformats.org/officeDocument/2006/relationships/hyperlink" Id="rId97" Target="https://doi.org/10.1016/j.ympev.2022.107618" TargetMode="External" /><Relationship Type="http://schemas.openxmlformats.org/officeDocument/2006/relationships/hyperlink" Id="rId89" Target="https://doi.org/10.1038/s42003-020-01344-y" TargetMode="External" /><Relationship Type="http://schemas.openxmlformats.org/officeDocument/2006/relationships/hyperlink" Id="rId91" Target="https://doi.org/10.1071/ZO9860135" TargetMode="External" /><Relationship Type="http://schemas.openxmlformats.org/officeDocument/2006/relationships/hyperlink" Id="rId119" Target="https://doi.org/10.1093/molbev/msaa015" TargetMode="External" /><Relationship Type="http://schemas.openxmlformats.org/officeDocument/2006/relationships/hyperlink" Id="rId113" Target="https://doi.org/10.1093/molbev/mss020" TargetMode="External" /><Relationship Type="http://schemas.openxmlformats.org/officeDocument/2006/relationships/hyperlink" Id="rId146" Target="https://doi.org/10.1111/2041-210X.12628" TargetMode="External" /><Relationship Type="http://schemas.openxmlformats.org/officeDocument/2006/relationships/hyperlink" Id="rId134" Target="https://doi.org/10.1111/azo.12494" TargetMode="External" /><Relationship Type="http://schemas.openxmlformats.org/officeDocument/2006/relationships/hyperlink" Id="rId132" Target="https://doi.org/10.1111/j.1523-1739.2009.01384.x" TargetMode="External" /><Relationship Type="http://schemas.openxmlformats.org/officeDocument/2006/relationships/hyperlink" Id="rId128"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4" Target="https://doi.org/10.1146/annurev.ecolsys.23.1.449" TargetMode="External" /><Relationship Type="http://schemas.openxmlformats.org/officeDocument/2006/relationships/hyperlink" Id="rId106" Target="https://doi.org/10.11646/zootaxa.4195.1.1" TargetMode="External" /><Relationship Type="http://schemas.openxmlformats.org/officeDocument/2006/relationships/hyperlink" Id="rId124" Target="https://doi.org/10.11646/zootaxa.5353.5.4" TargetMode="External" /><Relationship Type="http://schemas.openxmlformats.org/officeDocument/2006/relationships/hyperlink" Id="rId142" Target="https://doi.org/10.1186/1471-2105-13-134" TargetMode="External" /><Relationship Type="http://schemas.openxmlformats.org/officeDocument/2006/relationships/hyperlink" Id="rId82" Target="https://doi.org/10.1186/1471-2105-5-113" TargetMode="External" /><Relationship Type="http://schemas.openxmlformats.org/officeDocument/2006/relationships/hyperlink" Id="rId72" Target="https://doi.org/10.1201/9780429446320" TargetMode="External" /><Relationship Type="http://schemas.openxmlformats.org/officeDocument/2006/relationships/hyperlink" Id="rId154" Target="https://doi.org/10.1206/0003-0082(2003)415&lt;0001:SOMFGO&gt;2.0.CO;2" TargetMode="External" /><Relationship Type="http://schemas.openxmlformats.org/officeDocument/2006/relationships/hyperlink" Id="rId152" Target="https://doi.org/10.1206/0003-0082(2005)495[0001:SOMFGO]2.0.CO;2" TargetMode="External" /><Relationship Type="http://schemas.openxmlformats.org/officeDocument/2006/relationships/hyperlink" Id="rId76" Target="https://doi.org/10.2307/2992353" TargetMode="External" /><Relationship Type="http://schemas.openxmlformats.org/officeDocument/2006/relationships/hyperlink" Id="rId93" Target="https://doi.org/10.3897/vz.73.e94207" TargetMode="External" /><Relationship Type="http://schemas.openxmlformats.org/officeDocument/2006/relationships/hyperlink" Id="rId110" Target="https://doi.org/10.3897/zookeys.26.258" TargetMode="External" /><Relationship Type="http://schemas.openxmlformats.org/officeDocument/2006/relationships/hyperlink" Id="rId108" Target="https://doi.org/10.3897/zookeys.330.5795" TargetMode="External" /><Relationship Type="http://schemas.openxmlformats.org/officeDocument/2006/relationships/hyperlink" Id="rId104" Target="https://doi.org/DOI 10.1016/j.ympev.2007.11.032" TargetMode="External" /><Relationship Type="http://schemas.openxmlformats.org/officeDocument/2006/relationships/hyperlink" Id="rId86" Target="https://doi.org/doi.org/10.5531/db.vz.0001" TargetMode="External" /><Relationship Type="http://schemas.openxmlformats.org/officeDocument/2006/relationships/hyperlink" Id="rId80" Target="https://doi.org/{10.1186/1471-2148-12-241}" TargetMode="External" /><Relationship Type="http://schemas.openxmlformats.org/officeDocument/2006/relationships/hyperlink" Id="rId140" Target="https://ggplot2.tidyverse.org" TargetMode="External" /><Relationship Type="http://schemas.openxmlformats.org/officeDocument/2006/relationships/hyperlink" Id="rId126" Target="https://www.R-project.org/" TargetMode="External" /><Relationship Type="http://schemas.openxmlformats.org/officeDocument/2006/relationships/hyperlink" Id="rId148"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2" Target="https://www.biodiversitylibrary.org/part/118043" TargetMode="External" /><Relationship Type="http://schemas.openxmlformats.org/officeDocument/2006/relationships/hyperlink" Id="rId138" Target="https://www.biodiversitylibrary.org/part/28256" TargetMode="External" /><Relationship Type="http://schemas.openxmlformats.org/officeDocument/2006/relationships/hyperlink" Id="rId22" Target="oreo-taxa-cut.qmd#sec-cut1" TargetMode="External" /><Relationship Type="http://schemas.openxmlformats.org/officeDocument/2006/relationships/hyperlink" Id="rId23" Target="oreo-taxa-cut.qmd#sec-cut2" TargetMode="External" /></Relationships>
</file>

<file path=word/_rels/footnotes.xml.rels><?xml version="1.0" encoding="UTF-8"?><Relationships xmlns="http://schemas.openxmlformats.org/package/2006/relationships"><Relationship Type="http://schemas.openxmlformats.org/officeDocument/2006/relationships/hyperlink" Id="rId115" Target="http://www.mesquiteproject.org" TargetMode="External" /><Relationship Type="http://schemas.openxmlformats.org/officeDocument/2006/relationships/hyperlink" Id="rId65" Target="https://api.semanticscholar.org/CorpusID:202544117" TargetMode="External" /><Relationship Type="http://schemas.openxmlformats.org/officeDocument/2006/relationships/hyperlink" Id="rId63"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4" Target="https://doi.org/10.1002/cpbi.96" TargetMode="External" /><Relationship Type="http://schemas.openxmlformats.org/officeDocument/2006/relationships/hyperlink" Id="rId84" Target="https://doi.org/10.1002/ece3.6784" TargetMode="External" /><Relationship Type="http://schemas.openxmlformats.org/officeDocument/2006/relationships/hyperlink" Id="rId78" Target="https://doi.org/10.1016/0169-5347(94)90231-3" TargetMode="External" /><Relationship Type="http://schemas.openxmlformats.org/officeDocument/2006/relationships/hyperlink" Id="rId100" Target="https://doi.org/10.1016/j.dib.2023.108987" TargetMode="External" /><Relationship Type="http://schemas.openxmlformats.org/officeDocument/2006/relationships/hyperlink" Id="rId130" Target="https://doi.org/10.1016/j.ympev.2017.04.008" TargetMode="External" /><Relationship Type="http://schemas.openxmlformats.org/officeDocument/2006/relationships/hyperlink" Id="rId136" Target="https://doi.org/10.1016/j.ympev.2018.03.036" TargetMode="External" /><Relationship Type="http://schemas.openxmlformats.org/officeDocument/2006/relationships/hyperlink" Id="rId97" Target="https://doi.org/10.1016/j.ympev.2022.107618" TargetMode="External" /><Relationship Type="http://schemas.openxmlformats.org/officeDocument/2006/relationships/hyperlink" Id="rId89" Target="https://doi.org/10.1038/s42003-020-01344-y" TargetMode="External" /><Relationship Type="http://schemas.openxmlformats.org/officeDocument/2006/relationships/hyperlink" Id="rId91" Target="https://doi.org/10.1071/ZO9860135" TargetMode="External" /><Relationship Type="http://schemas.openxmlformats.org/officeDocument/2006/relationships/hyperlink" Id="rId119" Target="https://doi.org/10.1093/molbev/msaa015" TargetMode="External" /><Relationship Type="http://schemas.openxmlformats.org/officeDocument/2006/relationships/hyperlink" Id="rId113" Target="https://doi.org/10.1093/molbev/mss020" TargetMode="External" /><Relationship Type="http://schemas.openxmlformats.org/officeDocument/2006/relationships/hyperlink" Id="rId146" Target="https://doi.org/10.1111/2041-210X.12628" TargetMode="External" /><Relationship Type="http://schemas.openxmlformats.org/officeDocument/2006/relationships/hyperlink" Id="rId134" Target="https://doi.org/10.1111/azo.12494" TargetMode="External" /><Relationship Type="http://schemas.openxmlformats.org/officeDocument/2006/relationships/hyperlink" Id="rId132" Target="https://doi.org/10.1111/j.1523-1739.2009.01384.x" TargetMode="External" /><Relationship Type="http://schemas.openxmlformats.org/officeDocument/2006/relationships/hyperlink" Id="rId128"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4" Target="https://doi.org/10.1146/annurev.ecolsys.23.1.449" TargetMode="External" /><Relationship Type="http://schemas.openxmlformats.org/officeDocument/2006/relationships/hyperlink" Id="rId106" Target="https://doi.org/10.11646/zootaxa.4195.1.1" TargetMode="External" /><Relationship Type="http://schemas.openxmlformats.org/officeDocument/2006/relationships/hyperlink" Id="rId124" Target="https://doi.org/10.11646/zootaxa.5353.5.4" TargetMode="External" /><Relationship Type="http://schemas.openxmlformats.org/officeDocument/2006/relationships/hyperlink" Id="rId142" Target="https://doi.org/10.1186/1471-2105-13-134" TargetMode="External" /><Relationship Type="http://schemas.openxmlformats.org/officeDocument/2006/relationships/hyperlink" Id="rId82" Target="https://doi.org/10.1186/1471-2105-5-113" TargetMode="External" /><Relationship Type="http://schemas.openxmlformats.org/officeDocument/2006/relationships/hyperlink" Id="rId72" Target="https://doi.org/10.1201/9780429446320" TargetMode="External" /><Relationship Type="http://schemas.openxmlformats.org/officeDocument/2006/relationships/hyperlink" Id="rId154" Target="https://doi.org/10.1206/0003-0082(2003)415&lt;0001:SOMFGO&gt;2.0.CO;2" TargetMode="External" /><Relationship Type="http://schemas.openxmlformats.org/officeDocument/2006/relationships/hyperlink" Id="rId152" Target="https://doi.org/10.1206/0003-0082(2005)495[0001:SOMFGO]2.0.CO;2" TargetMode="External" /><Relationship Type="http://schemas.openxmlformats.org/officeDocument/2006/relationships/hyperlink" Id="rId76" Target="https://doi.org/10.2307/2992353" TargetMode="External" /><Relationship Type="http://schemas.openxmlformats.org/officeDocument/2006/relationships/hyperlink" Id="rId93" Target="https://doi.org/10.3897/vz.73.e94207" TargetMode="External" /><Relationship Type="http://schemas.openxmlformats.org/officeDocument/2006/relationships/hyperlink" Id="rId110" Target="https://doi.org/10.3897/zookeys.26.258" TargetMode="External" /><Relationship Type="http://schemas.openxmlformats.org/officeDocument/2006/relationships/hyperlink" Id="rId108" Target="https://doi.org/10.3897/zookeys.330.5795" TargetMode="External" /><Relationship Type="http://schemas.openxmlformats.org/officeDocument/2006/relationships/hyperlink" Id="rId104" Target="https://doi.org/DOI 10.1016/j.ympev.2007.11.032" TargetMode="External" /><Relationship Type="http://schemas.openxmlformats.org/officeDocument/2006/relationships/hyperlink" Id="rId86" Target="https://doi.org/doi.org/10.5531/db.vz.0001" TargetMode="External" /><Relationship Type="http://schemas.openxmlformats.org/officeDocument/2006/relationships/hyperlink" Id="rId80" Target="https://doi.org/{10.1186/1471-2148-12-241}" TargetMode="External" /><Relationship Type="http://schemas.openxmlformats.org/officeDocument/2006/relationships/hyperlink" Id="rId140" Target="https://ggplot2.tidyverse.org" TargetMode="External" /><Relationship Type="http://schemas.openxmlformats.org/officeDocument/2006/relationships/hyperlink" Id="rId126" Target="https://www.R-project.org/" TargetMode="External" /><Relationship Type="http://schemas.openxmlformats.org/officeDocument/2006/relationships/hyperlink" Id="rId148"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2" Target="https://www.biodiversitylibrary.org/part/118043" TargetMode="External" /><Relationship Type="http://schemas.openxmlformats.org/officeDocument/2006/relationships/hyperlink" Id="rId138" Target="https://www.biodiversitylibrary.org/part/28256" TargetMode="External" /><Relationship Type="http://schemas.openxmlformats.org/officeDocument/2006/relationships/hyperlink" Id="rId22" Target="oreo-taxa-cut.qmd#sec-cut1" TargetMode="External" /><Relationship Type="http://schemas.openxmlformats.org/officeDocument/2006/relationships/hyperlink" Id="rId23" Target="oreo-taxa-cut.qmd#sec-cu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2025-04-13T01:36:46Z</dcterms:created>
  <dcterms:modified xsi:type="dcterms:W3CDTF">2025-04-13T01:36:46Z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2025-04-12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