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9"/>
        <w:gridCol w:w="2923"/>
        <w:gridCol w:w="3254"/>
        <w:gridCol w:w="1901"/>
      </w:tblGrid>
      <w:tr>
        <w:trPr>
          <w:trHeight w:val="518" w:hRule="auto"/>
          <w:tblHeader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666666"/>
              </w:rPr>
              <w:t xml:space="preserve">Table 1.</w:t>
            </w:r>
          </w:p>
        </w:tc>
      </w:tr>
      <w:tr>
        <w:trPr>
          <w:trHeight w:val="518" w:hRule="auto"/>
          <w:tblHeader/>
        </w:trPr>
        <w:tc>
          <w:tcPr>
            <w:gridSpan w:val="4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Locality information for samples sequenced in this study. See Hill, et al., 2023, Table 1 for additional metadata.</w:t>
            </w:r>
          </w:p>
        </w:tc>
      </w:tr>
      <w:tr>
        <w:trPr>
          <w:trHeight w:val="518" w:hRule="auto"/>
          <w:tblHeader/>
        </w:trPr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ID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Species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Locality</w:t>
            </w:r>
          </w:p>
        </w:tc>
        <w:tc>
          <w:tcPr>
            <w:tcBorders>
              <w:bottom w:val="none" w:sz="0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Latitude</w:t>
            </w:r>
          </w:p>
        </w:tc>
      </w:tr>
      <w:tr>
        <w:trPr>
          <w:trHeight w:val="503" w:hRule="auto"/>
          <w:tblHeader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Latitude, Longitude</w:t>
            </w:r>
          </w:p>
        </w:tc>
      </w:tr>
      <w:tr>
        <w:trPr>
          <w:trHeight w:val="75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BJE01143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Oreophryne moluccensis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1.7899, 127.8910</w:t>
            </w:r>
          </w:p>
        </w:tc>
      </w:tr>
      <w:tr>
        <w:trPr>
          <w:trHeight w:val="7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BJE01144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Oreophryne moluccensis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1.7899, 127.8910</w:t>
            </w:r>
          </w:p>
        </w:tc>
      </w:tr>
      <w:tr>
        <w:trPr>
          <w:trHeight w:val="76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BJE01120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Oreophryne moluccensis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666666"/>
              </w:rPr>
              <w:t xml:space="preserve">1.8228, 127.8300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2026-06-24T10:38:25Z</dcterms:modified>
  <cp:category/>
</cp:coreProperties>
</file>