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Hiding in the trees: Unmasking a cryptic genus of arboreal New Guinea frogs with phylogenetic taxonomy</w:t>
      </w:r>
    </w:p>
    <w:p>
      <w:pPr>
        <w:pStyle w:val="Author"/>
      </w:pPr>
    </w:p>
    <w:p>
      <w:pPr>
        <w:pStyle w:val="Author"/>
      </w:pPr>
      <w:r>
        <w:rPr>
          <w:rtl w:val="0"/>
          <w:lang w:val="en-US"/>
        </w:rPr>
        <w:t>Allison Fisher, Ke Cao, Allen Allison, Bulisa Iova, and Marguerite Butler</w:t>
      </w:r>
    </w:p>
    <w:p>
      <w:pPr>
        <w:pStyle w:val="Date"/>
      </w:pPr>
      <w:r>
        <w:rPr>
          <w:rtl w:val="0"/>
          <w:lang w:val="en-US"/>
        </w:rPr>
        <w:t>2026-04-12</w:t>
      </w:r>
    </w:p>
    <w:p>
      <w:pPr>
        <w:pStyle w:val="Body"/>
      </w:pPr>
      <w:r>
        <w:rPr>
          <w:rFonts w:ascii="Arial Unicode MS" w:cs="Arial Unicode MS" w:hAnsi="Arial Unicode MS" w:eastAsia="Arial Unicode MS"/>
          <w:b w:val="0"/>
          <w:bCs w:val="0"/>
          <w:i w:val="0"/>
          <w:iCs w:val="0"/>
        </w:rPr>
        <w:br w:type="page"/>
      </w:r>
    </w:p>
    <w:p>
      <w:pPr>
        <w:pStyle w:val="Heading 1"/>
      </w:pPr>
      <w:bookmarkStart w:name="abstract" w:id="0"/>
      <w:r>
        <w:rPr>
          <w:rFonts w:cs="Arial Unicode MS" w:eastAsia="Arial Unicode MS"/>
          <w:rtl w:val="0"/>
          <w:lang w:val="de-DE"/>
        </w:rPr>
        <w:t>Abstract</w:t>
      </w:r>
    </w:p>
    <w:p>
      <w:pPr>
        <w:pStyle w:val="First Paragraph"/>
      </w:pPr>
      <w:r>
        <w:rPr>
          <w:rtl w:val="0"/>
          <w:lang w:val="en-US"/>
        </w:rPr>
        <w:t xml:space="preserve">Although cryptic species are known to underestimate biodiversity, cryptic genera may present greater challenges. Since morphological comparison is a critical first step in choosing which taxa to include in a molecular phylogeny for a new species, polyphyly can be challenging to identify. The most problematic scenario occurs when diagnostic characters evolve via unrecognized parallelism, leading to ever growing clades of unrelated taxa. One example is the frog genus </w:t>
      </w:r>
      <w:r>
        <w:rPr>
          <w:i w:val="1"/>
          <w:iCs w:val="1"/>
          <w:rtl w:val="0"/>
          <w:lang w:val="en-US"/>
        </w:rPr>
        <w:t>Oreophryne</w:t>
      </w:r>
      <w:r>
        <w:rPr>
          <w:rtl w:val="0"/>
          <w:lang w:val="en-US"/>
        </w:rPr>
        <w:t xml:space="preserve"> sensu lato, recently discovered as polyphyletic despite 130 years of research. Here we show that the two clades are undiagnosible using morphology and define the genera using phylogenetic taxonomy. We include the type species </w:t>
      </w:r>
      <w:r>
        <w:rPr>
          <w:i w:val="1"/>
          <w:iCs w:val="1"/>
          <w:rtl w:val="0"/>
          <w:lang w:val="en-US"/>
        </w:rPr>
        <w:t>O. senckenbergiana</w:t>
      </w:r>
      <w:r>
        <w:rPr>
          <w:rtl w:val="0"/>
          <w:lang w:val="en-US"/>
        </w:rPr>
        <w:t xml:space="preserve">, resolving which clade retains the name </w:t>
      </w:r>
      <w:r>
        <w:rPr>
          <w:i w:val="1"/>
          <w:iCs w:val="1"/>
          <w:rtl w:val="0"/>
          <w:lang w:val="en-US"/>
        </w:rPr>
        <w:t>Oreophryne</w:t>
      </w:r>
      <w:r>
        <w:rPr>
          <w:rtl w:val="0"/>
          <w:lang w:val="en-US"/>
        </w:rPr>
        <w:t xml:space="preserve">, and name the strikingly similar genus of arboreal frogs </w:t>
      </w:r>
      <w:r>
        <w:rPr>
          <w:b w:val="1"/>
          <w:bCs w:val="1"/>
          <w:i w:val="1"/>
          <w:iCs w:val="1"/>
          <w:rtl w:val="0"/>
          <w:lang w:val="en-US"/>
        </w:rPr>
        <w:t>Auparoparo</w:t>
      </w:r>
      <w:r>
        <w:rPr>
          <w:b w:val="1"/>
          <w:bCs w:val="1"/>
          <w:rtl w:val="0"/>
          <w:lang w:val="en-US"/>
        </w:rPr>
        <w:t xml:space="preserve"> gen. nov.</w:t>
      </w:r>
      <w:r>
        <w:rPr>
          <w:rtl w:val="0"/>
          <w:lang w:val="en-US"/>
        </w:rPr>
        <w:t xml:space="preserve"> from the indigenous Papuan language Motu. Their geographic distributions implicate plate tectonic activity in diversification, with </w:t>
      </w:r>
      <w:r>
        <w:rPr>
          <w:i w:val="1"/>
          <w:iCs w:val="1"/>
          <w:rtl w:val="0"/>
          <w:lang w:val="en-US"/>
        </w:rPr>
        <w:t>Oreophryne</w:t>
      </w:r>
      <w:r>
        <w:rPr>
          <w:rtl w:val="0"/>
          <w:lang w:val="en-US"/>
        </w:rPr>
        <w:t xml:space="preserve"> distributed from the Philippines to Indonesia, along central to south New Guinea and its satellite islands, whereas </w:t>
      </w:r>
      <w:r>
        <w:rPr>
          <w:i w:val="1"/>
          <w:iCs w:val="1"/>
          <w:rtl w:val="0"/>
          <w:lang w:val="en-US"/>
        </w:rPr>
        <w:t>Auparoparo</w:t>
      </w:r>
      <w:r>
        <w:rPr>
          <w:rtl w:val="0"/>
          <w:lang w:val="en-US"/>
        </w:rPr>
        <w:t xml:space="preserve"> occurs in Sulawesi and southern New Guinea and satellite islands where there is range overlap. Polyphyletic groups are still in use today, thus it is imperative to confirm monophyly when defining taxa to promote nomenclatural stability and improve the accuracy of evolutionary conclusions.</w:t>
      </w:r>
    </w:p>
    <w:p>
      <w:pPr>
        <w:pStyle w:val="Body"/>
      </w:pPr>
      <w:r>
        <w:rPr>
          <w:rFonts w:ascii="Arial Unicode MS" w:cs="Arial Unicode MS" w:hAnsi="Arial Unicode MS" w:eastAsia="Arial Unicode MS"/>
          <w:b w:val="0"/>
          <w:bCs w:val="0"/>
          <w:i w:val="0"/>
          <w:iCs w:val="0"/>
        </w:rPr>
        <w:br w:type="page"/>
      </w:r>
    </w:p>
    <w:p>
      <w:pPr>
        <w:pStyle w:val="Heading 1"/>
      </w:pPr>
      <w:bookmarkStart w:name="introduction" w:id="1"/>
      <w:r>
        <w:rPr>
          <w:rFonts w:cs="Arial Unicode MS" w:eastAsia="Arial Unicode MS"/>
          <w:rtl w:val="0"/>
          <w:lang w:val="fr-FR"/>
        </w:rPr>
        <w:t>Introduction</w:t>
      </w:r>
    </w:p>
    <w:p>
      <w:pPr>
        <w:pStyle w:val="First Paragraph"/>
      </w:pPr>
      <w:r>
        <w:rPr>
          <w:i w:val="1"/>
          <w:iCs w:val="1"/>
          <w:rtl w:val="0"/>
          <w:lang w:val="en-US"/>
        </w:rPr>
        <w:t>Oreophryne</w:t>
      </w:r>
      <w:r>
        <w:rPr>
          <w:rtl w:val="0"/>
          <w:lang w:val="en-US"/>
        </w:rPr>
        <w:t xml:space="preserve"> (Boettger, 1895) is the oldest and arguably the best studied genus of the hyperdivsere subfamily Asterophryinae. Well known for its aboreal morphology and lifestyle, the taxonomy of the genus </w:t>
      </w:r>
      <w:r>
        <w:rPr>
          <w:i w:val="1"/>
          <w:iCs w:val="1"/>
          <w:rtl w:val="0"/>
          <w:lang w:val="en-US"/>
        </w:rPr>
        <w:t>Oreophryne</w:t>
      </w:r>
      <w:r>
        <w:rPr>
          <w:rtl w:val="0"/>
          <w:lang w:val="en-US"/>
        </w:rPr>
        <w:t xml:space="preserve"> sensu lato has been stable over the past century, until it was recently discovered that the single large clade is, in fact, two independently evolved clades (reviewed in Hill </w:t>
      </w:r>
      <w:r>
        <w:rPr>
          <w:i w:val="1"/>
          <w:iCs w:val="1"/>
          <w:rtl w:val="0"/>
          <w:lang w:val="en-US"/>
        </w:rPr>
        <w:t>et al.</w:t>
      </w:r>
      <w:r>
        <w:rPr>
          <w:rtl w:val="0"/>
          <w:lang w:val="en-US"/>
        </w:rPr>
        <w:t>, 2022). A natural question is how did this happen and why did it remain undiscovered for so long? One obvious answer is that their morphology is remarkably similar (</w:t>
      </w:r>
      <w:r>
        <w:rPr>
          <w:rStyle w:val="Hyperlink.0"/>
        </w:rPr>
        <w:fldChar w:fldCharType="begin" w:fldLock="0"/>
      </w:r>
      <w:r>
        <w:rPr>
          <w:rStyle w:val="Hyperlink.0"/>
        </w:rPr>
        <w:instrText xml:space="preserve"> HYPERLINK \l "bookmark" </w:instrText>
      </w:r>
      <w:r>
        <w:rPr>
          <w:rStyle w:val="Hyperlink.0"/>
        </w:rPr>
        <w:fldChar w:fldCharType="separate" w:fldLock="0"/>
      </w:r>
      <w:r>
        <w:rPr>
          <w:rStyle w:val="Hyperlink.0"/>
          <w:rtl w:val="0"/>
        </w:rPr>
        <w:t>Figure</w:t>
      </w:r>
      <w:r>
        <w:rPr>
          <w:rStyle w:val="Hyperlink.0"/>
          <w:rtl w:val="0"/>
        </w:rPr>
        <w:t> </w:t>
      </w:r>
      <w:r>
        <w:rPr>
          <w:rStyle w:val="Hyperlink.0"/>
          <w:rtl w:val="0"/>
        </w:rPr>
        <w:t>1</w:t>
      </w:r>
      <w:r>
        <w:rPr/>
        <w:fldChar w:fldCharType="end" w:fldLock="0"/>
      </w:r>
      <w:r>
        <w:rPr>
          <w:rtl w:val="0"/>
          <w:lang w:val="en-US"/>
        </w:rPr>
        <w:t xml:space="preserve">). </w:t>
      </w:r>
      <w:r>
        <w:rPr>
          <w:i w:val="1"/>
          <w:iCs w:val="1"/>
          <w:rtl w:val="0"/>
          <w:lang w:val="en-US"/>
        </w:rPr>
        <w:t>Oreophryne</w:t>
      </w:r>
      <w:r>
        <w:rPr>
          <w:rtl w:val="0"/>
          <w:lang w:val="en-US"/>
        </w:rPr>
        <w:t xml:space="preserve"> sense lato are consipicuously arboreal and account for nearly all arboreal species of Asterophryinae (G</w:t>
      </w:r>
      <w:r>
        <w:rPr>
          <w:rtl w:val="0"/>
          <w:lang w:val="en-US"/>
        </w:rPr>
        <w:t>ü</w:t>
      </w:r>
      <w:r>
        <w:rPr>
          <w:rtl w:val="0"/>
          <w:lang w:val="en-US"/>
        </w:rPr>
        <w:t>nther, Richards, &amp; Iskandar, 2001; Menzies, 2006), inhabiting lowland to montane rain forest. We note that there is a small group of high-elevation grassland species that are diminutive, a few which are terrestrial (Zweifel, Cogger, &amp; Richards, 2005; G</w:t>
      </w:r>
      <w:r>
        <w:rPr>
          <w:rtl w:val="0"/>
          <w:lang w:val="en-US"/>
        </w:rPr>
        <w:t>ü</w:t>
      </w:r>
      <w:r>
        <w:rPr>
          <w:rtl w:val="0"/>
          <w:lang w:val="en-US"/>
        </w:rPr>
        <w:t xml:space="preserve">nther &amp; Richards, 2012; Putri </w:t>
      </w:r>
      <w:r>
        <w:rPr>
          <w:i w:val="1"/>
          <w:iCs w:val="1"/>
          <w:rtl w:val="0"/>
          <w:lang w:val="en-US"/>
        </w:rPr>
        <w:t>et al.</w:t>
      </w:r>
      <w:r>
        <w:rPr>
          <w:rtl w:val="0"/>
          <w:lang w:val="en-US"/>
        </w:rPr>
        <w:t xml:space="preserve">, 2023). In short, </w:t>
      </w:r>
      <w:r>
        <w:rPr>
          <w:i w:val="1"/>
          <w:iCs w:val="1"/>
          <w:rtl w:val="0"/>
          <w:lang w:val="en-US"/>
        </w:rPr>
        <w:t>Oreophryne</w:t>
      </w:r>
      <w:r>
        <w:rPr>
          <w:rtl w:val="0"/>
          <w:lang w:val="en-US"/>
        </w:rPr>
        <w:t xml:space="preserve"> sensu lato are morphologically distinctive, consistent with their arboreal lifestyle, and appear in the field to be a natural group preserved by niche conservatism.</w:t>
      </w:r>
    </w:p>
    <w:p>
      <w:pPr>
        <w:pStyle w:val="Body Text"/>
      </w:pPr>
      <w:r>
        <w:rPr>
          <w:rtl w:val="0"/>
          <w:lang w:val="en-US"/>
        </w:rPr>
        <w:t xml:space="preserve">Indeed, although the taxonomic instability is well known in the history of the subfamily Asterophyinae (reviewed in Rivera </w:t>
      </w:r>
      <w:r>
        <w:rPr>
          <w:i w:val="1"/>
          <w:iCs w:val="1"/>
          <w:rtl w:val="0"/>
          <w:lang w:val="en-US"/>
        </w:rPr>
        <w:t>et al.</w:t>
      </w:r>
      <w:r>
        <w:rPr>
          <w:rtl w:val="0"/>
          <w:lang w:val="en-US"/>
        </w:rPr>
        <w:t xml:space="preserve">, 2017; Hill </w:t>
      </w:r>
      <w:r>
        <w:rPr>
          <w:i w:val="1"/>
          <w:iCs w:val="1"/>
          <w:rtl w:val="0"/>
          <w:lang w:val="en-US"/>
        </w:rPr>
        <w:t>et al.</w:t>
      </w:r>
      <w:r>
        <w:rPr>
          <w:rtl w:val="0"/>
          <w:lang w:val="en-US"/>
        </w:rPr>
        <w:t xml:space="preserve">, 2022), it appeared that </w:t>
      </w:r>
      <w:r>
        <w:rPr>
          <w:i w:val="1"/>
          <w:iCs w:val="1"/>
          <w:rtl w:val="0"/>
          <w:lang w:val="en-US"/>
        </w:rPr>
        <w:t>Oreophryne</w:t>
      </w:r>
      <w:r>
        <w:rPr>
          <w:rtl w:val="0"/>
          <w:lang w:val="en-US"/>
        </w:rPr>
        <w:t xml:space="preserve"> was united by what appeared to be a useful diagnostic character distinct from all other genera. Based on a pectoral anatomy with highly reduced and distinctly curved clavicles (Parker, 1934; Zweifel, 2003), hypothetical new species could be diagnosed into </w:t>
      </w:r>
      <w:r>
        <w:rPr>
          <w:i w:val="1"/>
          <w:iCs w:val="1"/>
          <w:rtl w:val="0"/>
          <w:lang w:val="en-US"/>
        </w:rPr>
        <w:t>Oreophryne</w:t>
      </w:r>
      <w:r>
        <w:rPr>
          <w:rtl w:val="0"/>
          <w:lang w:val="en-US"/>
        </w:rPr>
        <w:t xml:space="preserve">, and for modern studies, confirmed by phylogenetic analysis with other members of </w:t>
      </w:r>
      <w:r>
        <w:rPr>
          <w:i w:val="1"/>
          <w:iCs w:val="1"/>
          <w:rtl w:val="0"/>
          <w:lang w:val="en-US"/>
        </w:rPr>
        <w:t>Oreophryne</w:t>
      </w:r>
      <w:r>
        <w:rPr>
          <w:rtl w:val="0"/>
          <w:lang w:val="en-US"/>
        </w:rPr>
        <w:t xml:space="preserve">. Over the past 130 years the genus </w:t>
      </w:r>
      <w:r>
        <w:rPr>
          <w:i w:val="1"/>
          <w:iCs w:val="1"/>
          <w:rtl w:val="0"/>
          <w:lang w:val="en-US"/>
        </w:rPr>
        <w:t>Oreophryne</w:t>
      </w:r>
      <w:r>
        <w:rPr>
          <w:rtl w:val="0"/>
          <w:lang w:val="en-US"/>
        </w:rPr>
        <w:t xml:space="preserve"> sensu lato (Boettger, 1895) has grown to 75 diagnosed species, fully 1/5 of the total diversity of subfamily Asterophryinae and the largest of the ~16 genera (Hill </w:t>
      </w:r>
      <w:r>
        <w:rPr>
          <w:i w:val="1"/>
          <w:iCs w:val="1"/>
          <w:rtl w:val="0"/>
          <w:lang w:val="en-US"/>
        </w:rPr>
        <w:t>et al.</w:t>
      </w:r>
      <w:r>
        <w:rPr>
          <w:rtl w:val="0"/>
          <w:lang w:val="en-US"/>
        </w:rPr>
        <w:t xml:space="preserve">, 2022; Frost, 2024). </w:t>
      </w:r>
      <w:r>
        <w:rPr>
          <w:i w:val="1"/>
          <w:iCs w:val="1"/>
          <w:rtl w:val="0"/>
          <w:lang w:val="en-US"/>
        </w:rPr>
        <w:t>Oreophryne</w:t>
      </w:r>
      <w:r>
        <w:rPr>
          <w:rtl w:val="0"/>
          <w:lang w:val="en-US"/>
        </w:rPr>
        <w:t xml:space="preserve"> sensu lato has the largest geographic distribution in the subfamily (Hill </w:t>
      </w:r>
      <w:r>
        <w:rPr>
          <w:i w:val="1"/>
          <w:iCs w:val="1"/>
          <w:rtl w:val="0"/>
          <w:lang w:val="en-US"/>
        </w:rPr>
        <w:t>et al.</w:t>
      </w:r>
      <w:r>
        <w:rPr>
          <w:rtl w:val="0"/>
          <w:lang w:val="en-US"/>
        </w:rPr>
        <w:t>, 2023a), with species centered on mainland New Guinea and its offshore islands (Werner, 1898; Zweifel, 1956; Zweifel, Menzies, &amp; Price, 2003; Kraus &amp; Allison, 2004; Kraus &amp; Allison, 2009; Kraus, 2013; Frost, 2024), but ranging westward across open ocean (M</w:t>
      </w:r>
      <w:r>
        <w:rPr>
          <w:rtl w:val="0"/>
          <w:lang w:val="en-US"/>
        </w:rPr>
        <w:t>ü</w:t>
      </w:r>
      <w:r>
        <w:rPr>
          <w:rtl w:val="0"/>
          <w:lang w:val="en-US"/>
        </w:rPr>
        <w:t xml:space="preserve">ller, 1894; Boulenger, 1896; Ahl, 1933; Putri </w:t>
      </w:r>
      <w:r>
        <w:rPr>
          <w:i w:val="1"/>
          <w:iCs w:val="1"/>
          <w:rtl w:val="0"/>
          <w:lang w:val="en-US"/>
        </w:rPr>
        <w:t>et al.</w:t>
      </w:r>
      <w:r>
        <w:rPr>
          <w:rtl w:val="0"/>
          <w:lang w:val="en-US"/>
        </w:rPr>
        <w:t xml:space="preserve">, 2023) and northward to Indonesia (Boettger, 1895; Setiadi </w:t>
      </w:r>
      <w:r>
        <w:rPr>
          <w:i w:val="1"/>
          <w:iCs w:val="1"/>
          <w:rtl w:val="0"/>
          <w:lang w:val="en-US"/>
        </w:rPr>
        <w:t>et al.</w:t>
      </w:r>
      <w:r>
        <w:rPr>
          <w:rtl w:val="0"/>
          <w:lang w:val="en-US"/>
        </w:rPr>
        <w:t>, 2010; G</w:t>
      </w:r>
      <w:r>
        <w:rPr>
          <w:rtl w:val="0"/>
          <w:lang w:val="en-US"/>
        </w:rPr>
        <w:t>ü</w:t>
      </w:r>
      <w:r>
        <w:rPr>
          <w:rtl w:val="0"/>
          <w:lang w:val="en-US"/>
        </w:rPr>
        <w:t>nther, Iskandar, &amp; Richards, 2023) and the Southern Philippines Islands (Alcala, 1986; Balinton &amp; Se</w:t>
      </w:r>
      <w:r>
        <w:rPr>
          <w:rtl w:val="0"/>
          <w:lang w:val="en-US"/>
        </w:rPr>
        <w:t>ñ</w:t>
      </w:r>
      <w:r>
        <w:rPr>
          <w:rtl w:val="0"/>
          <w:lang w:val="en-US"/>
        </w:rPr>
        <w:t>a, 2015).</w:t>
      </w:r>
    </w:p>
    <w:p>
      <w:pPr>
        <w:pStyle w:val="Body Text"/>
      </w:pPr>
      <w:r>
        <w:rPr>
          <w:rtl w:val="0"/>
          <w:lang w:val="en-US"/>
        </w:rPr>
        <w:t xml:space="preserve">The apparently reliable diagnostic character, however, has never been demonstrated to be a synapomorphy, and recent studies have not found evidence for monophyly (Zweifel </w:t>
      </w:r>
      <w:r>
        <w:rPr>
          <w:i w:val="1"/>
          <w:iCs w:val="1"/>
          <w:rtl w:val="0"/>
          <w:lang w:val="en-US"/>
        </w:rPr>
        <w:t>et al.</w:t>
      </w:r>
      <w:r>
        <w:rPr>
          <w:rtl w:val="0"/>
          <w:lang w:val="en-US"/>
        </w:rPr>
        <w:t xml:space="preserve">, 2005; Rivera </w:t>
      </w:r>
      <w:r>
        <w:rPr>
          <w:i w:val="1"/>
          <w:iCs w:val="1"/>
          <w:rtl w:val="0"/>
          <w:lang w:val="en-US"/>
        </w:rPr>
        <w:t>et al.</w:t>
      </w:r>
      <w:r>
        <w:rPr>
          <w:rtl w:val="0"/>
          <w:lang w:val="en-US"/>
        </w:rPr>
        <w:t xml:space="preserve">, 2017). Recently, Hill et. al (2022, 2023b) established that </w:t>
      </w:r>
      <w:r>
        <w:rPr>
          <w:i w:val="1"/>
          <w:iCs w:val="1"/>
          <w:rtl w:val="0"/>
          <w:lang w:val="en-US"/>
        </w:rPr>
        <w:t>Oreophryne</w:t>
      </w:r>
      <w:r>
        <w:rPr>
          <w:rtl w:val="0"/>
          <w:lang w:val="en-US"/>
        </w:rPr>
        <w:t xml:space="preserve"> sensu lato represents two reciprocally monophyletic groups, temporarily labeled </w:t>
      </w:r>
      <w:r>
        <w:rPr>
          <w:rtl w:val="0"/>
          <w:lang w:val="en-US"/>
        </w:rPr>
        <w:t>“</w:t>
      </w:r>
      <w:r>
        <w:rPr>
          <w:rtl w:val="0"/>
          <w:lang w:val="en-US"/>
        </w:rPr>
        <w:t>Oreophryne A</w:t>
      </w:r>
      <w:r>
        <w:rPr>
          <w:rtl w:val="0"/>
          <w:lang w:val="en-US"/>
        </w:rPr>
        <w:t xml:space="preserve">” </w:t>
      </w:r>
      <w:r>
        <w:rPr>
          <w:rtl w:val="0"/>
          <w:lang w:val="en-US"/>
        </w:rPr>
        <w:t xml:space="preserve">and </w:t>
      </w:r>
      <w:r>
        <w:rPr>
          <w:rtl w:val="0"/>
          <w:lang w:val="en-US"/>
        </w:rPr>
        <w:t>“</w:t>
      </w:r>
      <w:r>
        <w:rPr>
          <w:rtl w:val="0"/>
          <w:lang w:val="en-US"/>
        </w:rPr>
        <w:t>Oreophryne B</w:t>
      </w:r>
      <w:r>
        <w:rPr>
          <w:rtl w:val="0"/>
          <w:lang w:val="en-US"/>
        </w:rPr>
        <w:t>”</w:t>
      </w:r>
      <w:r>
        <w:rPr>
          <w:rtl w:val="0"/>
          <w:lang w:val="en-US"/>
        </w:rPr>
        <w:t xml:space="preserve">. Furthermore, it is unknown whether it is possible to identify these groups with any morphological characters </w:t>
      </w:r>
      <w:r>
        <w:rPr>
          <w:rtl w:val="0"/>
          <w:lang w:val="en-US"/>
        </w:rPr>
        <w:t xml:space="preserve">– </w:t>
      </w:r>
      <w:r>
        <w:rPr>
          <w:rtl w:val="0"/>
          <w:lang w:val="en-US"/>
        </w:rPr>
        <w:t xml:space="preserve">there may in fact be no reliable diagnostic characters, rendering a phylogenetic taxonomic definition an imperative for evolutionary study. The aims of this study are to assess the phylogenetic position of the newly available type species of </w:t>
      </w:r>
      <w:r>
        <w:rPr>
          <w:i w:val="1"/>
          <w:iCs w:val="1"/>
          <w:rtl w:val="0"/>
          <w:lang w:val="en-US"/>
        </w:rPr>
        <w:t>Oreophryne</w:t>
      </w:r>
      <w:r>
        <w:rPr>
          <w:rtl w:val="0"/>
          <w:lang w:val="en-US"/>
        </w:rPr>
        <w:t xml:space="preserve"> (</w:t>
      </w:r>
      <w:r>
        <w:rPr>
          <w:i w:val="1"/>
          <w:iCs w:val="1"/>
          <w:rtl w:val="0"/>
          <w:lang w:val="en-US"/>
        </w:rPr>
        <w:t>Oreophryne senkenbergiana</w:t>
      </w:r>
      <w:r>
        <w:rPr>
          <w:rtl w:val="0"/>
          <w:lang w:val="en-US"/>
        </w:rPr>
        <w:t xml:space="preserve">) to name and describe the new genus, and to develop phylogenetic definitions for both clades in the context of the subfamily-level Asterophrinae phylogeny including representatives from all known genera. Furthermore, we analyze the morphological characteristics to assess whether morphological diagnosis is possible, and consider whether there are any additional features to assist collectors when identifying putative </w:t>
      </w:r>
      <w:r>
        <w:rPr>
          <w:i w:val="1"/>
          <w:iCs w:val="1"/>
          <w:rtl w:val="0"/>
          <w:lang w:val="en-US"/>
        </w:rPr>
        <w:t>Oreophryne</w:t>
      </w:r>
      <w:r>
        <w:rPr>
          <w:rtl w:val="0"/>
          <w:lang w:val="en-US"/>
        </w:rPr>
        <w:t xml:space="preserve"> in the field (e.g., call type, geography, other characters), and discuss the implications of having misleading diagnostic characters on evolutionary study. Inclusion of samples in molecular phylogenetics is not enough, and indeed it is necessary to include explicit tests of monophyly when defining new taxonomy.</w:t>
      </w:r>
      <w:bookmarkEnd w:id="1"/>
      <w:bookmarkEnd w:id="0"/>
    </w:p>
    <w:p>
      <w:pPr>
        <w:pStyle w:val="heading 4"/>
      </w:pPr>
      <w:bookmarkStart w:name="taxonomichistory" w:id="2"/>
      <w:r>
        <w:rPr>
          <w:rFonts w:cs="Arial Unicode MS" w:eastAsia="Arial Unicode MS"/>
          <w:rtl w:val="0"/>
          <w:lang w:val="en-US"/>
        </w:rPr>
        <w:t>Taxonomic History:</w:t>
      </w:r>
    </w:p>
    <w:p>
      <w:pPr>
        <w:pStyle w:val="First Paragraph"/>
      </w:pPr>
      <w:r>
        <w:rPr>
          <w:rtl w:val="0"/>
          <w:lang w:val="en-US"/>
        </w:rPr>
        <w:t xml:space="preserve">Boettger (1895) described the genus </w:t>
      </w:r>
      <w:r>
        <w:rPr>
          <w:i w:val="1"/>
          <w:iCs w:val="1"/>
          <w:rtl w:val="0"/>
          <w:lang w:val="en-US"/>
        </w:rPr>
        <w:t>Oreoprhyne</w:t>
      </w:r>
      <w:r>
        <w:rPr>
          <w:rtl w:val="0"/>
          <w:lang w:val="en-US"/>
        </w:rPr>
        <w:t xml:space="preserve"> sensu lato and the species </w:t>
      </w:r>
      <w:r>
        <w:rPr>
          <w:i w:val="1"/>
          <w:iCs w:val="1"/>
          <w:rtl w:val="0"/>
          <w:lang w:val="en-US"/>
        </w:rPr>
        <w:t>Oreophryne senckenbergiana</w:t>
      </w:r>
      <w:r>
        <w:rPr>
          <w:rtl w:val="0"/>
          <w:lang w:val="en-US"/>
        </w:rPr>
        <w:t xml:space="preserve"> on the basis of two specimens from Halmahera Island, in the Maluku Archipelago west of New Guinea, that lacked procoracoids and had cartilaginous sterna. He also noted the presence of expanded finger pads and transverse folds of skin in the palate. Parker (1934) noted that procoracoids were present, but were reduced and re-diagnosed the genus on the basis of this feature together with the presence of reduced clavicles, no omosternum and a large cartilaginous sternum. Zweifel (2003) noted that </w:t>
      </w:r>
      <w:r>
        <w:rPr>
          <w:rtl w:val="0"/>
          <w:lang w:val="en-US"/>
        </w:rPr>
        <w:t>“</w:t>
      </w:r>
      <w:r>
        <w:rPr>
          <w:rtl w:val="0"/>
          <w:lang w:val="en-US"/>
        </w:rPr>
        <w:t>the clavicles are tiny, slightly curved bones lying on (ventral to) the procoracoid cartilage and apart from the midline and the scapula.</w:t>
      </w:r>
      <w:r>
        <w:rPr>
          <w:rtl w:val="0"/>
          <w:lang w:val="en-US"/>
        </w:rPr>
        <w:t xml:space="preserve">” </w:t>
      </w:r>
      <w:r>
        <w:rPr>
          <w:rtl w:val="0"/>
          <w:lang w:val="en-US"/>
        </w:rPr>
        <w:t>On the basis of these features there are now 75 recognized species in the genus (Frost, 2024).</w:t>
      </w:r>
    </w:p>
    <w:p>
      <w:pPr>
        <w:pStyle w:val="First Paragraph"/>
        <w:widowControl w:val="0"/>
        <w:spacing w:line="240" w:lineRule="auto"/>
      </w:pPr>
    </w:p>
    <w:p>
      <w:pPr>
        <w:pStyle w:val="Body Text"/>
      </w:pPr>
      <w:r>
        <w:rPr>
          <w:rtl w:val="0"/>
          <w:lang w:val="en-US"/>
        </w:rPr>
        <w:t xml:space="preserve">While </w:t>
      </w:r>
      <w:r>
        <w:rPr>
          <w:i w:val="1"/>
          <w:iCs w:val="1"/>
          <w:rtl w:val="0"/>
          <w:lang w:val="en-US"/>
        </w:rPr>
        <w:t>Oreophryne</w:t>
      </w:r>
      <w:r>
        <w:rPr>
          <w:rtl w:val="0"/>
          <w:lang w:val="en-US"/>
        </w:rPr>
        <w:t xml:space="preserve"> sensu lato is united morphologically (</w:t>
      </w:r>
      <w:r>
        <w:rPr>
          <w:rStyle w:val="Hyperlink.0"/>
        </w:rPr>
        <w:fldChar w:fldCharType="begin" w:fldLock="0"/>
      </w:r>
      <w:r>
        <w:rPr>
          <w:rStyle w:val="Hyperlink.0"/>
        </w:rPr>
        <w:instrText xml:space="preserve"> HYPERLINK \l "bookmark1" </w:instrText>
      </w:r>
      <w:r>
        <w:rPr>
          <w:rStyle w:val="Hyperlink.0"/>
        </w:rPr>
        <w:fldChar w:fldCharType="separate" w:fldLock="0"/>
      </w:r>
      <w:r>
        <w:rPr>
          <w:rStyle w:val="Hyperlink.0"/>
          <w:rtl w:val="0"/>
        </w:rPr>
        <w:t>Figure</w:t>
      </w:r>
      <w:r>
        <w:rPr>
          <w:rStyle w:val="Hyperlink.0"/>
          <w:rtl w:val="0"/>
        </w:rPr>
        <w:t> </w:t>
      </w:r>
      <w:r>
        <w:rPr>
          <w:rStyle w:val="Hyperlink.0"/>
          <w:rtl w:val="0"/>
        </w:rPr>
        <w:t>1</w:t>
      </w:r>
      <w:r>
        <w:rPr/>
        <w:fldChar w:fldCharType="end" w:fldLock="0"/>
      </w:r>
      <w:r>
        <w:rPr>
          <w:rtl w:val="0"/>
          <w:lang w:val="en-US"/>
        </w:rPr>
        <w:t xml:space="preserve">), large scale molecular phylogenetic analysis with many ingroup samples were required to clarify that this group contains two reciprocally monophyletic clades (Hill </w:t>
      </w:r>
      <w:r>
        <w:rPr>
          <w:i w:val="1"/>
          <w:iCs w:val="1"/>
          <w:rtl w:val="0"/>
          <w:lang w:val="en-US"/>
        </w:rPr>
        <w:t>et al.</w:t>
      </w:r>
      <w:r>
        <w:rPr>
          <w:rtl w:val="0"/>
          <w:lang w:val="en-US"/>
        </w:rPr>
        <w:t>, 2022, 2023b). Early molecular phylogenetic studies suggested monophyly but only included a few taxa within a larger-scale study (K</w:t>
      </w:r>
      <w:r>
        <w:rPr>
          <w:rtl w:val="0"/>
          <w:lang w:val="en-US"/>
        </w:rPr>
        <w:t>ö</w:t>
      </w:r>
      <w:r>
        <w:rPr>
          <w:rtl w:val="0"/>
          <w:lang w:val="en-US"/>
        </w:rPr>
        <w:t>hler &amp; G</w:t>
      </w:r>
      <w:r>
        <w:rPr>
          <w:rtl w:val="0"/>
          <w:lang w:val="en-US"/>
        </w:rPr>
        <w:t>ü</w:t>
      </w:r>
      <w:r>
        <w:rPr>
          <w:rtl w:val="0"/>
          <w:lang w:val="en-US"/>
        </w:rPr>
        <w:t xml:space="preserve">nther, 2008 included 9 Oreophryne taxa; De Sa </w:t>
      </w:r>
      <w:r>
        <w:rPr>
          <w:i w:val="1"/>
          <w:iCs w:val="1"/>
          <w:rtl w:val="0"/>
          <w:lang w:val="en-US"/>
        </w:rPr>
        <w:t>et al.</w:t>
      </w:r>
      <w:r>
        <w:rPr>
          <w:rtl w:val="0"/>
          <w:lang w:val="en-US"/>
        </w:rPr>
        <w:t xml:space="preserve">, 2012 included 4). Rivera </w:t>
      </w:r>
      <w:r>
        <w:rPr>
          <w:i w:val="1"/>
          <w:iCs w:val="1"/>
          <w:rtl w:val="0"/>
          <w:lang w:val="en-US"/>
        </w:rPr>
        <w:t>et al.</w:t>
      </w:r>
      <w:r>
        <w:rPr>
          <w:rtl w:val="0"/>
          <w:lang w:val="en-US"/>
        </w:rPr>
        <w:t xml:space="preserve"> (2017) provided the first molecular evidence of a polyphyletic </w:t>
      </w:r>
      <w:r>
        <w:rPr>
          <w:i w:val="1"/>
          <w:iCs w:val="1"/>
          <w:rtl w:val="0"/>
          <w:lang w:val="en-US"/>
        </w:rPr>
        <w:t>Oreophryne</w:t>
      </w:r>
      <w:r>
        <w:rPr>
          <w:rtl w:val="0"/>
          <w:lang w:val="en-US"/>
        </w:rPr>
        <w:t xml:space="preserve"> sensu lato with 36 </w:t>
      </w:r>
      <w:r>
        <w:rPr>
          <w:i w:val="1"/>
          <w:iCs w:val="1"/>
          <w:rtl w:val="0"/>
          <w:lang w:val="en-US"/>
        </w:rPr>
        <w:t>Oreophryne</w:t>
      </w:r>
      <w:r>
        <w:rPr>
          <w:rtl w:val="0"/>
          <w:lang w:val="en-US"/>
        </w:rPr>
        <w:t xml:space="preserve"> within a larger phylogeny Asterophryinae which included 155 samples, followed by Tu </w:t>
      </w:r>
      <w:r>
        <w:rPr>
          <w:i w:val="1"/>
          <w:iCs w:val="1"/>
          <w:rtl w:val="0"/>
          <w:lang w:val="en-US"/>
        </w:rPr>
        <w:t>et al.</w:t>
      </w:r>
      <w:r>
        <w:rPr>
          <w:rtl w:val="0"/>
          <w:lang w:val="en-US"/>
        </w:rPr>
        <w:t xml:space="preserve"> (2018)</w:t>
      </w:r>
      <w:r>
        <w:rPr>
          <w:rtl w:val="0"/>
          <w:lang w:val="en-US"/>
        </w:rPr>
        <w:t>’</w:t>
      </w:r>
      <w:r>
        <w:rPr>
          <w:rtl w:val="0"/>
          <w:lang w:val="en-US"/>
        </w:rPr>
        <w:t xml:space="preserve">s sparse supermatrix approach with 18 taxa of Oreophryne falling out in various places within a much larger phylogeny, but both of these lacked strong nodal support connecting the hypothesized clades to the backbone of the phylogeny. The polyphyletic nature of </w:t>
      </w:r>
      <w:r>
        <w:rPr>
          <w:i w:val="1"/>
          <w:iCs w:val="1"/>
          <w:rtl w:val="0"/>
          <w:lang w:val="en-US"/>
        </w:rPr>
        <w:t>Oreophryne</w:t>
      </w:r>
      <w:r>
        <w:rPr>
          <w:rtl w:val="0"/>
          <w:lang w:val="en-US"/>
        </w:rPr>
        <w:t xml:space="preserve"> sensu lato was not clearly demonstrated until Hill et. al (2022, 2023b) included 44 taxa of </w:t>
      </w:r>
      <w:r>
        <w:rPr>
          <w:i w:val="1"/>
          <w:iCs w:val="1"/>
          <w:rtl w:val="0"/>
          <w:lang w:val="en-US"/>
        </w:rPr>
        <w:t>Oreophryne</w:t>
      </w:r>
      <w:r>
        <w:rPr>
          <w:rtl w:val="0"/>
          <w:lang w:val="en-US"/>
        </w:rPr>
        <w:t xml:space="preserve"> with complete data sampling within a 218 taxon phylogeny of Asterophryinae. This phylogeny is the most complete and robust phylogeny to date. The two clades, labeled </w:t>
      </w:r>
      <w:r>
        <w:rPr>
          <w:rtl w:val="0"/>
          <w:lang w:val="en-US"/>
        </w:rPr>
        <w:t>“</w:t>
      </w:r>
      <w:r>
        <w:rPr>
          <w:rtl w:val="0"/>
          <w:lang w:val="en-US"/>
        </w:rPr>
        <w:t>Oreophryne A</w:t>
      </w:r>
      <w:r>
        <w:rPr>
          <w:rtl w:val="0"/>
          <w:lang w:val="en-US"/>
        </w:rPr>
        <w:t xml:space="preserve">” </w:t>
      </w:r>
      <w:r>
        <w:rPr>
          <w:rtl w:val="0"/>
          <w:lang w:val="en-US"/>
        </w:rPr>
        <w:t xml:space="preserve">and </w:t>
      </w:r>
      <w:r>
        <w:rPr>
          <w:rtl w:val="0"/>
          <w:lang w:val="en-US"/>
        </w:rPr>
        <w:t>“</w:t>
      </w:r>
      <w:r>
        <w:rPr>
          <w:rtl w:val="0"/>
          <w:lang w:val="en-US"/>
        </w:rPr>
        <w:t>Oreophryne B</w:t>
      </w:r>
      <w:r>
        <w:rPr>
          <w:rtl w:val="0"/>
          <w:lang w:val="en-US"/>
        </w:rPr>
        <w:t xml:space="preserve">” </w:t>
      </w:r>
      <w:r>
        <w:rPr>
          <w:rtl w:val="0"/>
          <w:lang w:val="en-US"/>
        </w:rPr>
        <w:t xml:space="preserve">have deep histories of ~ 18MY and ~16MY, respectively, with </w:t>
      </w:r>
      <w:r>
        <w:rPr>
          <w:rtl w:val="0"/>
          <w:lang w:val="en-US"/>
        </w:rPr>
        <w:t>“</w:t>
      </w:r>
      <w:r>
        <w:rPr>
          <w:rtl w:val="0"/>
          <w:lang w:val="en-US"/>
        </w:rPr>
        <w:t>Oreophryne A</w:t>
      </w:r>
      <w:r>
        <w:rPr>
          <w:rtl w:val="0"/>
          <w:lang w:val="en-US"/>
        </w:rPr>
        <w:t xml:space="preserve">” </w:t>
      </w:r>
      <w:r>
        <w:rPr>
          <w:rtl w:val="0"/>
          <w:lang w:val="en-US"/>
        </w:rPr>
        <w:t>most basal to the rest of the subfamily.</w:t>
      </w:r>
      <w:bookmarkEnd w:id="2"/>
    </w:p>
    <w:p>
      <w:pPr>
        <w:pStyle w:val="Heading 1"/>
      </w:pPr>
      <w:bookmarkStart w:name="materialsandmethods" w:id="3"/>
      <w:r>
        <w:rPr>
          <w:rFonts w:cs="Arial Unicode MS" w:eastAsia="Arial Unicode MS"/>
          <w:rtl w:val="0"/>
          <w:lang w:val="en-US"/>
        </w:rPr>
        <w:t>Materials and Methods</w:t>
      </w:r>
      <w:bookmarkEnd w:id="3"/>
    </w:p>
    <w:p>
      <w:pPr>
        <w:pStyle w:val="Heading 2"/>
      </w:pPr>
      <w:bookmarkStart w:name="taxonsampling" w:id="4"/>
      <w:r>
        <w:rPr>
          <w:rtl w:val="0"/>
          <w:lang w:val="en-US"/>
        </w:rPr>
        <w:t>Taxon Sampling</w:t>
      </w:r>
    </w:p>
    <w:p>
      <w:pPr>
        <w:pStyle w:val="First Paragraph"/>
      </w:pPr>
      <w:r>
        <w:rPr>
          <w:rtl w:val="0"/>
          <w:lang w:val="en-US"/>
        </w:rPr>
        <w:t xml:space="preserve">Asterophryinae is an adaptive radiation with short branch lengths along the backbone separating generic-level taxa (Rivera </w:t>
      </w:r>
      <w:r>
        <w:rPr>
          <w:i w:val="1"/>
          <w:iCs w:val="1"/>
          <w:rtl w:val="0"/>
          <w:lang w:val="en-US"/>
        </w:rPr>
        <w:t>et al.</w:t>
      </w:r>
      <w:r>
        <w:rPr>
          <w:rtl w:val="0"/>
          <w:lang w:val="en-US"/>
        </w:rPr>
        <w:t xml:space="preserve">, 2017; Hill </w:t>
      </w:r>
      <w:r>
        <w:rPr>
          <w:i w:val="1"/>
          <w:iCs w:val="1"/>
          <w:rtl w:val="0"/>
          <w:lang w:val="en-US"/>
        </w:rPr>
        <w:t>et al.</w:t>
      </w:r>
      <w:r>
        <w:rPr>
          <w:rtl w:val="0"/>
          <w:lang w:val="en-US"/>
        </w:rPr>
        <w:t xml:space="preserve">, 2022, 2023b), we reconstruct the phylogeny of </w:t>
      </w:r>
      <w:r>
        <w:rPr>
          <w:i w:val="1"/>
          <w:iCs w:val="1"/>
          <w:rtl w:val="0"/>
          <w:lang w:val="en-US"/>
        </w:rPr>
        <w:t>Oreophryne</w:t>
      </w:r>
      <w:r>
        <w:rPr>
          <w:rtl w:val="0"/>
          <w:lang w:val="en-US"/>
        </w:rPr>
        <w:t xml:space="preserve"> sensu lato within the larger context of the subfamily. We include 30 species and 18 unnamed taxa of </w:t>
      </w:r>
      <w:r>
        <w:rPr>
          <w:i w:val="1"/>
          <w:iCs w:val="1"/>
          <w:rtl w:val="0"/>
          <w:lang w:val="en-US"/>
        </w:rPr>
        <w:t>Oreophryne</w:t>
      </w:r>
      <w:r>
        <w:rPr>
          <w:rtl w:val="0"/>
          <w:lang w:val="en-US"/>
        </w:rPr>
        <w:t xml:space="preserve"> sensu lato within a larger dataset of 234 samples of 203 taxa of Asterophryinae collected across New Guinea, the Philippines, and Indonesia with three outgroup species to root the phylogeny (</w:t>
      </w:r>
      <w:r>
        <w:rPr>
          <w:i w:val="1"/>
          <w:iCs w:val="1"/>
          <w:rtl w:val="0"/>
          <w:lang w:val="en-US"/>
        </w:rPr>
        <w:t>Dyscophus antongilii</w:t>
      </w:r>
      <w:r>
        <w:rPr>
          <w:rtl w:val="0"/>
          <w:lang w:val="en-US"/>
        </w:rPr>
        <w:t xml:space="preserve">, </w:t>
      </w:r>
      <w:r>
        <w:rPr>
          <w:i w:val="1"/>
          <w:iCs w:val="1"/>
          <w:rtl w:val="0"/>
          <w:lang w:val="en-US"/>
        </w:rPr>
        <w:t>Scaphiophryne marmorata</w:t>
      </w:r>
      <w:r>
        <w:rPr>
          <w:rtl w:val="0"/>
          <w:lang w:val="en-US"/>
        </w:rPr>
        <w:t xml:space="preserve">, and </w:t>
      </w:r>
      <w:r>
        <w:rPr>
          <w:i w:val="1"/>
          <w:iCs w:val="1"/>
          <w:rtl w:val="0"/>
          <w:lang w:val="en-US"/>
        </w:rPr>
        <w:t>Platypelis grandis</w:t>
      </w:r>
      <w:r>
        <w:rPr>
          <w:rtl w:val="0"/>
          <w:lang w:val="en-US"/>
        </w:rPr>
        <w:t xml:space="preserve">). Importantly, we include the type species </w:t>
      </w:r>
      <w:r>
        <w:rPr>
          <w:i w:val="1"/>
          <w:iCs w:val="1"/>
          <w:rtl w:val="0"/>
          <w:lang w:val="en-US"/>
        </w:rPr>
        <w:t>Oreophryne senckenbergiana</w:t>
      </w:r>
      <w:r>
        <w:rPr>
          <w:rtl w:val="0"/>
          <w:lang w:val="en-US"/>
        </w:rPr>
        <w:t xml:space="preserve"> (Boettger, 1895) in a molecular phylogeny for the first time. The samples were collected in Halmahera, North Maluku Province, Indonesia by Iqbal Setiadi , </w:t>
      </w:r>
      <w:r>
        <w:rPr>
          <w:rStyle w:val="Hyperlink.0"/>
        </w:rPr>
        <w:fldChar w:fldCharType="begin" w:fldLock="0"/>
      </w:r>
      <w:r>
        <w:rPr>
          <w:rStyle w:val="Hyperlink.0"/>
        </w:rPr>
        <w:instrText xml:space="preserve"> HYPERLINK \l "bookmark2" </w:instrText>
      </w:r>
      <w:r>
        <w:rPr>
          <w:rStyle w:val="Hyperlink.0"/>
        </w:rPr>
        <w:fldChar w:fldCharType="separate" w:fldLock="0"/>
      </w:r>
      <w:r>
        <w:rPr>
          <w:rStyle w:val="Hyperlink.0"/>
          <w:rtl w:val="0"/>
        </w:rPr>
        <w:t>Table</w:t>
      </w:r>
      <w:r>
        <w:rPr>
          <w:rStyle w:val="Hyperlink.0"/>
          <w:rtl w:val="0"/>
        </w:rPr>
        <w:t> </w:t>
      </w:r>
      <w:r>
        <w:rPr>
          <w:rStyle w:val="Hyperlink.0"/>
          <w:rtl w:val="0"/>
        </w:rPr>
        <w:t>1</w:t>
      </w:r>
      <w:r>
        <w:rPr/>
        <w:fldChar w:fldCharType="end" w:fldLock="0"/>
      </w:r>
      <w:r>
        <w:rPr>
          <w:rtl w:val="0"/>
          <w:lang w:val="en-US"/>
        </w:rPr>
        <w:t xml:space="preserve">, near the type locality for </w:t>
      </w:r>
      <w:r>
        <w:rPr>
          <w:i w:val="1"/>
          <w:iCs w:val="1"/>
          <w:rtl w:val="0"/>
          <w:lang w:val="en-US"/>
        </w:rPr>
        <w:t>O. senkenbergiana</w:t>
      </w:r>
      <w:r>
        <w:rPr>
          <w:rtl w:val="0"/>
          <w:lang w:val="en-US"/>
        </w:rPr>
        <w:t xml:space="preserve"> (Halmahera, Indonesia as documented by Boettger, 1895).</w:t>
      </w:r>
    </w:p>
    <w:p>
      <w:pPr>
        <w:pStyle w:val="First Paragraph"/>
        <w:widowControl w:val="0"/>
        <w:spacing w:line="240" w:lineRule="auto"/>
      </w:pPr>
      <w:bookmarkEnd w:id="4"/>
    </w:p>
    <w:p>
      <w:pPr>
        <w:pStyle w:val="Heading 3"/>
      </w:pPr>
      <w:bookmarkStart w:name="molecularsequence" w:id="5"/>
      <w:r>
        <w:rPr>
          <w:rtl w:val="0"/>
          <w:lang w:val="en-US"/>
        </w:rPr>
        <w:t>Molecular Sequence</w:t>
      </w:r>
    </w:p>
    <w:p>
      <w:pPr>
        <w:pStyle w:val="First Paragraph"/>
      </w:pPr>
      <w:r>
        <w:rPr>
          <w:rtl w:val="0"/>
          <w:lang w:val="en-US"/>
        </w:rPr>
        <w:t xml:space="preserve">We obtained nearly complete DNA sequence data for five loci (three nuclear: Seventh in Absentia [SIA], Brain Derived Neurotrophic Factor [BDNF], Sodium Calcium Exchange subunit-1 [NXC-1], and two mitochondrial loci (Cytochrome oxidase b [CYTB], and NADH dehydrogenase subunit 4 [ND4] from four samples of two taxa not previously sequenced and combined these with previously published data (Rivera </w:t>
      </w:r>
      <w:r>
        <w:rPr>
          <w:i w:val="1"/>
          <w:iCs w:val="1"/>
          <w:rtl w:val="0"/>
          <w:lang w:val="en-US"/>
        </w:rPr>
        <w:t>et al.</w:t>
      </w:r>
      <w:r>
        <w:rPr>
          <w:rtl w:val="0"/>
          <w:lang w:val="en-US"/>
        </w:rPr>
        <w:t xml:space="preserve">, 2017; Hill </w:t>
      </w:r>
      <w:r>
        <w:rPr>
          <w:i w:val="1"/>
          <w:iCs w:val="1"/>
          <w:rtl w:val="0"/>
          <w:lang w:val="en-US"/>
        </w:rPr>
        <w:t>et al.</w:t>
      </w:r>
      <w:r>
        <w:rPr>
          <w:rtl w:val="0"/>
          <w:lang w:val="en-US"/>
        </w:rPr>
        <w:t xml:space="preserve">, 2022, 2023b) for an alignment of 240 samples with 207 taxa and 2475 base pairs that is 96% complete. All loci were complete for the added samples. Sequence quality was evaluated using chromatogram quality scores, checks for stop codons indicating pseudogenes, BLAST search (Ye </w:t>
      </w:r>
      <w:r>
        <w:rPr>
          <w:i w:val="1"/>
          <w:iCs w:val="1"/>
          <w:rtl w:val="0"/>
          <w:lang w:val="en-US"/>
        </w:rPr>
        <w:t>et al.</w:t>
      </w:r>
      <w:r>
        <w:rPr>
          <w:rtl w:val="0"/>
          <w:lang w:val="en-US"/>
        </w:rPr>
        <w:t xml:space="preserve">, 2012), and concordance of pairwise similarity with other Asterophryinae sequences. Primer sequences and detailed methods are provided in (Hill </w:t>
      </w:r>
      <w:r>
        <w:rPr>
          <w:i w:val="1"/>
          <w:iCs w:val="1"/>
          <w:rtl w:val="0"/>
          <w:lang w:val="en-US"/>
        </w:rPr>
        <w:t>et al.</w:t>
      </w:r>
      <w:r>
        <w:rPr>
          <w:rtl w:val="0"/>
          <w:lang w:val="en-US"/>
        </w:rPr>
        <w:t xml:space="preserve">, 2023b). We note that we excluded from the previous alignment (Hill </w:t>
      </w:r>
      <w:r>
        <w:rPr>
          <w:i w:val="1"/>
          <w:iCs w:val="1"/>
          <w:rtl w:val="0"/>
          <w:lang w:val="en-US"/>
        </w:rPr>
        <w:t>et al.</w:t>
      </w:r>
      <w:r>
        <w:rPr>
          <w:rtl w:val="0"/>
          <w:lang w:val="en-US"/>
        </w:rPr>
        <w:t xml:space="preserve">, 2022, 2023b) two samples of </w:t>
      </w:r>
      <w:r>
        <w:rPr>
          <w:i w:val="1"/>
          <w:iCs w:val="1"/>
          <w:rtl w:val="0"/>
          <w:lang w:val="en-US"/>
        </w:rPr>
        <w:t>Aphantophryne pansa</w:t>
      </w:r>
      <w:r>
        <w:rPr>
          <w:rtl w:val="0"/>
          <w:lang w:val="en-US"/>
        </w:rPr>
        <w:t xml:space="preserve"> (BPBM 5299 and BPBM 8312) which were deemed unreliable as they came from formalin-fixed material, and three samples that should be confirmed with new material (BPBM 22708 </w:t>
      </w:r>
      <w:r>
        <w:rPr>
          <w:i w:val="1"/>
          <w:iCs w:val="1"/>
          <w:rtl w:val="0"/>
          <w:lang w:val="en-US"/>
        </w:rPr>
        <w:t>Copiula tyleri</w:t>
      </w:r>
      <w:r>
        <w:rPr>
          <w:rtl w:val="0"/>
          <w:lang w:val="en-US"/>
        </w:rPr>
        <w:t xml:space="preserve">, BPBM 38939 </w:t>
      </w:r>
      <w:r>
        <w:rPr>
          <w:i w:val="1"/>
          <w:iCs w:val="1"/>
          <w:rtl w:val="0"/>
          <w:lang w:val="en-US"/>
        </w:rPr>
        <w:t>Copiula sp. 7</w:t>
      </w:r>
      <w:r>
        <w:rPr>
          <w:rtl w:val="0"/>
          <w:lang w:val="en-US"/>
        </w:rPr>
        <w:t xml:space="preserve">, BPBM 37753 </w:t>
      </w:r>
      <w:r>
        <w:rPr>
          <w:i w:val="1"/>
          <w:iCs w:val="1"/>
          <w:rtl w:val="0"/>
          <w:lang w:val="en-US"/>
        </w:rPr>
        <w:t>Paedophryne dekot</w:t>
      </w:r>
      <w:r>
        <w:rPr>
          <w:rtl w:val="0"/>
          <w:lang w:val="en-US"/>
        </w:rPr>
        <w:t xml:space="preserve">). We note that genetic material from 47 species of </w:t>
      </w:r>
      <w:r>
        <w:rPr>
          <w:i w:val="1"/>
          <w:iCs w:val="1"/>
          <w:rtl w:val="0"/>
          <w:lang w:val="en-US"/>
        </w:rPr>
        <w:t>Oreophryne</w:t>
      </w:r>
      <w:r>
        <w:rPr>
          <w:rtl w:val="0"/>
          <w:lang w:val="en-US"/>
        </w:rPr>
        <w:t xml:space="preserve"> sensu lato was not available for this molecular diagnosis.</w:t>
      </w:r>
      <w:bookmarkEnd w:id="5"/>
    </w:p>
    <w:p>
      <w:pPr>
        <w:pStyle w:val="Heading 3"/>
      </w:pPr>
      <w:bookmarkStart w:name="X891284e0a0cb4c95d3f14f43be5136f71288feb" w:id="6"/>
      <w:r>
        <w:rPr>
          <w:rtl w:val="0"/>
          <w:lang w:val="en-US"/>
        </w:rPr>
        <w:t>Morphology, Behavior, and Geographic Distribution</w:t>
      </w:r>
    </w:p>
    <w:p>
      <w:pPr>
        <w:pStyle w:val="First Paragraph"/>
      </w:pPr>
      <w:r>
        <w:rPr>
          <w:rtl w:val="0"/>
          <w:lang w:val="en-US"/>
        </w:rPr>
        <w:t xml:space="preserve">We collected new morphological characters and reexamined traits compiled from the diagnosing literature , </w:t>
      </w:r>
      <w:r>
        <w:rPr>
          <w:rStyle w:val="Hyperlink.0"/>
        </w:rPr>
        <w:fldChar w:fldCharType="begin" w:fldLock="0"/>
      </w:r>
      <w:r>
        <w:rPr>
          <w:rStyle w:val="Hyperlink.0"/>
        </w:rPr>
        <w:instrText xml:space="preserve"> HYPERLINK \l "bookmark3" </w:instrText>
      </w:r>
      <w:r>
        <w:rPr>
          <w:rStyle w:val="Hyperlink.0"/>
        </w:rPr>
        <w:fldChar w:fldCharType="separate" w:fldLock="0"/>
      </w:r>
      <w:r>
        <w:rPr>
          <w:rStyle w:val="Hyperlink.0"/>
          <w:rtl w:val="0"/>
        </w:rPr>
        <w:t>character states defined in</w:t>
      </w:r>
      <w:r>
        <w:rPr>
          <w:rStyle w:val="Hyperlink.0"/>
          <w:rtl w:val="0"/>
        </w:rPr>
        <w:t> </w:t>
      </w:r>
      <w:r>
        <w:rPr>
          <w:rStyle w:val="Hyperlink.0"/>
          <w:rtl w:val="0"/>
        </w:rPr>
        <w:t>2</w:t>
      </w:r>
      <w:r>
        <w:rPr/>
        <w:fldChar w:fldCharType="end" w:fldLock="0"/>
      </w:r>
      <w:r>
        <w:rPr>
          <w:rtl w:val="0"/>
          <w:lang w:val="en-US"/>
        </w:rPr>
        <w:t xml:space="preserve"> for all named species of </w:t>
      </w:r>
      <w:r>
        <w:rPr>
          <w:i w:val="1"/>
          <w:iCs w:val="1"/>
          <w:rtl w:val="0"/>
          <w:lang w:val="en-US"/>
        </w:rPr>
        <w:t>Oreophryne</w:t>
      </w:r>
      <w:r>
        <w:rPr>
          <w:rtl w:val="0"/>
          <w:lang w:val="en-US"/>
        </w:rPr>
        <w:t xml:space="preserve"> in our phylogenetic dataset. Our sample included all species available in the collections of the Bishop Museum, Honolulu, Hawaii (BPBM): thirteen species of </w:t>
      </w:r>
      <w:r>
        <w:rPr>
          <w:rtl w:val="0"/>
          <w:lang w:val="en-US"/>
        </w:rPr>
        <w:t>“</w:t>
      </w:r>
      <w:r>
        <w:rPr>
          <w:rtl w:val="0"/>
          <w:lang w:val="en-US"/>
        </w:rPr>
        <w:t>Oreophryne A</w:t>
      </w:r>
      <w:r>
        <w:rPr>
          <w:rtl w:val="0"/>
          <w:lang w:val="en-US"/>
        </w:rPr>
        <w:t>”</w:t>
      </w:r>
      <w:r>
        <w:rPr>
          <w:rtl w:val="0"/>
          <w:lang w:val="en-US"/>
        </w:rPr>
        <w:t xml:space="preserve">, eight species </w:t>
      </w:r>
      <w:r>
        <w:rPr>
          <w:rtl w:val="0"/>
          <w:lang w:val="en-US"/>
        </w:rPr>
        <w:t>“</w:t>
      </w:r>
      <w:r>
        <w:rPr>
          <w:rtl w:val="0"/>
          <w:lang w:val="en-US"/>
        </w:rPr>
        <w:t>Oreophryne B</w:t>
      </w:r>
      <w:r>
        <w:rPr>
          <w:rtl w:val="0"/>
          <w:lang w:val="en-US"/>
        </w:rPr>
        <w:t xml:space="preserve">” </w:t>
      </w:r>
      <w:r>
        <w:rPr>
          <w:rtl w:val="0"/>
          <w:lang w:val="en-US"/>
        </w:rPr>
        <w:t>(</w:t>
      </w:r>
      <w:r>
        <w:rPr>
          <w:rStyle w:val="Hyperlink.0"/>
        </w:rPr>
        <w:fldChar w:fldCharType="begin" w:fldLock="0"/>
      </w:r>
      <w:r>
        <w:rPr>
          <w:rStyle w:val="Hyperlink.0"/>
        </w:rPr>
        <w:instrText xml:space="preserve"> HYPERLINK \l "bookmark4" </w:instrText>
      </w:r>
      <w:r>
        <w:rPr>
          <w:rStyle w:val="Hyperlink.0"/>
        </w:rPr>
        <w:fldChar w:fldCharType="separate" w:fldLock="0"/>
      </w:r>
      <w:r>
        <w:rPr>
          <w:rStyle w:val="Hyperlink.0"/>
          <w:rtl w:val="0"/>
        </w:rPr>
        <w:t>Table</w:t>
      </w:r>
      <w:r>
        <w:rPr>
          <w:rStyle w:val="Hyperlink.0"/>
          <w:rtl w:val="0"/>
        </w:rPr>
        <w:t> </w:t>
      </w:r>
      <w:r>
        <w:rPr>
          <w:rStyle w:val="Hyperlink.0"/>
          <w:rtl w:val="0"/>
        </w:rPr>
        <w:t>3</w:t>
      </w:r>
      <w:r>
        <w:rPr/>
        <w:fldChar w:fldCharType="end" w:fldLock="0"/>
      </w:r>
      <w:r>
        <w:rPr>
          <w:rtl w:val="0"/>
          <w:lang w:val="en-US"/>
        </w:rPr>
        <w:t xml:space="preserve">). Finger and toe pads were photographed and length and width of the toe tips were measured using ImageJ software. Trait information for the remaining species were gathered from the literature, six species of </w:t>
      </w:r>
      <w:r>
        <w:rPr>
          <w:rtl w:val="0"/>
          <w:lang w:val="en-US"/>
        </w:rPr>
        <w:t>“</w:t>
      </w:r>
      <w:r>
        <w:rPr>
          <w:rtl w:val="0"/>
          <w:lang w:val="en-US"/>
        </w:rPr>
        <w:t>Oreophryne A</w:t>
      </w:r>
      <w:r>
        <w:rPr>
          <w:rtl w:val="0"/>
          <w:lang w:val="en-US"/>
        </w:rPr>
        <w:t xml:space="preserve">” </w:t>
      </w:r>
      <w:r>
        <w:rPr>
          <w:rtl w:val="0"/>
          <w:lang w:val="en-US"/>
        </w:rPr>
        <w:t xml:space="preserve">and one </w:t>
      </w:r>
      <w:r>
        <w:rPr>
          <w:rtl w:val="0"/>
          <w:lang w:val="en-US"/>
        </w:rPr>
        <w:t>“</w:t>
      </w:r>
      <w:r>
        <w:rPr>
          <w:rtl w:val="0"/>
          <w:lang w:val="en-US"/>
        </w:rPr>
        <w:t>Oreophryne B</w:t>
      </w:r>
      <w:r>
        <w:rPr>
          <w:rtl w:val="0"/>
          <w:lang w:val="en-US"/>
        </w:rPr>
        <w:t>”</w:t>
      </w:r>
      <w:r>
        <w:rPr>
          <w:rtl w:val="0"/>
          <w:lang w:val="en-US"/>
        </w:rPr>
        <w:t xml:space="preserve">. In addition, we compiled information on call type from the literature and collection location from the respective collectors or the BPBM database (global positioning coordinates [GPS]; </w:t>
      </w:r>
      <w:r>
        <w:rPr>
          <w:rStyle w:val="Hyperlink.0"/>
        </w:rPr>
        <w:fldChar w:fldCharType="begin" w:fldLock="0"/>
      </w:r>
      <w:r>
        <w:rPr>
          <w:rStyle w:val="Hyperlink.0"/>
        </w:rPr>
        <w:instrText xml:space="preserve"> HYPERLINK \l "bookmark5" </w:instrText>
      </w:r>
      <w:r>
        <w:rPr>
          <w:rStyle w:val="Hyperlink.0"/>
        </w:rPr>
        <w:fldChar w:fldCharType="separate" w:fldLock="0"/>
      </w:r>
      <w:r>
        <w:rPr>
          <w:rStyle w:val="Hyperlink.0"/>
          <w:rtl w:val="0"/>
        </w:rPr>
        <w:t>Table</w:t>
      </w:r>
      <w:r>
        <w:rPr>
          <w:rStyle w:val="Hyperlink.0"/>
          <w:rtl w:val="0"/>
        </w:rPr>
        <w:t> </w:t>
      </w:r>
      <w:r>
        <w:rPr>
          <w:rStyle w:val="Hyperlink.0"/>
          <w:rtl w:val="0"/>
        </w:rPr>
        <w:t>3</w:t>
      </w:r>
      <w:r>
        <w:rPr/>
        <w:fldChar w:fldCharType="end" w:fldLock="0"/>
      </w:r>
      <w:r>
        <w:rPr>
          <w:rtl w:val="0"/>
          <w:lang w:val="en-US"/>
        </w:rPr>
        <w:t>). We examined the ability of morphological and behavioral characters to provide a diagnosis to the genus-level clade consistent with molecular phylogenetics.</w:t>
      </w:r>
    </w:p>
    <w:p>
      <w:pPr>
        <w:pStyle w:val="First Paragraph"/>
        <w:widowControl w:val="0"/>
        <w:spacing w:line="240" w:lineRule="auto"/>
      </w:pPr>
    </w:p>
    <w:p>
      <w:pPr>
        <w:pStyle w:val="Heading 2"/>
      </w:pPr>
      <w:bookmarkStart w:name="nomenclature" w:id="7"/>
      <w:r>
        <w:rPr>
          <w:rtl w:val="0"/>
          <w:lang w:val="en-US"/>
        </w:rPr>
        <w:t>Nomenclature</w:t>
      </w:r>
    </w:p>
    <w:p>
      <w:pPr>
        <w:pStyle w:val="First Paragraph"/>
      </w:pPr>
      <w:r>
        <w:rPr>
          <w:rtl w:val="0"/>
          <w:lang w:val="en-US"/>
        </w:rPr>
        <w:t xml:space="preserve">We conducted a comprehensive taxonomic literature review of diagnoses for all species known to belong to the clades </w:t>
      </w:r>
      <w:r>
        <w:rPr>
          <w:rtl w:val="0"/>
          <w:lang w:val="en-US"/>
        </w:rPr>
        <w:t>“</w:t>
      </w:r>
      <w:r>
        <w:rPr>
          <w:rtl w:val="0"/>
          <w:lang w:val="en-US"/>
        </w:rPr>
        <w:t>Oreophryne A</w:t>
      </w:r>
      <w:r>
        <w:rPr>
          <w:rtl w:val="0"/>
          <w:lang w:val="en-US"/>
        </w:rPr>
        <w:t xml:space="preserve">” </w:t>
      </w:r>
      <w:r>
        <w:rPr>
          <w:rtl w:val="0"/>
          <w:lang w:val="en-US"/>
        </w:rPr>
        <w:t xml:space="preserve">and </w:t>
      </w:r>
      <w:r>
        <w:rPr>
          <w:rtl w:val="0"/>
          <w:lang w:val="en-US"/>
        </w:rPr>
        <w:t>“</w:t>
      </w:r>
      <w:r>
        <w:rPr>
          <w:rtl w:val="0"/>
          <w:lang w:val="en-US"/>
        </w:rPr>
        <w:t>Oreophryne B</w:t>
      </w:r>
      <w:r>
        <w:rPr>
          <w:rtl w:val="0"/>
          <w:lang w:val="en-US"/>
        </w:rPr>
        <w:t xml:space="preserve">” </w:t>
      </w:r>
      <w:r>
        <w:rPr>
          <w:rtl w:val="0"/>
          <w:lang w:val="en-US"/>
        </w:rPr>
        <w:t xml:space="preserve">(Hill </w:t>
      </w:r>
      <w:r>
        <w:rPr>
          <w:i w:val="1"/>
          <w:iCs w:val="1"/>
          <w:rtl w:val="0"/>
          <w:lang w:val="en-US"/>
        </w:rPr>
        <w:t>et al.</w:t>
      </w:r>
      <w:r>
        <w:rPr>
          <w:rtl w:val="0"/>
          <w:lang w:val="en-US"/>
        </w:rPr>
        <w:t xml:space="preserve">, 2022). We applied the ICZN code (Zoological Nomenclature </w:t>
      </w:r>
      <w:r>
        <w:rPr>
          <w:i w:val="1"/>
          <w:iCs w:val="1"/>
          <w:rtl w:val="0"/>
          <w:lang w:val="en-US"/>
        </w:rPr>
        <w:t>et al.</w:t>
      </w:r>
      <w:r>
        <w:rPr>
          <w:rtl w:val="0"/>
          <w:lang w:val="en-US"/>
        </w:rPr>
        <w:t xml:space="preserve">, 1999) as well as the Phylocode (De Queiroz &amp; Cantino, 2020). We support the nascent effort to assign indigenous names in taxonomy whenever possible (e.g., Gillman &amp; Wright, 2020). One of us (B. Iova) is a local indigenous language expert, and provided guidance in proposing the novel genus name, </w:t>
      </w:r>
      <w:r>
        <w:rPr>
          <w:i w:val="1"/>
          <w:iCs w:val="1"/>
          <w:rtl w:val="0"/>
          <w:lang w:val="en-US"/>
        </w:rPr>
        <w:t>Auparoparo</w:t>
      </w:r>
      <w:r>
        <w:rPr>
          <w:rtl w:val="0"/>
          <w:lang w:val="en-US"/>
        </w:rPr>
        <w:t xml:space="preserve">, meaning </w:t>
      </w:r>
      <w:r>
        <w:rPr>
          <w:rtl w:val="0"/>
          <w:lang w:val="en-US"/>
        </w:rPr>
        <w:t>“</w:t>
      </w:r>
      <w:r>
        <w:rPr>
          <w:rtl w:val="0"/>
          <w:lang w:val="en-US"/>
        </w:rPr>
        <w:t>tree frog</w:t>
      </w:r>
      <w:r>
        <w:rPr>
          <w:rtl w:val="0"/>
          <w:lang w:val="en-US"/>
        </w:rPr>
        <w:t xml:space="preserve">” </w:t>
      </w:r>
      <w:r>
        <w:rPr>
          <w:rtl w:val="0"/>
          <w:lang w:val="en-US"/>
        </w:rPr>
        <w:t xml:space="preserve">in Motu, a regional language, for </w:t>
      </w:r>
      <w:r>
        <w:rPr>
          <w:i w:val="1"/>
          <w:iCs w:val="1"/>
          <w:rtl w:val="0"/>
          <w:lang w:val="en-US"/>
        </w:rPr>
        <w:t>Oreophryne</w:t>
      </w:r>
      <w:r>
        <w:rPr>
          <w:rtl w:val="0"/>
          <w:lang w:val="en-US"/>
        </w:rPr>
        <w:t xml:space="preserve"> “</w:t>
      </w:r>
      <w:r>
        <w:rPr>
          <w:rtl w:val="0"/>
          <w:lang w:val="en-US"/>
        </w:rPr>
        <w:t>B</w:t>
      </w:r>
      <w:r>
        <w:rPr>
          <w:rtl w:val="0"/>
          <w:lang w:val="en-US"/>
        </w:rPr>
        <w:t>”</w:t>
      </w:r>
      <w:r>
        <w:rPr>
          <w:rtl w:val="0"/>
          <w:lang w:val="en-US"/>
        </w:rPr>
        <w:t>.</w:t>
      </w:r>
      <w:bookmarkEnd w:id="7"/>
      <w:bookmarkEnd w:id="6"/>
    </w:p>
    <w:p>
      <w:pPr>
        <w:pStyle w:val="Heading 2"/>
      </w:pPr>
      <w:bookmarkStart w:name="phylogeneticreconstruction" w:id="8"/>
      <w:r>
        <w:rPr>
          <w:rtl w:val="0"/>
          <w:lang w:val="en-US"/>
        </w:rPr>
        <w:t>Phylogenetic Reconstruction</w:t>
      </w:r>
    </w:p>
    <w:p>
      <w:pPr>
        <w:pStyle w:val="First Paragraph"/>
      </w:pPr>
      <w:r>
        <w:rPr>
          <w:rtl w:val="0"/>
          <w:lang w:val="en-US"/>
        </w:rPr>
        <w:t xml:space="preserve">We used Partitionfinder in IQTREE2 to find the best-fit evolutionary model followed by Maximum Likelihood (ML) phylogenetic reconstruction (Lanfear </w:t>
      </w:r>
      <w:r>
        <w:rPr>
          <w:i w:val="1"/>
          <w:iCs w:val="1"/>
          <w:rtl w:val="0"/>
          <w:lang w:val="en-US"/>
        </w:rPr>
        <w:t>et al.</w:t>
      </w:r>
      <w:r>
        <w:rPr>
          <w:rtl w:val="0"/>
          <w:lang w:val="en-US"/>
        </w:rPr>
        <w:t xml:space="preserve">, 2012; Minh </w:t>
      </w:r>
      <w:r>
        <w:rPr>
          <w:i w:val="1"/>
          <w:iCs w:val="1"/>
          <w:rtl w:val="0"/>
          <w:lang w:val="en-US"/>
        </w:rPr>
        <w:t>et al.</w:t>
      </w:r>
      <w:r>
        <w:rPr>
          <w:rtl w:val="0"/>
          <w:lang w:val="en-US"/>
        </w:rPr>
        <w:t>, 2020). We tested models partitioned by both locus and codon versus by loci only (15 vs.</w:t>
      </w:r>
      <w:r>
        <w:rPr>
          <w:rtl w:val="0"/>
          <w:lang w:val="en-US"/>
        </w:rPr>
        <w:t> </w:t>
      </w:r>
      <w:r>
        <w:rPr>
          <w:rtl w:val="0"/>
          <w:lang w:val="en-US"/>
        </w:rPr>
        <w:t>5 partition scheme), and found that the locus and codon model was superior by the Akaike Information Criterion. Nodal support values for the ML tree were inferred using 2000 bootstrap replicates.</w:t>
      </w:r>
      <w:bookmarkEnd w:id="8"/>
    </w:p>
    <w:p>
      <w:pPr>
        <w:pStyle w:val="Heading 2"/>
      </w:pPr>
      <w:bookmarkStart w:name="phylogeneticdefinition" w:id="9"/>
      <w:r>
        <w:rPr>
          <w:rtl w:val="0"/>
          <w:lang w:val="en-US"/>
        </w:rPr>
        <w:t>Phylogenetic Definition</w:t>
      </w:r>
    </w:p>
    <w:p>
      <w:pPr>
        <w:pStyle w:val="First Paragraph"/>
      </w:pPr>
      <w:r>
        <w:rPr>
          <w:rtl w:val="0"/>
          <w:lang w:val="en-US"/>
        </w:rPr>
        <w:t>We use a maximum crown-clade definition under the PhyloCode (De Queiroz &amp; Gauthier, 1990, 1992; De Queiroz &amp; Cantino, 2020), specifically, the largest crown clade originating with the most recent common ancestor of the reference species for the clade (e.g., the type species of the genus), and all extant species of the clade more recently than they do with reference species of other clades (i.e., in this study, other generic-level clades). This definition is robust to uncertainty in basal relationships such as in the case of adaptive radiations with short branch lengths along the backbone as in Asterophryinae, as well as being robust to identification of new species and new clades.</w:t>
      </w:r>
      <w:bookmarkEnd w:id="9"/>
    </w:p>
    <w:p>
      <w:pPr>
        <w:pStyle w:val="Heading 2"/>
      </w:pPr>
      <w:bookmarkStart w:name="Xd1f882dcb3586d0cf347d8ecffd42cfce6c9b61" w:id="10"/>
      <w:r>
        <w:rPr>
          <w:rtl w:val="0"/>
          <w:lang w:val="en-US"/>
        </w:rPr>
        <w:t>Analyses, Visualization, and Data Availability</w:t>
      </w:r>
    </w:p>
    <w:p>
      <w:pPr>
        <w:pStyle w:val="First Paragraph"/>
      </w:pPr>
      <w:r>
        <w:rPr>
          <w:rtl w:val="0"/>
          <w:lang w:val="en-US"/>
        </w:rPr>
        <w:t xml:space="preserve">All analyses were conducted and graphics produced in the R Statistical Computing Environment unless noted below (R Core Team, 2024). Initial DNA sequence alignment was conducted using MUSCLE (Edgar, 2004) with manual adjustments in Mesquite (Maddison &amp; Maddison, 2023). Phylogenetic reconstruction was conducted using the IQTREE2 suite of software (Lanfear </w:t>
      </w:r>
      <w:r>
        <w:rPr>
          <w:i w:val="1"/>
          <w:iCs w:val="1"/>
          <w:rtl w:val="0"/>
          <w:lang w:val="en-US"/>
        </w:rPr>
        <w:t>et al.</w:t>
      </w:r>
      <w:r>
        <w:rPr>
          <w:rtl w:val="0"/>
          <w:lang w:val="en-US"/>
        </w:rPr>
        <w:t xml:space="preserve">, 2012; Minh </w:t>
      </w:r>
      <w:r>
        <w:rPr>
          <w:i w:val="1"/>
          <w:iCs w:val="1"/>
          <w:rtl w:val="0"/>
          <w:lang w:val="en-US"/>
        </w:rPr>
        <w:t>et al.</w:t>
      </w:r>
      <w:r>
        <w:rPr>
          <w:rtl w:val="0"/>
          <w:lang w:val="en-US"/>
        </w:rPr>
        <w:t>, 2020).</w:t>
      </w:r>
    </w:p>
    <w:p>
      <w:pPr>
        <w:pStyle w:val="Body Text"/>
      </w:pPr>
      <w:r>
        <w:rPr>
          <w:rtl w:val="0"/>
          <w:lang w:val="en-US"/>
        </w:rPr>
        <w:t xml:space="preserve">The known ranges of </w:t>
      </w:r>
      <w:r>
        <w:rPr>
          <w:i w:val="1"/>
          <w:iCs w:val="1"/>
          <w:rtl w:val="0"/>
          <w:lang w:val="en-US"/>
        </w:rPr>
        <w:t>Oreophryne</w:t>
      </w:r>
      <w:r>
        <w:rPr>
          <w:rtl w:val="0"/>
          <w:lang w:val="en-US"/>
        </w:rPr>
        <w:t xml:space="preserve"> sensu lato were downloaded as shape files from the IUCN (2025) redlist database, and sites from collection locations for </w:t>
      </w:r>
      <w:r>
        <w:rPr>
          <w:i w:val="1"/>
          <w:iCs w:val="1"/>
          <w:rtl w:val="0"/>
          <w:lang w:val="en-US"/>
        </w:rPr>
        <w:t>Oreophryne</w:t>
      </w:r>
      <w:r>
        <w:rPr>
          <w:rtl w:val="0"/>
          <w:lang w:val="en-US"/>
        </w:rPr>
        <w:t xml:space="preserve"> and </w:t>
      </w:r>
      <w:r>
        <w:rPr>
          <w:i w:val="1"/>
          <w:iCs w:val="1"/>
          <w:rtl w:val="0"/>
          <w:lang w:val="en-US"/>
        </w:rPr>
        <w:t>Auparoparo</w:t>
      </w:r>
      <w:r>
        <w:rPr>
          <w:rtl w:val="0"/>
          <w:lang w:val="en-US"/>
        </w:rPr>
        <w:t xml:space="preserve"> were mapped using the sf and ggplot2 packages (Wickham, 2016; Pebesma, 2018), overlaid on a basemap created using rnaturalearth, grid, and ggspatial packages (Dunnington, 2023; Massicotte &amp; South, 2023). Tree graphics were produced with the ggtree package Yu (2020) supplemented by ggplot2 (Wickham, 2016). All data, alignments, and code to reproduce analyses are available in the public repository </w:t>
      </w:r>
      <w:r>
        <w:rPr>
          <w:rtl w:val="0"/>
          <w:lang w:val="en-US"/>
        </w:rPr>
        <w:t>…</w:t>
      </w:r>
      <w:bookmarkEnd w:id="10"/>
    </w:p>
    <w:p>
      <w:pPr>
        <w:pStyle w:val="Heading 1"/>
      </w:pPr>
      <w:bookmarkStart w:name="results" w:id="11"/>
      <w:r>
        <w:rPr>
          <w:rFonts w:cs="Arial Unicode MS" w:eastAsia="Arial Unicode MS"/>
          <w:rtl w:val="0"/>
          <w:lang w:val="en-US"/>
        </w:rPr>
        <w:t>Results</w:t>
      </w:r>
      <w:bookmarkEnd w:id="11"/>
    </w:p>
    <w:p>
      <w:pPr>
        <w:pStyle w:val="Heading 2"/>
      </w:pPr>
      <w:bookmarkStart w:name="phylogenyandphylogenetictaxonomy" w:id="12"/>
      <w:r>
        <w:rPr>
          <w:rtl w:val="0"/>
          <w:lang w:val="en-US"/>
        </w:rPr>
        <w:t>Phylogeny and Phylogenetic Taxonomy</w:t>
      </w:r>
    </w:p>
    <w:p>
      <w:pPr>
        <w:pStyle w:val="First Paragraph"/>
      </w:pPr>
      <w:r>
        <w:rPr>
          <w:rtl w:val="0"/>
          <w:lang w:val="en-US"/>
        </w:rPr>
        <w:t>For our subfamily-level phylogeny, a partition scheme including codon as well as locus resulted in an improvment of fit by 3,127 AIC units (evolutionary model partitioned by locus and codon, 15-partitions: AIC of 155,492, versus partitioned by locus only, 5 partitions: AIC of 158,619). Unless otherwise noted, all phylogenetic reconstructions used the 15-partition scheme identified as best-fit by IQTREE2.</w:t>
      </w:r>
    </w:p>
    <w:p>
      <w:pPr>
        <w:pStyle w:val="Body Text"/>
      </w:pPr>
      <w:r>
        <w:rPr>
          <w:rtl w:val="0"/>
          <w:lang w:val="en-US"/>
        </w:rPr>
        <w:t xml:space="preserve">We recovered a maximum likelihood topology that confirms that </w:t>
      </w:r>
      <w:r>
        <w:rPr>
          <w:i w:val="1"/>
          <w:iCs w:val="1"/>
          <w:rtl w:val="0"/>
          <w:lang w:val="en-US"/>
        </w:rPr>
        <w:t>Oreophryne</w:t>
      </w:r>
      <w:r>
        <w:rPr>
          <w:rtl w:val="0"/>
          <w:lang w:val="en-US"/>
        </w:rPr>
        <w:t xml:space="preserve"> sensu lato is polyphyletic, with species falling into two independently-evolved, reciprocally monophyletic, highly-supported clades </w:t>
      </w:r>
      <w:r>
        <w:rPr>
          <w:rStyle w:val="Hyperlink.0"/>
        </w:rPr>
        <w:fldChar w:fldCharType="begin" w:fldLock="0"/>
      </w:r>
      <w:r>
        <w:rPr>
          <w:rStyle w:val="Hyperlink.0"/>
        </w:rPr>
        <w:instrText xml:space="preserve"> HYPERLINK \l "bookmark6" </w:instrText>
      </w:r>
      <w:r>
        <w:rPr>
          <w:rStyle w:val="Hyperlink.0"/>
        </w:rPr>
        <w:fldChar w:fldCharType="separate" w:fldLock="0"/>
      </w:r>
      <w:r>
        <w:rPr>
          <w:rStyle w:val="Hyperlink.0"/>
          <w:rtl w:val="0"/>
        </w:rPr>
        <w:t>Figure</w:t>
      </w:r>
      <w:r>
        <w:rPr>
          <w:rStyle w:val="Hyperlink.0"/>
          <w:rtl w:val="0"/>
        </w:rPr>
        <w:t> </w:t>
      </w:r>
      <w:r>
        <w:rPr>
          <w:rStyle w:val="Hyperlink.0"/>
          <w:rtl w:val="0"/>
        </w:rPr>
        <w:t>2</w:t>
      </w:r>
      <w:r>
        <w:rPr/>
        <w:fldChar w:fldCharType="end" w:fldLock="0"/>
      </w:r>
      <w:r>
        <w:rPr>
          <w:rtl w:val="0"/>
          <w:lang w:val="en-US"/>
        </w:rPr>
        <w:t>. Nearly all nodes are moderately or highly supported, with most of the weakly supported nodes falling along the backbone where there are very short branch lengths as characteristic of an adaptive radiation.</w:t>
      </w:r>
    </w:p>
    <w:p>
      <w:pPr>
        <w:pStyle w:val="Body Text"/>
      </w:pPr>
      <w:r>
        <w:rPr>
          <w:rtl w:val="0"/>
          <w:lang w:val="en-US"/>
        </w:rPr>
        <w:t xml:space="preserve">Furthermore, these findings demonstrate that the clade descended from node A should retain the converted clade name (CCN) </w:t>
      </w:r>
      <w:r>
        <w:rPr>
          <w:i w:val="1"/>
          <w:iCs w:val="1"/>
          <w:rtl w:val="0"/>
          <w:lang w:val="en-US"/>
        </w:rPr>
        <w:t>Oreophryne</w:t>
      </w:r>
      <w:r>
        <w:rPr>
          <w:rtl w:val="0"/>
          <w:lang w:val="en-US"/>
        </w:rPr>
        <w:t xml:space="preserve">, as the type species, </w:t>
      </w:r>
      <w:r>
        <w:rPr>
          <w:i w:val="1"/>
          <w:iCs w:val="1"/>
          <w:rtl w:val="0"/>
          <w:lang w:val="en-US"/>
        </w:rPr>
        <w:t>O. senckenbergiana</w:t>
      </w:r>
      <w:r>
        <w:rPr>
          <w:rtl w:val="0"/>
          <w:lang w:val="en-US"/>
        </w:rPr>
        <w:t xml:space="preserve">, from North Maluku Island, Indonesia, is situated within </w:t>
      </w:r>
      <w:r>
        <w:rPr>
          <w:i w:val="1"/>
          <w:iCs w:val="1"/>
          <w:rtl w:val="0"/>
          <w:lang w:val="en-US"/>
        </w:rPr>
        <w:t>Oreophryne</w:t>
      </w:r>
      <w:r>
        <w:rPr>
          <w:rtl w:val="0"/>
          <w:lang w:val="en-US"/>
        </w:rPr>
        <w:t xml:space="preserve"> with high support (</w:t>
      </w:r>
      <w:r>
        <w:rPr>
          <w:rStyle w:val="Hyperlink.0"/>
        </w:rPr>
        <w:fldChar w:fldCharType="begin" w:fldLock="0"/>
      </w:r>
      <w:r>
        <w:rPr>
          <w:rStyle w:val="Hyperlink.0"/>
        </w:rPr>
        <w:instrText xml:space="preserve"> HYPERLINK \l "bookmark7" </w:instrText>
      </w:r>
      <w:r>
        <w:rPr>
          <w:rStyle w:val="Hyperlink.0"/>
        </w:rPr>
        <w:fldChar w:fldCharType="separate" w:fldLock="0"/>
      </w:r>
      <w:r>
        <w:rPr>
          <w:rStyle w:val="Hyperlink.0"/>
          <w:rtl w:val="0"/>
        </w:rPr>
        <w:t>Figure</w:t>
      </w:r>
      <w:r>
        <w:rPr>
          <w:rStyle w:val="Hyperlink.0"/>
          <w:rtl w:val="0"/>
        </w:rPr>
        <w:t> </w:t>
      </w:r>
      <w:r>
        <w:rPr>
          <w:rStyle w:val="Hyperlink.0"/>
          <w:rtl w:val="0"/>
        </w:rPr>
        <w:t>2</w:t>
      </w:r>
      <w:r>
        <w:rPr/>
        <w:fldChar w:fldCharType="end" w:fldLock="0"/>
      </w:r>
      <w:r>
        <w:rPr>
          <w:rtl w:val="0"/>
          <w:lang w:val="en-US"/>
        </w:rPr>
        <w:t xml:space="preserve">). We propose the new clade name (NCN) </w:t>
      </w:r>
      <w:r>
        <w:rPr>
          <w:i w:val="1"/>
          <w:iCs w:val="1"/>
          <w:rtl w:val="0"/>
          <w:lang w:val="en-US"/>
        </w:rPr>
        <w:t>Auparoparo</w:t>
      </w:r>
      <w:r>
        <w:rPr>
          <w:rtl w:val="0"/>
          <w:lang w:val="en-US"/>
        </w:rPr>
        <w:t xml:space="preserve"> for the node descended from node B. </w:t>
      </w:r>
      <w:r>
        <w:rPr>
          <w:i w:val="1"/>
          <w:iCs w:val="1"/>
          <w:rtl w:val="0"/>
          <w:lang w:val="en-US"/>
        </w:rPr>
        <w:t>Oreophryne</w:t>
      </w:r>
      <w:r>
        <w:rPr>
          <w:rtl w:val="0"/>
          <w:lang w:val="en-US"/>
        </w:rPr>
        <w:t xml:space="preserve"> is the oldest clade in the Papuan subfamily, with genera </w:t>
      </w:r>
      <w:r>
        <w:rPr>
          <w:i w:val="1"/>
          <w:iCs w:val="1"/>
          <w:rtl w:val="0"/>
          <w:lang w:val="en-US"/>
        </w:rPr>
        <w:t>Cophixalus</w:t>
      </w:r>
      <w:r>
        <w:rPr>
          <w:rtl w:val="0"/>
          <w:lang w:val="en-US"/>
        </w:rPr>
        <w:t xml:space="preserve"> and </w:t>
      </w:r>
      <w:r>
        <w:rPr>
          <w:i w:val="1"/>
          <w:iCs w:val="1"/>
          <w:rtl w:val="0"/>
          <w:lang w:val="en-US"/>
        </w:rPr>
        <w:t>Paedophryne</w:t>
      </w:r>
      <w:r>
        <w:rPr>
          <w:rtl w:val="0"/>
          <w:lang w:val="en-US"/>
        </w:rPr>
        <w:t xml:space="preserve"> arising before </w:t>
      </w:r>
      <w:r>
        <w:rPr>
          <w:i w:val="1"/>
          <w:iCs w:val="1"/>
          <w:rtl w:val="0"/>
          <w:lang w:val="en-US"/>
        </w:rPr>
        <w:t>Auparoparo</w:t>
      </w:r>
      <w:r>
        <w:rPr>
          <w:rtl w:val="0"/>
          <w:lang w:val="en-US"/>
        </w:rPr>
        <w:t>, which split from the remaining genera of Asterophryinae.</w:t>
      </w:r>
    </w:p>
    <w:p>
      <w:pPr>
        <w:pStyle w:val="Body"/>
        <w:widowControl w:val="0"/>
      </w:pPr>
    </w:p>
    <w:p>
      <w:pPr>
        <w:pStyle w:val="Heading 2"/>
      </w:pPr>
      <w:bookmarkStart w:name="morphologybehaviorandrankedtaxonomy" w:id="13"/>
      <w:r>
        <w:rPr>
          <w:rtl w:val="0"/>
          <w:lang w:val="en-US"/>
        </w:rPr>
        <w:t>Morphology, Behavior, and Ranked Taxonomy</w:t>
      </w:r>
    </w:p>
    <w:p>
      <w:pPr>
        <w:pStyle w:val="First Paragraph"/>
      </w:pPr>
      <w:r>
        <w:rPr>
          <w:rtl w:val="0"/>
          <w:lang w:val="en-US"/>
        </w:rPr>
        <w:t xml:space="preserve">We find no morphological synapomorphies that distinguish </w:t>
      </w:r>
      <w:r>
        <w:rPr>
          <w:i w:val="1"/>
          <w:iCs w:val="1"/>
          <w:rtl w:val="0"/>
          <w:lang w:val="en-US"/>
        </w:rPr>
        <w:t>Auparoparo</w:t>
      </w:r>
      <w:r>
        <w:rPr>
          <w:rtl w:val="0"/>
          <w:lang w:val="en-US"/>
        </w:rPr>
        <w:t xml:space="preserve"> from </w:t>
      </w:r>
      <w:r>
        <w:rPr>
          <w:i w:val="1"/>
          <w:iCs w:val="1"/>
          <w:rtl w:val="0"/>
          <w:lang w:val="en-US"/>
        </w:rPr>
        <w:t>Oreophryne</w:t>
      </w:r>
      <w:r>
        <w:rPr>
          <w:rtl w:val="0"/>
          <w:lang w:val="en-US"/>
        </w:rPr>
        <w:t xml:space="preserve">. </w:t>
      </w:r>
      <w:r>
        <w:rPr>
          <w:i w:val="1"/>
          <w:iCs w:val="1"/>
          <w:rtl w:val="0"/>
          <w:lang w:val="en-US"/>
        </w:rPr>
        <w:t>Oreophryne</w:t>
      </w:r>
      <w:r>
        <w:rPr>
          <w:rtl w:val="0"/>
          <w:lang w:val="en-US"/>
        </w:rPr>
        <w:t xml:space="preserve"> sensu lato is diagnosed by characters of the pectoral girdle: posessing highly reduced, curved procoracoid cartilages and clavicles, and lacking an omosternum (Parker, 1934; Zweifel, 2003). We found that this suite of characters are present in both </w:t>
      </w:r>
      <w:r>
        <w:rPr>
          <w:i w:val="1"/>
          <w:iCs w:val="1"/>
          <w:rtl w:val="0"/>
          <w:lang w:val="en-US"/>
        </w:rPr>
        <w:t>Oreophryne</w:t>
      </w:r>
      <w:r>
        <w:rPr>
          <w:rtl w:val="0"/>
          <w:lang w:val="en-US"/>
        </w:rPr>
        <w:t xml:space="preserve"> and </w:t>
      </w:r>
      <w:r>
        <w:rPr>
          <w:i w:val="1"/>
          <w:iCs w:val="1"/>
          <w:rtl w:val="0"/>
          <w:lang w:val="en-US"/>
        </w:rPr>
        <w:t>Auparoparo</w:t>
      </w:r>
      <w:r>
        <w:rPr>
          <w:rtl w:val="0"/>
          <w:lang w:val="en-US"/>
        </w:rPr>
        <w:t xml:space="preserve">, and therefore is not diagnostic for neither </w:t>
      </w:r>
      <w:r>
        <w:rPr>
          <w:i w:val="1"/>
          <w:iCs w:val="1"/>
          <w:rtl w:val="0"/>
          <w:lang w:val="en-US"/>
        </w:rPr>
        <w:t>Oreophryne</w:t>
      </w:r>
      <w:r>
        <w:rPr>
          <w:rtl w:val="0"/>
          <w:lang w:val="en-US"/>
        </w:rPr>
        <w:t xml:space="preserve"> nor </w:t>
      </w:r>
      <w:r>
        <w:rPr>
          <w:i w:val="1"/>
          <w:iCs w:val="1"/>
          <w:rtl w:val="0"/>
          <w:lang w:val="en-US"/>
        </w:rPr>
        <w:t>Auparoparo</w:t>
      </w:r>
      <w:r>
        <w:rPr>
          <w:rtl w:val="0"/>
          <w:lang w:val="en-US"/>
        </w:rPr>
        <w:t xml:space="preserve"> (</w:t>
      </w:r>
      <w:r>
        <w:rPr>
          <w:rStyle w:val="Hyperlink.0"/>
        </w:rPr>
        <w:fldChar w:fldCharType="begin" w:fldLock="0"/>
      </w:r>
      <w:r>
        <w:rPr>
          <w:rStyle w:val="Hyperlink.0"/>
        </w:rPr>
        <w:instrText xml:space="preserve"> HYPERLINK \l "bookmark8" </w:instrText>
      </w:r>
      <w:r>
        <w:rPr>
          <w:rStyle w:val="Hyperlink.0"/>
        </w:rPr>
        <w:fldChar w:fldCharType="separate" w:fldLock="0"/>
      </w:r>
      <w:r>
        <w:rPr>
          <w:rStyle w:val="Hyperlink.0"/>
          <w:rtl w:val="0"/>
        </w:rPr>
        <w:t>Table</w:t>
      </w:r>
      <w:r>
        <w:rPr>
          <w:rStyle w:val="Hyperlink.0"/>
          <w:rtl w:val="0"/>
        </w:rPr>
        <w:t> </w:t>
      </w:r>
      <w:r>
        <w:rPr>
          <w:rStyle w:val="Hyperlink.0"/>
          <w:rtl w:val="0"/>
        </w:rPr>
        <w:t>3</w:t>
      </w:r>
      <w:r>
        <w:rPr/>
        <w:fldChar w:fldCharType="end" w:fldLock="0"/>
      </w:r>
      <w:r>
        <w:rPr>
          <w:rtl w:val="0"/>
          <w:lang w:val="en-US"/>
        </w:rPr>
        <w:t>).</w:t>
      </w:r>
    </w:p>
    <w:p>
      <w:pPr>
        <w:pStyle w:val="Body Text"/>
      </w:pPr>
      <w:r>
        <w:rPr>
          <w:rtl w:val="0"/>
          <w:lang w:val="en-US"/>
        </w:rPr>
        <w:t>Two traits imperfectly segregate between the clades, relative finger and toe pad widths and call type (</w:t>
      </w:r>
      <w:r>
        <w:rPr>
          <w:rStyle w:val="Hyperlink.0"/>
        </w:rPr>
        <w:fldChar w:fldCharType="begin" w:fldLock="0"/>
      </w:r>
      <w:r>
        <w:rPr>
          <w:rStyle w:val="Hyperlink.0"/>
        </w:rPr>
        <w:instrText xml:space="preserve"> HYPERLINK \l "bookmark9" </w:instrText>
      </w:r>
      <w:r>
        <w:rPr>
          <w:rStyle w:val="Hyperlink.0"/>
        </w:rPr>
        <w:fldChar w:fldCharType="separate" w:fldLock="0"/>
      </w:r>
      <w:r>
        <w:rPr>
          <w:rStyle w:val="Hyperlink.0"/>
          <w:rtl w:val="0"/>
        </w:rPr>
        <w:t>Table</w:t>
      </w:r>
      <w:r>
        <w:rPr>
          <w:rStyle w:val="Hyperlink.0"/>
          <w:rtl w:val="0"/>
        </w:rPr>
        <w:t> </w:t>
      </w:r>
      <w:r>
        <w:rPr>
          <w:rStyle w:val="Hyperlink.0"/>
          <w:rtl w:val="0"/>
        </w:rPr>
        <w:t>3</w:t>
      </w:r>
      <w:r>
        <w:rPr/>
        <w:fldChar w:fldCharType="end" w:fldLock="0"/>
      </w:r>
      <w:r>
        <w:rPr>
          <w:rtl w:val="0"/>
          <w:lang w:val="en-US"/>
        </w:rPr>
        <w:t xml:space="preserve">), which may assist in preliminary identification. </w:t>
      </w:r>
      <w:r>
        <w:rPr>
          <w:i w:val="1"/>
          <w:iCs w:val="1"/>
          <w:rtl w:val="0"/>
          <w:lang w:val="en-US"/>
        </w:rPr>
        <w:t>Oreophryne</w:t>
      </w:r>
      <w:r>
        <w:rPr>
          <w:rtl w:val="0"/>
          <w:lang w:val="en-US"/>
        </w:rPr>
        <w:t xml:space="preserve"> is an arboreal clade with expanded digital pads of roughly equal width between the fingers and toes, whereas </w:t>
      </w:r>
      <w:r>
        <w:rPr>
          <w:i w:val="1"/>
          <w:iCs w:val="1"/>
          <w:rtl w:val="0"/>
          <w:lang w:val="en-US"/>
        </w:rPr>
        <w:t>Auparoparo</w:t>
      </w:r>
      <w:r>
        <w:rPr>
          <w:rtl w:val="0"/>
          <w:lang w:val="en-US"/>
        </w:rPr>
        <w:t xml:space="preserve"> have visibly larger finger pads, with finger pads roughly 20-30% wider than toes. Both </w:t>
      </w:r>
      <w:r>
        <w:rPr>
          <w:i w:val="1"/>
          <w:iCs w:val="1"/>
          <w:rtl w:val="0"/>
          <w:lang w:val="en-US"/>
        </w:rPr>
        <w:t>Oreophryne</w:t>
      </w:r>
      <w:r>
        <w:rPr>
          <w:rtl w:val="0"/>
          <w:lang w:val="en-US"/>
        </w:rPr>
        <w:t xml:space="preserve"> and </w:t>
      </w:r>
      <w:r>
        <w:rPr>
          <w:i w:val="1"/>
          <w:iCs w:val="1"/>
          <w:rtl w:val="0"/>
          <w:lang w:val="en-US"/>
        </w:rPr>
        <w:t>Auparoparo</w:t>
      </w:r>
      <w:r>
        <w:rPr>
          <w:rtl w:val="0"/>
          <w:lang w:val="en-US"/>
        </w:rPr>
        <w:t xml:space="preserve"> use a variety of call types, with </w:t>
      </w:r>
      <w:r>
        <w:rPr>
          <w:rtl w:val="0"/>
          <w:lang w:val="en-US"/>
        </w:rPr>
        <w:t>“</w:t>
      </w:r>
      <w:r>
        <w:rPr>
          <w:rtl w:val="0"/>
          <w:lang w:val="en-US"/>
        </w:rPr>
        <w:t>honks</w:t>
      </w:r>
      <w:r>
        <w:rPr>
          <w:rtl w:val="0"/>
          <w:lang w:val="en-US"/>
        </w:rPr>
        <w:t xml:space="preserve">” </w:t>
      </w:r>
      <w:r>
        <w:rPr>
          <w:rtl w:val="0"/>
          <w:lang w:val="en-US"/>
        </w:rPr>
        <w:t xml:space="preserve">or </w:t>
      </w:r>
      <w:r>
        <w:rPr>
          <w:rtl w:val="0"/>
          <w:lang w:val="en-US"/>
        </w:rPr>
        <w:t>“</w:t>
      </w:r>
      <w:r>
        <w:rPr>
          <w:rtl w:val="0"/>
          <w:lang w:val="en-US"/>
        </w:rPr>
        <w:t>peeps</w:t>
      </w:r>
      <w:r>
        <w:rPr>
          <w:rtl w:val="0"/>
          <w:lang w:val="en-US"/>
        </w:rPr>
        <w:t xml:space="preserve">” </w:t>
      </w:r>
      <w:r>
        <w:rPr>
          <w:rtl w:val="0"/>
          <w:lang w:val="en-US"/>
        </w:rPr>
        <w:t xml:space="preserve">used only by </w:t>
      </w:r>
      <w:r>
        <w:rPr>
          <w:i w:val="1"/>
          <w:iCs w:val="1"/>
          <w:rtl w:val="0"/>
          <w:lang w:val="en-US"/>
        </w:rPr>
        <w:t>Oreophryne</w:t>
      </w:r>
      <w:r>
        <w:rPr>
          <w:rtl w:val="0"/>
          <w:lang w:val="en-US"/>
        </w:rPr>
        <w:t xml:space="preserve">, whereas </w:t>
      </w:r>
      <w:r>
        <w:rPr>
          <w:rtl w:val="0"/>
          <w:lang w:val="en-US"/>
        </w:rPr>
        <w:t>“</w:t>
      </w:r>
      <w:r>
        <w:rPr>
          <w:rtl w:val="0"/>
          <w:lang w:val="en-US"/>
        </w:rPr>
        <w:t>whinny</w:t>
      </w:r>
      <w:r>
        <w:rPr>
          <w:rtl w:val="0"/>
          <w:lang w:val="en-US"/>
        </w:rPr>
        <w:t xml:space="preserve">” </w:t>
      </w:r>
      <w:r>
        <w:rPr>
          <w:rtl w:val="0"/>
          <w:lang w:val="en-US"/>
        </w:rPr>
        <w:t xml:space="preserve">calls are used only by arboreal </w:t>
      </w:r>
      <w:r>
        <w:rPr>
          <w:i w:val="1"/>
          <w:iCs w:val="1"/>
          <w:rtl w:val="0"/>
          <w:lang w:val="en-US"/>
        </w:rPr>
        <w:t>Auparoparo</w:t>
      </w:r>
      <w:r>
        <w:rPr>
          <w:rtl w:val="0"/>
          <w:lang w:val="en-US"/>
        </w:rPr>
        <w:t xml:space="preserve">. A minority of species in both groups use the </w:t>
      </w:r>
      <w:r>
        <w:rPr>
          <w:rtl w:val="0"/>
          <w:lang w:val="en-US"/>
        </w:rPr>
        <w:t>“</w:t>
      </w:r>
      <w:r>
        <w:rPr>
          <w:rtl w:val="0"/>
          <w:lang w:val="en-US"/>
        </w:rPr>
        <w:t>rattle</w:t>
      </w:r>
      <w:r>
        <w:rPr>
          <w:rtl w:val="0"/>
          <w:lang w:val="en-US"/>
        </w:rPr>
        <w:t xml:space="preserve">” </w:t>
      </w:r>
      <w:r>
        <w:rPr>
          <w:rtl w:val="0"/>
          <w:lang w:val="en-US"/>
        </w:rPr>
        <w:t>call type. However, both toe pad width and call type are variable traits with some overlap and thus not reliable for diagnosis. Furthermore, toe pad is clearly an adaptive trait for arboreality.</w:t>
      </w:r>
    </w:p>
    <w:p>
      <w:pPr>
        <w:pStyle w:val="Body Text"/>
        <w:widowControl w:val="0"/>
        <w:spacing w:line="240" w:lineRule="auto"/>
      </w:pPr>
    </w:p>
    <w:p>
      <w:pPr>
        <w:pStyle w:val="Heading 2"/>
      </w:pPr>
      <w:bookmarkStart w:name="geographicdistribution" w:id="14"/>
      <w:r>
        <w:rPr>
          <w:rtl w:val="0"/>
          <w:lang w:val="en-US"/>
        </w:rPr>
        <w:t>Geographic Distribution</w:t>
      </w:r>
    </w:p>
    <w:p>
      <w:pPr>
        <w:pStyle w:val="First Paragraph"/>
      </w:pPr>
      <w:r>
        <w:rPr>
          <w:rtl w:val="0"/>
          <w:lang w:val="en-US"/>
        </w:rPr>
        <w:t xml:space="preserve">The geographic distributions of </w:t>
      </w:r>
      <w:r>
        <w:rPr>
          <w:i w:val="1"/>
          <w:iCs w:val="1"/>
          <w:rtl w:val="0"/>
          <w:lang w:val="en-US"/>
        </w:rPr>
        <w:t>Auparoparo</w:t>
      </w:r>
      <w:r>
        <w:rPr>
          <w:rtl w:val="0"/>
          <w:lang w:val="en-US"/>
        </w:rPr>
        <w:t xml:space="preserve"> and </w:t>
      </w:r>
      <w:r>
        <w:rPr>
          <w:i w:val="1"/>
          <w:iCs w:val="1"/>
          <w:rtl w:val="0"/>
          <w:lang w:val="en-US"/>
        </w:rPr>
        <w:t>Oreophryne</w:t>
      </w:r>
      <w:r>
        <w:rPr>
          <w:rtl w:val="0"/>
          <w:lang w:val="en-US"/>
        </w:rPr>
        <w:t xml:space="preserve"> are shown in </w:t>
      </w:r>
      <w:r>
        <w:rPr>
          <w:rStyle w:val="Hyperlink.0"/>
        </w:rPr>
        <w:fldChar w:fldCharType="begin" w:fldLock="0"/>
      </w:r>
      <w:r>
        <w:rPr>
          <w:rStyle w:val="Hyperlink.0"/>
        </w:rPr>
        <w:instrText xml:space="preserve"> HYPERLINK \l "bookmark10" </w:instrText>
      </w:r>
      <w:r>
        <w:rPr>
          <w:rStyle w:val="Hyperlink.0"/>
        </w:rPr>
        <w:fldChar w:fldCharType="separate" w:fldLock="0"/>
      </w:r>
      <w:r>
        <w:rPr>
          <w:rStyle w:val="Hyperlink.0"/>
          <w:rtl w:val="0"/>
        </w:rPr>
        <w:t>Figure</w:t>
      </w:r>
      <w:r>
        <w:rPr>
          <w:rStyle w:val="Hyperlink.0"/>
          <w:rtl w:val="0"/>
        </w:rPr>
        <w:t> </w:t>
      </w:r>
      <w:r>
        <w:rPr>
          <w:rStyle w:val="Hyperlink.0"/>
          <w:rtl w:val="0"/>
        </w:rPr>
        <w:t>3</w:t>
      </w:r>
      <w:r>
        <w:rPr/>
        <w:fldChar w:fldCharType="end" w:fldLock="0"/>
      </w:r>
      <w:r>
        <w:rPr>
          <w:rtl w:val="0"/>
          <w:lang w:val="en-US"/>
        </w:rPr>
        <w:t>, with corresponding phylogenetic relationships.</w:t>
      </w:r>
    </w:p>
    <w:p>
      <w:pPr>
        <w:pStyle w:val="First Paragraph"/>
        <w:widowControl w:val="0"/>
        <w:spacing w:line="240" w:lineRule="auto"/>
      </w:pPr>
    </w:p>
    <w:p>
      <w:pPr>
        <w:pStyle w:val="Heading 2"/>
      </w:pPr>
      <w:bookmarkStart w:name="taxonomy" w:id="15"/>
      <w:r>
        <w:rPr>
          <w:rtl w:val="0"/>
          <w:lang w:val="en-US"/>
        </w:rPr>
        <w:t>Taxonomy</w:t>
      </w:r>
    </w:p>
    <w:p>
      <w:pPr>
        <w:pStyle w:val="First Paragraph"/>
      </w:pPr>
      <w:r>
        <w:rPr>
          <w:rtl w:val="0"/>
          <w:lang w:val="en-US"/>
        </w:rPr>
        <w:t xml:space="preserve">We use a maximum crown-clade definition for designating </w:t>
      </w:r>
      <w:r>
        <w:rPr>
          <w:i w:val="1"/>
          <w:iCs w:val="1"/>
          <w:rtl w:val="0"/>
          <w:lang w:val="en-US"/>
        </w:rPr>
        <w:t>Oreophryne</w:t>
      </w:r>
      <w:r>
        <w:rPr>
          <w:rtl w:val="0"/>
          <w:lang w:val="en-US"/>
        </w:rPr>
        <w:t xml:space="preserve"> and </w:t>
      </w:r>
      <w:r>
        <w:rPr>
          <w:i w:val="1"/>
          <w:iCs w:val="1"/>
          <w:rtl w:val="0"/>
          <w:lang w:val="en-US"/>
        </w:rPr>
        <w:t>Auparoparo</w:t>
      </w:r>
      <w:r>
        <w:rPr>
          <w:rtl w:val="0"/>
          <w:lang w:val="en-US"/>
        </w:rPr>
        <w:t xml:space="preserve"> because the monophyly of these taxa are strongly supported, and the relationships of these taxa to each other and to sister genera of Asterophryinae are well-supported (this study, Hill </w:t>
      </w:r>
      <w:r>
        <w:rPr>
          <w:i w:val="1"/>
          <w:iCs w:val="1"/>
          <w:rtl w:val="0"/>
          <w:lang w:val="en-US"/>
        </w:rPr>
        <w:t>et al.</w:t>
      </w:r>
      <w:r>
        <w:rPr>
          <w:rtl w:val="0"/>
          <w:lang w:val="en-US"/>
        </w:rPr>
        <w:t xml:space="preserve">, 2022, 2023b), as has been done for other anuran taxa (Brown </w:t>
      </w:r>
      <w:r>
        <w:rPr>
          <w:i w:val="1"/>
          <w:iCs w:val="1"/>
          <w:rtl w:val="0"/>
          <w:lang w:val="en-US"/>
        </w:rPr>
        <w:t>et al.</w:t>
      </w:r>
      <w:r>
        <w:rPr>
          <w:rtl w:val="0"/>
          <w:lang w:val="en-US"/>
        </w:rPr>
        <w:t xml:space="preserve">, 2015) and summarized in the PhyloCode (De Queiroz &amp; Gauthier, 1990, 1992, 1994). That is, we adopt a nodal definition of the clade that identifies the genus as a monophyletic clade. Specifically, to include the type species of the genus and the most recent common ancestor that includes all extant species of the genus but not members of other genera. This definition is robust to uncertainty in basal relationships such as in the case of adaptive radiations with short branch lengths along the backbone as in Asterophryinae, as well as being robust to identification of new species. We follow Brown </w:t>
      </w:r>
      <w:r>
        <w:rPr>
          <w:i w:val="1"/>
          <w:iCs w:val="1"/>
          <w:rtl w:val="0"/>
          <w:lang w:val="en-US"/>
        </w:rPr>
        <w:t>et al.</w:t>
      </w:r>
      <w:r>
        <w:rPr>
          <w:rtl w:val="0"/>
          <w:lang w:val="en-US"/>
        </w:rPr>
        <w:t xml:space="preserve"> (2015) in using the terms converted clade name (CCN) to indicate the phylogenetic redefinition of Oreophryne, and new clade name (NCN) for newly designated names (</w:t>
      </w:r>
      <w:r>
        <w:rPr>
          <w:i w:val="1"/>
          <w:iCs w:val="1"/>
          <w:rtl w:val="0"/>
          <w:lang w:val="en-US"/>
        </w:rPr>
        <w:t>Auparoparo</w:t>
      </w:r>
      <w:r>
        <w:rPr>
          <w:rtl w:val="0"/>
          <w:lang w:val="en-US"/>
        </w:rPr>
        <w:t xml:space="preserve">), whereas the previously defined polyphyletic </w:t>
      </w:r>
      <w:r>
        <w:rPr>
          <w:i w:val="1"/>
          <w:iCs w:val="1"/>
          <w:rtl w:val="0"/>
          <w:lang w:val="en-US"/>
        </w:rPr>
        <w:t>Oreophryne</w:t>
      </w:r>
      <w:r>
        <w:rPr>
          <w:rtl w:val="0"/>
          <w:lang w:val="en-US"/>
        </w:rPr>
        <w:t xml:space="preserve"> is indicated by </w:t>
      </w:r>
      <w:r>
        <w:rPr>
          <w:rtl w:val="0"/>
          <w:lang w:val="en-US"/>
        </w:rPr>
        <w:t>“</w:t>
      </w:r>
      <w:r>
        <w:rPr>
          <w:rtl w:val="0"/>
          <w:lang w:val="en-US"/>
        </w:rPr>
        <w:t>sensu lato</w:t>
      </w:r>
      <w:r>
        <w:rPr>
          <w:rtl w:val="0"/>
          <w:lang w:val="en-US"/>
        </w:rPr>
        <w:t>”</w:t>
      </w:r>
      <w:r>
        <w:rPr>
          <w:rtl w:val="0"/>
          <w:lang w:val="en-US"/>
        </w:rPr>
        <w:t>.</w:t>
      </w:r>
    </w:p>
    <w:p>
      <w:pPr>
        <w:pStyle w:val="Body Text"/>
      </w:pPr>
      <w:r>
        <w:rPr>
          <w:b w:val="1"/>
          <w:bCs w:val="1"/>
          <w:rtl w:val="0"/>
          <w:lang w:val="en-US"/>
        </w:rPr>
        <w:t>Family Microhylidae (G</w:t>
      </w:r>
      <w:r>
        <w:rPr>
          <w:b w:val="1"/>
          <w:bCs w:val="1"/>
          <w:rtl w:val="0"/>
          <w:lang w:val="en-US"/>
        </w:rPr>
        <w:t>ü</w:t>
      </w:r>
      <w:r>
        <w:rPr>
          <w:b w:val="1"/>
          <w:bCs w:val="1"/>
          <w:rtl w:val="0"/>
          <w:lang w:val="en-US"/>
        </w:rPr>
        <w:t>nther, 1858)</w:t>
      </w:r>
      <w:r>
        <w:br w:type="textWrapping"/>
      </w:r>
      <w:r>
        <w:rPr>
          <w:b w:val="1"/>
          <w:bCs w:val="1"/>
          <w:rtl w:val="0"/>
          <w:lang w:val="en-US"/>
        </w:rPr>
        <w:t>Subfamily Asterophryinae (G</w:t>
      </w:r>
      <w:r>
        <w:rPr>
          <w:b w:val="1"/>
          <w:bCs w:val="1"/>
          <w:rtl w:val="0"/>
          <w:lang w:val="en-US"/>
        </w:rPr>
        <w:t>ü</w:t>
      </w:r>
      <w:r>
        <w:rPr>
          <w:b w:val="1"/>
          <w:bCs w:val="1"/>
          <w:rtl w:val="0"/>
          <w:lang w:val="en-US"/>
        </w:rPr>
        <w:t>nther, 1858)</w:t>
      </w:r>
      <w:r>
        <w:br w:type="textWrapping"/>
      </w:r>
      <w:r>
        <w:rPr>
          <w:b w:val="1"/>
          <w:bCs w:val="1"/>
          <w:rtl w:val="0"/>
          <w:lang w:val="en-US"/>
        </w:rPr>
        <w:t xml:space="preserve">Genus </w:t>
      </w:r>
      <w:r>
        <w:rPr>
          <w:b w:val="1"/>
          <w:bCs w:val="1"/>
          <w:i w:val="1"/>
          <w:iCs w:val="1"/>
          <w:rtl w:val="0"/>
          <w:lang w:val="en-US"/>
        </w:rPr>
        <w:t>Oreophryne</w:t>
      </w:r>
      <w:r>
        <w:rPr>
          <w:b w:val="1"/>
          <w:bCs w:val="1"/>
          <w:rtl w:val="0"/>
          <w:lang w:val="en-US"/>
        </w:rPr>
        <w:t xml:space="preserve"> (Boettger, 1895) amended</w:t>
      </w:r>
      <w:r>
        <w:br w:type="textWrapping"/>
      </w:r>
      <w:r>
        <w:rPr>
          <w:i w:val="1"/>
          <w:iCs w:val="1"/>
          <w:rtl w:val="0"/>
          <w:lang w:val="en-US"/>
        </w:rPr>
        <w:t>Microhyla</w:t>
      </w:r>
      <w:r>
        <w:rPr>
          <w:rtl w:val="0"/>
          <w:lang w:val="en-US"/>
        </w:rPr>
        <w:t xml:space="preserve"> (Peters &amp; Doria, 1878)</w:t>
      </w:r>
      <w:r>
        <w:br w:type="textWrapping"/>
      </w:r>
      <w:r>
        <w:rPr>
          <w:i w:val="1"/>
          <w:iCs w:val="1"/>
          <w:rtl w:val="0"/>
          <w:lang w:val="en-US"/>
        </w:rPr>
        <w:t>Callula</w:t>
      </w:r>
      <w:r>
        <w:br w:type="textWrapping"/>
      </w:r>
      <w:r>
        <w:rPr>
          <w:i w:val="1"/>
          <w:iCs w:val="1"/>
          <w:rtl w:val="0"/>
          <w:lang w:val="en-US"/>
        </w:rPr>
        <w:t>Oreophryne</w:t>
      </w:r>
      <w:r>
        <w:rPr>
          <w:rtl w:val="0"/>
          <w:lang w:val="en-US"/>
        </w:rPr>
        <w:t xml:space="preserve"> (Boettger, 1895) Type species: </w:t>
      </w:r>
      <w:r>
        <w:rPr>
          <w:i w:val="1"/>
          <w:iCs w:val="1"/>
          <w:rtl w:val="0"/>
          <w:lang w:val="en-US"/>
        </w:rPr>
        <w:t>Oreophryne senckenbergiana</w:t>
      </w:r>
      <w:r>
        <w:rPr>
          <w:rtl w:val="0"/>
          <w:lang w:val="en-US"/>
        </w:rPr>
        <w:t xml:space="preserve"> (Boettger, 1895). (= </w:t>
      </w:r>
      <w:r>
        <w:rPr>
          <w:i w:val="1"/>
          <w:iCs w:val="1"/>
          <w:rtl w:val="0"/>
          <w:lang w:val="en-US"/>
        </w:rPr>
        <w:t>Microhyla achatina</w:t>
      </w:r>
      <w:r>
        <w:rPr>
          <w:rtl w:val="0"/>
          <w:lang w:val="en-US"/>
        </w:rPr>
        <w:t xml:space="preserve"> var. moluccensis (Peters &amp; Doria, 1878), by morphological monotypy, however, this should be verified with molecular evidence.) Placed on Official List of Generic Names in Zoology by Opinion 1266, Anonymous, 1984.</w:t>
      </w:r>
      <w:r>
        <w:br w:type="textWrapping"/>
      </w:r>
      <w:r>
        <w:rPr>
          <w:i w:val="1"/>
          <w:iCs w:val="1"/>
          <w:rtl w:val="0"/>
          <w:lang w:val="en-US"/>
        </w:rPr>
        <w:t>Sphenophryne</w:t>
      </w:r>
      <w:r>
        <w:br w:type="textWrapping"/>
      </w:r>
      <w:r>
        <w:rPr>
          <w:i w:val="1"/>
          <w:iCs w:val="1"/>
          <w:rtl w:val="0"/>
          <w:lang w:val="en-US"/>
        </w:rPr>
        <w:t>Phrynixalus</w:t>
      </w:r>
      <w:r>
        <w:br w:type="textWrapping"/>
      </w:r>
      <w:r>
        <w:rPr>
          <w:i w:val="1"/>
          <w:iCs w:val="1"/>
          <w:rtl w:val="0"/>
          <w:lang w:val="en-US"/>
        </w:rPr>
        <w:t>Mehelyia</w:t>
      </w:r>
      <w:r>
        <w:rPr>
          <w:rtl w:val="0"/>
          <w:lang w:val="en-US"/>
        </w:rPr>
        <w:t xml:space="preserve"> (Wandolleck, 1911), Type species: </w:t>
      </w:r>
      <w:r>
        <w:rPr>
          <w:i w:val="1"/>
          <w:iCs w:val="1"/>
          <w:rtl w:val="0"/>
          <w:lang w:val="en-US"/>
        </w:rPr>
        <w:t>Meheylia lineata</w:t>
      </w:r>
      <w:r>
        <w:rPr>
          <w:rtl w:val="0"/>
          <w:lang w:val="en-US"/>
        </w:rPr>
        <w:t xml:space="preserve"> (Wandolleck, 1911) (=</w:t>
      </w:r>
      <w:r>
        <w:rPr>
          <w:i w:val="1"/>
          <w:iCs w:val="1"/>
          <w:rtl w:val="0"/>
          <w:lang w:val="en-US"/>
        </w:rPr>
        <w:t>Sphenophryne biroi</w:t>
      </w:r>
      <w:r>
        <w:rPr>
          <w:rtl w:val="0"/>
          <w:lang w:val="en-US"/>
        </w:rPr>
        <w:t xml:space="preserve"> (M</w:t>
      </w:r>
      <w:r>
        <w:rPr>
          <w:rtl w:val="0"/>
          <w:lang w:val="en-US"/>
        </w:rPr>
        <w:t>é</w:t>
      </w:r>
      <w:r>
        <w:rPr>
          <w:rtl w:val="0"/>
          <w:lang w:val="en-US"/>
        </w:rPr>
        <w:t>hely, 1897), by subsequent designation of (Parker, 1934). Synonymy by (Nieden, 1926).</w:t>
      </w:r>
      <w:r>
        <w:br w:type="textWrapping"/>
      </w:r>
      <w:r>
        <w:rPr>
          <w:i w:val="1"/>
          <w:iCs w:val="1"/>
          <w:rtl w:val="0"/>
          <w:lang w:val="en-US"/>
        </w:rPr>
        <w:t>Cophixalus</w:t>
      </w:r>
      <w:r>
        <w:br w:type="textWrapping"/>
      </w:r>
      <w:r>
        <w:rPr>
          <w:i w:val="1"/>
          <w:iCs w:val="1"/>
          <w:rtl w:val="0"/>
          <w:lang w:val="en-US"/>
        </w:rPr>
        <w:t>Chaperina</w:t>
      </w:r>
    </w:p>
    <w:p>
      <w:pPr>
        <w:pStyle w:val="Body Text"/>
      </w:pPr>
      <w:r>
        <w:rPr>
          <w:rtl w:val="0"/>
          <w:lang w:val="en-US"/>
        </w:rPr>
        <w:t xml:space="preserve">Type species </w:t>
      </w:r>
      <w:r>
        <w:rPr>
          <w:i w:val="1"/>
          <w:iCs w:val="1"/>
          <w:rtl w:val="0"/>
          <w:lang w:val="en-US"/>
        </w:rPr>
        <w:t>Oreophryne senckenbergiana</w:t>
      </w:r>
      <w:r>
        <w:rPr>
          <w:rtl w:val="0"/>
          <w:lang w:val="en-US"/>
        </w:rPr>
        <w:t xml:space="preserve"> (Boettger, 1895)</w:t>
      </w:r>
    </w:p>
    <w:p>
      <w:pPr>
        <w:pStyle w:val="Body Text"/>
      </w:pPr>
      <w:r>
        <w:rPr>
          <w:b w:val="1"/>
          <w:bCs w:val="1"/>
          <w:rtl w:val="0"/>
          <w:lang w:val="en-US"/>
        </w:rPr>
        <w:t>Diagnosis:</w:t>
      </w:r>
      <w:r>
        <w:rPr>
          <w:rtl w:val="0"/>
          <w:lang w:val="en-US"/>
        </w:rPr>
        <w:t xml:space="preserve"> We note that there are no synapomorphies in adult </w:t>
      </w:r>
      <w:r>
        <w:rPr>
          <w:i w:val="1"/>
          <w:iCs w:val="1"/>
          <w:rtl w:val="0"/>
          <w:lang w:val="en-US"/>
        </w:rPr>
        <w:t>Oreophryne</w:t>
      </w:r>
      <w:r>
        <w:rPr>
          <w:rtl w:val="0"/>
          <w:lang w:val="en-US"/>
        </w:rPr>
        <w:t xml:space="preserve"> that differ from the morphologically similar genus </w:t>
      </w:r>
      <w:r>
        <w:rPr>
          <w:i w:val="1"/>
          <w:iCs w:val="1"/>
          <w:rtl w:val="0"/>
          <w:lang w:val="en-US"/>
        </w:rPr>
        <w:t>Auparoparo</w:t>
      </w:r>
      <w:r>
        <w:rPr>
          <w:rtl w:val="0"/>
          <w:lang w:val="en-US"/>
        </w:rPr>
        <w:t>. Diagnoses should be made by molecular phylogenetic analysis, based on the phylogenetic definition below.</w:t>
      </w:r>
    </w:p>
    <w:p>
      <w:pPr>
        <w:pStyle w:val="Body Text"/>
      </w:pPr>
      <w:r>
        <w:rPr>
          <w:b w:val="1"/>
          <w:bCs w:val="1"/>
          <w:rtl w:val="0"/>
          <w:lang w:val="en-US"/>
        </w:rPr>
        <w:t>Description:</w:t>
      </w:r>
      <w:r>
        <w:rPr>
          <w:rtl w:val="0"/>
          <w:lang w:val="en-US"/>
        </w:rPr>
        <w:t xml:space="preserve"> </w:t>
      </w:r>
      <w:r>
        <w:rPr>
          <w:i w:val="1"/>
          <w:iCs w:val="1"/>
          <w:rtl w:val="0"/>
          <w:lang w:val="en-US"/>
        </w:rPr>
        <w:t>Oreophryne</w:t>
      </w:r>
      <w:r>
        <w:rPr>
          <w:rtl w:val="0"/>
          <w:lang w:val="en-US"/>
        </w:rPr>
        <w:t xml:space="preserve"> differs from most other genera in subfamily Asterophryinae, but not from </w:t>
      </w:r>
      <w:r>
        <w:rPr>
          <w:i w:val="1"/>
          <w:iCs w:val="1"/>
          <w:rtl w:val="0"/>
          <w:lang w:val="en-US"/>
        </w:rPr>
        <w:t>Auparoparo</w:t>
      </w:r>
      <w:r>
        <w:rPr>
          <w:rtl w:val="0"/>
          <w:lang w:val="en-US"/>
        </w:rPr>
        <w:t>, by the combination of (1) presence of highly reduced clavicles (vs absence or elongate) which have a distinctly curved shape; (2) presence of well developed digital pads, often with finger and toe pads of similar size; (3) arboreal lifestyle (perch height &gt;2m above ground); (4) most species range in body size from 16mm (</w:t>
      </w:r>
      <w:r>
        <w:rPr>
          <w:i w:val="1"/>
          <w:iCs w:val="1"/>
          <w:rtl w:val="0"/>
          <w:lang w:val="en-US"/>
        </w:rPr>
        <w:t>O. graminis</w:t>
      </w:r>
      <w:r>
        <w:rPr>
          <w:rtl w:val="0"/>
          <w:lang w:val="en-US"/>
        </w:rPr>
        <w:t>, G</w:t>
      </w:r>
      <w:r>
        <w:rPr>
          <w:rtl w:val="0"/>
          <w:lang w:val="en-US"/>
        </w:rPr>
        <w:t>ü</w:t>
      </w:r>
      <w:r>
        <w:rPr>
          <w:rtl w:val="0"/>
          <w:lang w:val="en-US"/>
        </w:rPr>
        <w:t>nther &amp; Richards, 2012) to 30mm, with a few larger species ~40mm (</w:t>
      </w:r>
      <w:r>
        <w:rPr>
          <w:i w:val="1"/>
          <w:iCs w:val="1"/>
          <w:rtl w:val="0"/>
          <w:lang w:val="en-US"/>
        </w:rPr>
        <w:t>O. inornata</w:t>
      </w:r>
      <w:r>
        <w:rPr>
          <w:rtl w:val="0"/>
          <w:lang w:val="en-US"/>
        </w:rPr>
        <w:t xml:space="preserve">); (5) small to invisible tympanum; (6) large eyes with pupil horizontal; (7) occasional presence of toe webbing; (8) thin, elongated limbs; and (9) in many species males that call with </w:t>
      </w:r>
      <w:r>
        <w:rPr>
          <w:rtl w:val="0"/>
          <w:lang w:val="en-US"/>
        </w:rPr>
        <w:t>“</w:t>
      </w:r>
      <w:r>
        <w:rPr>
          <w:rtl w:val="0"/>
          <w:lang w:val="en-US"/>
        </w:rPr>
        <w:t>honk</w:t>
      </w:r>
      <w:r>
        <w:rPr>
          <w:rtl w:val="0"/>
          <w:lang w:val="en-US"/>
        </w:rPr>
        <w:t xml:space="preserve">” </w:t>
      </w:r>
      <w:r>
        <w:rPr>
          <w:rtl w:val="0"/>
          <w:lang w:val="en-US"/>
        </w:rPr>
        <w:t xml:space="preserve">or </w:t>
      </w:r>
      <w:r>
        <w:rPr>
          <w:rtl w:val="0"/>
          <w:lang w:val="en-US"/>
        </w:rPr>
        <w:t>“</w:t>
      </w:r>
      <w:r>
        <w:rPr>
          <w:rtl w:val="0"/>
          <w:lang w:val="en-US"/>
        </w:rPr>
        <w:t>peep</w:t>
      </w:r>
      <w:r>
        <w:rPr>
          <w:rtl w:val="0"/>
          <w:lang w:val="en-US"/>
        </w:rPr>
        <w:t xml:space="preserve">” </w:t>
      </w:r>
      <w:r>
        <w:rPr>
          <w:rtl w:val="0"/>
          <w:lang w:val="en-US"/>
        </w:rPr>
        <w:t xml:space="preserve">types or in some species </w:t>
      </w:r>
      <w:r>
        <w:rPr>
          <w:rtl w:val="0"/>
          <w:lang w:val="en-US"/>
        </w:rPr>
        <w:t>“</w:t>
      </w:r>
      <w:r>
        <w:rPr>
          <w:rtl w:val="0"/>
          <w:lang w:val="en-US"/>
        </w:rPr>
        <w:t>rattle</w:t>
      </w:r>
      <w:r>
        <w:rPr>
          <w:rtl w:val="0"/>
          <w:lang w:val="en-US"/>
        </w:rPr>
        <w:t xml:space="preserve">” </w:t>
      </w:r>
      <w:r>
        <w:rPr>
          <w:rtl w:val="0"/>
          <w:lang w:val="en-US"/>
        </w:rPr>
        <w:t xml:space="preserve">type. Some species of </w:t>
      </w:r>
      <w:r>
        <w:rPr>
          <w:i w:val="1"/>
          <w:iCs w:val="1"/>
          <w:rtl w:val="0"/>
          <w:lang w:val="en-US"/>
        </w:rPr>
        <w:t>Oreophryne</w:t>
      </w:r>
      <w:r>
        <w:rPr>
          <w:rtl w:val="0"/>
          <w:lang w:val="en-US"/>
        </w:rPr>
        <w:t xml:space="preserve"> may be distinguished from </w:t>
      </w:r>
      <w:r>
        <w:rPr>
          <w:i w:val="1"/>
          <w:iCs w:val="1"/>
          <w:rtl w:val="0"/>
          <w:lang w:val="en-US"/>
        </w:rPr>
        <w:t>Auparoparo</w:t>
      </w:r>
      <w:r>
        <w:rPr>
          <w:rtl w:val="0"/>
          <w:lang w:val="en-US"/>
        </w:rPr>
        <w:t xml:space="preserve"> by roughly equal finger to toe pad ratio and males calling with </w:t>
      </w:r>
      <w:r>
        <w:rPr>
          <w:rtl w:val="0"/>
          <w:lang w:val="en-US"/>
        </w:rPr>
        <w:t>“</w:t>
      </w:r>
      <w:r>
        <w:rPr>
          <w:rtl w:val="0"/>
          <w:lang w:val="en-US"/>
        </w:rPr>
        <w:t>honk</w:t>
      </w:r>
      <w:r>
        <w:rPr>
          <w:rtl w:val="0"/>
          <w:lang w:val="en-US"/>
        </w:rPr>
        <w:t xml:space="preserve">” </w:t>
      </w:r>
      <w:r>
        <w:rPr>
          <w:rtl w:val="0"/>
          <w:lang w:val="en-US"/>
        </w:rPr>
        <w:t xml:space="preserve">or </w:t>
      </w:r>
      <w:r>
        <w:rPr>
          <w:rtl w:val="0"/>
          <w:lang w:val="en-US"/>
        </w:rPr>
        <w:t>“</w:t>
      </w:r>
      <w:r>
        <w:rPr>
          <w:rtl w:val="0"/>
          <w:lang w:val="en-US"/>
        </w:rPr>
        <w:t>peep</w:t>
      </w:r>
      <w:r>
        <w:rPr>
          <w:rtl w:val="0"/>
          <w:lang w:val="en-US"/>
        </w:rPr>
        <w:t xml:space="preserve">” </w:t>
      </w:r>
      <w:r>
        <w:rPr>
          <w:rtl w:val="0"/>
          <w:lang w:val="en-US"/>
        </w:rPr>
        <w:t xml:space="preserve">but not </w:t>
      </w:r>
      <w:r>
        <w:rPr>
          <w:rtl w:val="0"/>
          <w:lang w:val="en-US"/>
        </w:rPr>
        <w:t>“</w:t>
      </w:r>
      <w:r>
        <w:rPr>
          <w:rtl w:val="0"/>
          <w:lang w:val="en-US"/>
        </w:rPr>
        <w:t>whinny</w:t>
      </w:r>
      <w:r>
        <w:rPr>
          <w:rtl w:val="0"/>
          <w:lang w:val="en-US"/>
        </w:rPr>
        <w:t xml:space="preserve">” </w:t>
      </w:r>
      <w:r>
        <w:rPr>
          <w:rtl w:val="0"/>
          <w:lang w:val="en-US"/>
        </w:rPr>
        <w:t>call types.</w:t>
      </w:r>
    </w:p>
    <w:p>
      <w:pPr>
        <w:pStyle w:val="Body Text"/>
      </w:pPr>
      <w:r>
        <w:rPr>
          <w:b w:val="1"/>
          <w:bCs w:val="1"/>
          <w:rtl w:val="0"/>
          <w:lang w:val="en-US"/>
        </w:rPr>
        <w:t>Phylogenetic definition:</w:t>
      </w:r>
      <w:r>
        <w:rPr>
          <w:rtl w:val="0"/>
          <w:lang w:val="en-US"/>
        </w:rPr>
        <w:t xml:space="preserve"> </w:t>
      </w:r>
      <w:r>
        <w:rPr>
          <w:i w:val="1"/>
          <w:iCs w:val="1"/>
          <w:rtl w:val="0"/>
          <w:lang w:val="en-US"/>
        </w:rPr>
        <w:t>Oreophryne</w:t>
      </w:r>
      <w:r>
        <w:rPr>
          <w:rtl w:val="0"/>
          <w:lang w:val="en-US"/>
        </w:rPr>
        <w:t xml:space="preserve"> (CCN) is defined as the maximum crown-clade (the monophyletic clade descending from node A, </w:t>
      </w:r>
      <w:r>
        <w:rPr>
          <w:rStyle w:val="Hyperlink.0"/>
        </w:rPr>
        <w:fldChar w:fldCharType="begin" w:fldLock="0"/>
      </w:r>
      <w:r>
        <w:rPr>
          <w:rStyle w:val="Hyperlink.0"/>
        </w:rPr>
        <w:instrText xml:space="preserve"> HYPERLINK \l "bookmark11" </w:instrText>
      </w:r>
      <w:r>
        <w:rPr>
          <w:rStyle w:val="Hyperlink.0"/>
        </w:rPr>
        <w:fldChar w:fldCharType="separate" w:fldLock="0"/>
      </w:r>
      <w:r>
        <w:rPr>
          <w:rStyle w:val="Hyperlink.0"/>
          <w:rtl w:val="0"/>
        </w:rPr>
        <w:t>Figure</w:t>
      </w:r>
      <w:r>
        <w:rPr>
          <w:rStyle w:val="Hyperlink.0"/>
          <w:rtl w:val="0"/>
        </w:rPr>
        <w:t> </w:t>
      </w:r>
      <w:r>
        <w:rPr>
          <w:rStyle w:val="Hyperlink.0"/>
          <w:rtl w:val="0"/>
        </w:rPr>
        <w:t>2</w:t>
      </w:r>
      <w:r>
        <w:rPr/>
        <w:fldChar w:fldCharType="end" w:fldLock="0"/>
      </w:r>
      <w:r>
        <w:rPr>
          <w:rtl w:val="0"/>
          <w:lang w:val="en-US"/>
        </w:rPr>
        <w:t xml:space="preserve">) originating with the most recent common ancestor of </w:t>
      </w:r>
      <w:r>
        <w:rPr>
          <w:i w:val="1"/>
          <w:iCs w:val="1"/>
          <w:rtl w:val="0"/>
          <w:lang w:val="en-US"/>
        </w:rPr>
        <w:t>Oreophryne senckenbergiana</w:t>
      </w:r>
      <w:r>
        <w:rPr>
          <w:rtl w:val="0"/>
          <w:lang w:val="en-US"/>
        </w:rPr>
        <w:t xml:space="preserve"> (Boettger, 1895), the type species of </w:t>
      </w:r>
      <w:r>
        <w:rPr>
          <w:i w:val="1"/>
          <w:iCs w:val="1"/>
          <w:rtl w:val="0"/>
          <w:lang w:val="en-US"/>
        </w:rPr>
        <w:t>Oreophryne</w:t>
      </w:r>
      <w:r>
        <w:rPr>
          <w:rtl w:val="0"/>
          <w:lang w:val="en-US"/>
        </w:rPr>
        <w:t xml:space="preserve">, and all extant species that share a common ancestor with </w:t>
      </w:r>
      <w:r>
        <w:rPr>
          <w:i w:val="1"/>
          <w:iCs w:val="1"/>
          <w:rtl w:val="0"/>
          <w:lang w:val="en-US"/>
        </w:rPr>
        <w:t>O. senckenbergiana</w:t>
      </w:r>
      <w:r>
        <w:rPr>
          <w:rtl w:val="0"/>
          <w:lang w:val="en-US"/>
        </w:rPr>
        <w:t xml:space="preserve"> more recently than they do with reference species of all the other nominal generic clades listed in </w:t>
      </w:r>
      <w:r>
        <w:rPr>
          <w:rStyle w:val="Hyperlink.0"/>
        </w:rPr>
        <w:fldChar w:fldCharType="begin" w:fldLock="0"/>
      </w:r>
      <w:r>
        <w:rPr>
          <w:rStyle w:val="Hyperlink.0"/>
        </w:rPr>
        <w:instrText xml:space="preserve"> HYPERLINK \l "bookmark12" </w:instrText>
      </w:r>
      <w:r>
        <w:rPr>
          <w:rStyle w:val="Hyperlink.0"/>
        </w:rPr>
        <w:fldChar w:fldCharType="separate" w:fldLock="0"/>
      </w:r>
      <w:r>
        <w:rPr>
          <w:rStyle w:val="Hyperlink.0"/>
          <w:rtl w:val="0"/>
        </w:rPr>
        <w:t>Table</w:t>
      </w:r>
      <w:r>
        <w:rPr>
          <w:rStyle w:val="Hyperlink.0"/>
          <w:rtl w:val="0"/>
        </w:rPr>
        <w:t> </w:t>
      </w:r>
      <w:r>
        <w:rPr>
          <w:rStyle w:val="Hyperlink.0"/>
          <w:rtl w:val="0"/>
        </w:rPr>
        <w:t>4</w:t>
      </w:r>
      <w:r>
        <w:rPr/>
        <w:fldChar w:fldCharType="end" w:fldLock="0"/>
      </w:r>
      <w:r>
        <w:rPr>
          <w:rtl w:val="0"/>
          <w:lang w:val="en-US"/>
        </w:rPr>
        <w:t xml:space="preserve">; with reference species of the closest sister clades to </w:t>
      </w:r>
      <w:r>
        <w:rPr>
          <w:i w:val="1"/>
          <w:iCs w:val="1"/>
          <w:rtl w:val="0"/>
          <w:lang w:val="en-US"/>
        </w:rPr>
        <w:t>Oreophryne</w:t>
      </w:r>
      <w:r>
        <w:rPr>
          <w:rtl w:val="0"/>
          <w:lang w:val="en-US"/>
        </w:rPr>
        <w:t xml:space="preserve"> currently being </w:t>
      </w:r>
      <w:r>
        <w:rPr>
          <w:i w:val="1"/>
          <w:iCs w:val="1"/>
          <w:rtl w:val="0"/>
          <w:lang w:val="en-US"/>
        </w:rPr>
        <w:t>Auparoparo penelopeia</w:t>
      </w:r>
      <w:r>
        <w:rPr>
          <w:rtl w:val="0"/>
          <w:lang w:val="en-US"/>
        </w:rPr>
        <w:t xml:space="preserve"> (Kraus, 2016), </w:t>
      </w:r>
      <w:r>
        <w:rPr>
          <w:i w:val="1"/>
          <w:iCs w:val="1"/>
          <w:rtl w:val="0"/>
          <w:lang w:val="en-US"/>
        </w:rPr>
        <w:t>Cophixalus verrucosus</w:t>
      </w:r>
      <w:r>
        <w:rPr>
          <w:rtl w:val="0"/>
          <w:lang w:val="en-US"/>
        </w:rPr>
        <w:t xml:space="preserve"> (Boettger, 1892), and </w:t>
      </w:r>
      <w:r>
        <w:rPr>
          <w:i w:val="1"/>
          <w:iCs w:val="1"/>
          <w:rtl w:val="0"/>
          <w:lang w:val="en-US"/>
        </w:rPr>
        <w:t>Paedophryne kathismaphlox</w:t>
      </w:r>
      <w:r>
        <w:rPr>
          <w:rtl w:val="0"/>
          <w:lang w:val="en-US"/>
        </w:rPr>
        <w:t xml:space="preserve"> (Kraus, 2010).</w:t>
      </w:r>
    </w:p>
    <w:p>
      <w:pPr>
        <w:pStyle w:val="Body Text"/>
      </w:pPr>
      <w:r>
        <w:rPr>
          <w:b w:val="1"/>
          <w:bCs w:val="1"/>
          <w:rtl w:val="0"/>
          <w:lang w:val="en-US"/>
        </w:rPr>
        <w:t>Content:</w:t>
      </w:r>
      <w:r>
        <w:rPr>
          <w:rtl w:val="0"/>
          <w:lang w:val="en-US"/>
        </w:rPr>
        <w:t xml:space="preserve"> Our results support the retention of 17 species in </w:t>
      </w:r>
      <w:r>
        <w:rPr>
          <w:i w:val="1"/>
          <w:iCs w:val="1"/>
          <w:rtl w:val="0"/>
          <w:lang w:val="en-US"/>
        </w:rPr>
        <w:t>Oreophryne</w:t>
      </w:r>
      <w:r>
        <w:rPr>
          <w:rtl w:val="0"/>
          <w:lang w:val="en-US"/>
        </w:rPr>
        <w:t xml:space="preserve"> with molecular evidence (</w:t>
      </w:r>
      <w:r>
        <w:rPr>
          <w:rStyle w:val="Hyperlink.0"/>
        </w:rPr>
        <w:fldChar w:fldCharType="begin" w:fldLock="0"/>
      </w:r>
      <w:r>
        <w:rPr>
          <w:rStyle w:val="Hyperlink.0"/>
        </w:rPr>
        <w:instrText xml:space="preserve"> HYPERLINK \l "bookmark13" </w:instrText>
      </w:r>
      <w:r>
        <w:rPr>
          <w:rStyle w:val="Hyperlink.0"/>
        </w:rPr>
        <w:fldChar w:fldCharType="separate" w:fldLock="0"/>
      </w:r>
      <w:r>
        <w:rPr>
          <w:rStyle w:val="Hyperlink.0"/>
          <w:rtl w:val="0"/>
        </w:rPr>
        <w:t>Table</w:t>
      </w:r>
      <w:r>
        <w:rPr>
          <w:rStyle w:val="Hyperlink.0"/>
          <w:rtl w:val="0"/>
        </w:rPr>
        <w:t> </w:t>
      </w:r>
      <w:r>
        <w:rPr>
          <w:rStyle w:val="Hyperlink.0"/>
          <w:rtl w:val="0"/>
        </w:rPr>
        <w:t>5</w:t>
      </w:r>
      <w:r>
        <w:rPr/>
        <w:fldChar w:fldCharType="end" w:fldLock="0"/>
      </w:r>
      <w:r>
        <w:rPr>
          <w:rtl w:val="0"/>
          <w:lang w:val="en-US"/>
        </w:rPr>
        <w:t xml:space="preserve">): </w:t>
      </w:r>
      <w:r>
        <w:rPr>
          <w:i w:val="1"/>
          <w:iCs w:val="1"/>
          <w:rtl w:val="0"/>
          <w:lang w:val="en-US"/>
        </w:rPr>
        <w:t>Oreophryne anamiatoi</w:t>
      </w:r>
      <w:r>
        <w:rPr>
          <w:rtl w:val="0"/>
          <w:lang w:val="en-US"/>
        </w:rPr>
        <w:t xml:space="preserve"> (Kraus &amp; Allison, 2009), </w:t>
      </w:r>
      <w:r>
        <w:rPr>
          <w:i w:val="1"/>
          <w:iCs w:val="1"/>
          <w:rtl w:val="0"/>
          <w:lang w:val="en-US"/>
        </w:rPr>
        <w:t>O. anulata</w:t>
      </w:r>
      <w:r>
        <w:rPr>
          <w:rtl w:val="0"/>
          <w:lang w:val="en-US"/>
        </w:rPr>
        <w:t xml:space="preserve"> (Stejneger, 1908), </w:t>
      </w:r>
      <w:r>
        <w:rPr>
          <w:i w:val="1"/>
          <w:iCs w:val="1"/>
          <w:rtl w:val="0"/>
          <w:lang w:val="en-US"/>
        </w:rPr>
        <w:t>Oreophryne aurora</w:t>
      </w:r>
      <w:r>
        <w:rPr>
          <w:rtl w:val="0"/>
          <w:lang w:val="en-US"/>
        </w:rPr>
        <w:t xml:space="preserve"> (Kraus, 2016), </w:t>
      </w:r>
      <w:r>
        <w:rPr>
          <w:i w:val="1"/>
          <w:iCs w:val="1"/>
          <w:rtl w:val="0"/>
          <w:lang w:val="en-US"/>
        </w:rPr>
        <w:t>Oreophryne biroi</w:t>
      </w:r>
      <w:r>
        <w:rPr>
          <w:rtl w:val="0"/>
          <w:lang w:val="en-US"/>
        </w:rPr>
        <w:t xml:space="preserve"> (M</w:t>
      </w:r>
      <w:r>
        <w:rPr>
          <w:rtl w:val="0"/>
          <w:lang w:val="en-US"/>
        </w:rPr>
        <w:t>é</w:t>
      </w:r>
      <w:r>
        <w:rPr>
          <w:rtl w:val="0"/>
          <w:lang w:val="en-US"/>
        </w:rPr>
        <w:t xml:space="preserve">hely, 1897), </w:t>
      </w:r>
      <w:r>
        <w:rPr>
          <w:i w:val="1"/>
          <w:iCs w:val="1"/>
          <w:rtl w:val="0"/>
          <w:lang w:val="en-US"/>
        </w:rPr>
        <w:t>Oreophryne brachypus</w:t>
      </w:r>
      <w:r>
        <w:rPr>
          <w:rtl w:val="0"/>
          <w:lang w:val="en-US"/>
        </w:rPr>
        <w:t xml:space="preserve"> (Werner, 1898), </w:t>
      </w:r>
      <w:r>
        <w:rPr>
          <w:i w:val="1"/>
          <w:iCs w:val="1"/>
          <w:rtl w:val="0"/>
          <w:lang w:val="en-US"/>
        </w:rPr>
        <w:t>Oreophryne cameroni</w:t>
      </w:r>
      <w:r>
        <w:rPr>
          <w:rtl w:val="0"/>
          <w:lang w:val="en-US"/>
        </w:rPr>
        <w:t xml:space="preserve"> (Kraus, 2013), </w:t>
      </w:r>
      <w:r>
        <w:rPr>
          <w:i w:val="1"/>
          <w:iCs w:val="1"/>
          <w:rtl w:val="0"/>
          <w:lang w:val="en-US"/>
        </w:rPr>
        <w:t>Oreophryne geislerorum</w:t>
      </w:r>
      <w:r>
        <w:rPr>
          <w:rtl w:val="0"/>
          <w:lang w:val="en-US"/>
        </w:rPr>
        <w:t xml:space="preserve"> (Boettger, 1892), </w:t>
      </w:r>
      <w:r>
        <w:rPr>
          <w:i w:val="1"/>
          <w:iCs w:val="1"/>
          <w:rtl w:val="0"/>
          <w:lang w:val="en-US"/>
        </w:rPr>
        <w:t>Oreophryne graminis</w:t>
      </w:r>
      <w:r>
        <w:rPr>
          <w:rtl w:val="0"/>
          <w:lang w:val="en-US"/>
        </w:rPr>
        <w:t xml:space="preserve"> [G</w:t>
      </w:r>
      <w:r>
        <w:rPr>
          <w:rtl w:val="0"/>
          <w:lang w:val="en-US"/>
        </w:rPr>
        <w:t>ü</w:t>
      </w:r>
      <w:r>
        <w:rPr>
          <w:rtl w:val="0"/>
          <w:lang w:val="en-US"/>
        </w:rPr>
        <w:t xml:space="preserve">nther &amp; Richards (2012)), </w:t>
      </w:r>
      <w:r>
        <w:rPr>
          <w:i w:val="1"/>
          <w:iCs w:val="1"/>
          <w:rtl w:val="0"/>
          <w:lang w:val="en-US"/>
        </w:rPr>
        <w:t>Oreophryne inornata</w:t>
      </w:r>
      <w:r>
        <w:rPr>
          <w:rtl w:val="0"/>
          <w:lang w:val="en-US"/>
        </w:rPr>
        <w:t xml:space="preserve"> (Zweifel, 1956), </w:t>
      </w:r>
      <w:r>
        <w:rPr>
          <w:i w:val="1"/>
          <w:iCs w:val="1"/>
          <w:rtl w:val="0"/>
          <w:lang w:val="en-US"/>
        </w:rPr>
        <w:t>Oreophryne lemur</w:t>
      </w:r>
      <w:r>
        <w:rPr>
          <w:rtl w:val="0"/>
          <w:lang w:val="en-US"/>
        </w:rPr>
        <w:t xml:space="preserve"> (Kraus, 2016), </w:t>
      </w:r>
      <w:r>
        <w:rPr>
          <w:i w:val="1"/>
          <w:iCs w:val="1"/>
          <w:rtl w:val="0"/>
          <w:lang w:val="en-US"/>
        </w:rPr>
        <w:t>Oreophryne loriae</w:t>
      </w:r>
      <w:r>
        <w:rPr>
          <w:rtl w:val="0"/>
          <w:lang w:val="en-US"/>
        </w:rPr>
        <w:t xml:space="preserve"> (Boulenger, 1898), </w:t>
      </w:r>
      <w:r>
        <w:rPr>
          <w:i w:val="1"/>
          <w:iCs w:val="1"/>
          <w:rtl w:val="0"/>
          <w:lang w:val="en-US"/>
        </w:rPr>
        <w:t>Oreophryne nana</w:t>
      </w:r>
      <w:r>
        <w:rPr>
          <w:rtl w:val="0"/>
          <w:lang w:val="en-US"/>
        </w:rPr>
        <w:t xml:space="preserve"> (Brown &amp; Alcala, 1967), </w:t>
      </w:r>
      <w:r>
        <w:rPr>
          <w:i w:val="1"/>
          <w:iCs w:val="1"/>
          <w:rtl w:val="0"/>
          <w:lang w:val="en-US"/>
        </w:rPr>
        <w:t>Oreophryne notata</w:t>
      </w:r>
      <w:r>
        <w:rPr>
          <w:rtl w:val="0"/>
          <w:lang w:val="en-US"/>
        </w:rPr>
        <w:t xml:space="preserve"> (Zweifel, 2003), </w:t>
      </w:r>
      <w:r>
        <w:rPr>
          <w:i w:val="1"/>
          <w:iCs w:val="1"/>
          <w:rtl w:val="0"/>
          <w:lang w:val="en-US"/>
        </w:rPr>
        <w:t>Oreophryne parkeri</w:t>
      </w:r>
      <w:r>
        <w:rPr>
          <w:rtl w:val="0"/>
          <w:lang w:val="en-US"/>
        </w:rPr>
        <w:t xml:space="preserve"> (Loveridge, 1955), </w:t>
      </w:r>
      <w:r>
        <w:rPr>
          <w:i w:val="1"/>
          <w:iCs w:val="1"/>
          <w:rtl w:val="0"/>
          <w:lang w:val="en-US"/>
        </w:rPr>
        <w:t>Oreophryne parkopanorum</w:t>
      </w:r>
      <w:r>
        <w:rPr>
          <w:rtl w:val="0"/>
          <w:lang w:val="en-US"/>
        </w:rPr>
        <w:t xml:space="preserve"> (Kraus, 2013), </w:t>
      </w:r>
      <w:r>
        <w:rPr>
          <w:i w:val="1"/>
          <w:iCs w:val="1"/>
          <w:rtl w:val="0"/>
          <w:lang w:val="en-US"/>
        </w:rPr>
        <w:t>Oreophryne philosylleptoris</w:t>
      </w:r>
      <w:r>
        <w:rPr>
          <w:rtl w:val="0"/>
          <w:lang w:val="en-US"/>
        </w:rPr>
        <w:t xml:space="preserve"> (Kraus, 2016), and </w:t>
      </w:r>
      <w:r>
        <w:rPr>
          <w:i w:val="1"/>
          <w:iCs w:val="1"/>
          <w:rtl w:val="0"/>
          <w:lang w:val="en-US"/>
        </w:rPr>
        <w:t>Oreophryne senckenbergiana</w:t>
      </w:r>
      <w:r>
        <w:rPr>
          <w:rtl w:val="0"/>
          <w:lang w:val="en-US"/>
        </w:rPr>
        <w:t xml:space="preserve"> (Boettger, 1895). A number of species were not available for our study but should molecular evidence demonstrate their relationship within Oreophryne, those species should also retain their generic identity.</w:t>
      </w:r>
    </w:p>
    <w:p>
      <w:pPr>
        <w:pStyle w:val="Body Text"/>
      </w:pPr>
      <w:r>
        <w:rPr>
          <w:b w:val="1"/>
          <w:bCs w:val="1"/>
          <w:rtl w:val="0"/>
          <w:lang w:val="en-US"/>
        </w:rPr>
        <w:t>Distribution:</w:t>
      </w:r>
      <w:r>
        <w:rPr>
          <w:rtl w:val="0"/>
          <w:lang w:val="en-US"/>
        </w:rPr>
        <w:t xml:space="preserve"> The range of confirmed species in this dataset remains nearly as broad as previously defined (</w:t>
      </w:r>
      <w:r>
        <w:rPr>
          <w:rStyle w:val="Hyperlink.0"/>
        </w:rPr>
        <w:fldChar w:fldCharType="begin" w:fldLock="0"/>
      </w:r>
      <w:r>
        <w:rPr>
          <w:rStyle w:val="Hyperlink.0"/>
        </w:rPr>
        <w:instrText xml:space="preserve"> HYPERLINK \l "bookmark14" </w:instrText>
      </w:r>
      <w:r>
        <w:rPr>
          <w:rStyle w:val="Hyperlink.0"/>
        </w:rPr>
        <w:fldChar w:fldCharType="separate" w:fldLock="0"/>
      </w:r>
      <w:r>
        <w:rPr>
          <w:rStyle w:val="Hyperlink.0"/>
          <w:rtl w:val="0"/>
        </w:rPr>
        <w:t>Figure</w:t>
      </w:r>
      <w:r>
        <w:rPr>
          <w:rStyle w:val="Hyperlink.0"/>
          <w:rtl w:val="0"/>
        </w:rPr>
        <w:t> </w:t>
      </w:r>
      <w:r>
        <w:rPr>
          <w:rStyle w:val="Hyperlink.0"/>
          <w:rtl w:val="0"/>
        </w:rPr>
        <w:t>3</w:t>
      </w:r>
      <w:r>
        <w:rPr/>
        <w:fldChar w:fldCharType="end" w:fldLock="0"/>
      </w:r>
      <w:r>
        <w:rPr>
          <w:rtl w:val="0"/>
          <w:lang w:val="en-US"/>
        </w:rPr>
        <w:t xml:space="preserve">), from the Philippines and Indonesia to the southeastern most tip of mainland New Guinea and several near-shore islands (Fergusson, and Normanby Is.) and the distant Rossel Island of the Louisiade Archipelago. However, the transfer of species which occupy Woodlark Islands and Misima and Sudest Islands of the Louisaide Archipelago reduces the known range of </w:t>
      </w:r>
      <w:r>
        <w:rPr>
          <w:i w:val="1"/>
          <w:iCs w:val="1"/>
          <w:rtl w:val="0"/>
          <w:lang w:val="en-US"/>
        </w:rPr>
        <w:t>Oreophryne</w:t>
      </w:r>
      <w:r>
        <w:rPr>
          <w:rtl w:val="0"/>
          <w:lang w:val="en-US"/>
        </w:rPr>
        <w:t xml:space="preserve">. Woodlark Island is inhabited by </w:t>
      </w:r>
      <w:r>
        <w:rPr>
          <w:i w:val="1"/>
          <w:iCs w:val="1"/>
          <w:rtl w:val="0"/>
          <w:lang w:val="en-US"/>
        </w:rPr>
        <w:t>O. phoebe</w:t>
      </w:r>
      <w:r>
        <w:rPr>
          <w:rtl w:val="0"/>
          <w:lang w:val="en-US"/>
        </w:rPr>
        <w:t xml:space="preserve"> [=</w:t>
      </w:r>
      <w:r>
        <w:rPr>
          <w:i w:val="1"/>
          <w:iCs w:val="1"/>
          <w:rtl w:val="0"/>
          <w:lang w:val="en-US"/>
        </w:rPr>
        <w:t>Auparoparo phoebe</w:t>
      </w:r>
      <w:r>
        <w:rPr>
          <w:rtl w:val="0"/>
          <w:lang w:val="en-US"/>
        </w:rPr>
        <w:t xml:space="preserve">], Misima Island is inhabited by </w:t>
      </w:r>
      <w:r>
        <w:rPr>
          <w:i w:val="1"/>
          <w:iCs w:val="1"/>
          <w:rtl w:val="0"/>
          <w:lang w:val="en-US"/>
        </w:rPr>
        <w:t>O. picticrus</w:t>
      </w:r>
      <w:r>
        <w:rPr>
          <w:rtl w:val="0"/>
          <w:lang w:val="en-US"/>
        </w:rPr>
        <w:t xml:space="preserve"> [=</w:t>
      </w:r>
      <w:r>
        <w:rPr>
          <w:i w:val="1"/>
          <w:iCs w:val="1"/>
          <w:rtl w:val="0"/>
          <w:lang w:val="en-US"/>
        </w:rPr>
        <w:t>Auparoparo picticrus</w:t>
      </w:r>
      <w:r>
        <w:rPr>
          <w:rtl w:val="0"/>
          <w:lang w:val="en-US"/>
        </w:rPr>
        <w:t xml:space="preserve">], and Sudest Island is inhabited by </w:t>
      </w:r>
      <w:r>
        <w:rPr>
          <w:i w:val="1"/>
          <w:iCs w:val="1"/>
          <w:rtl w:val="0"/>
          <w:lang w:val="en-US"/>
        </w:rPr>
        <w:t>O. ezra</w:t>
      </w:r>
      <w:r>
        <w:rPr>
          <w:rtl w:val="0"/>
          <w:lang w:val="en-US"/>
        </w:rPr>
        <w:t xml:space="preserve"> and </w:t>
      </w:r>
      <w:r>
        <w:rPr>
          <w:i w:val="1"/>
          <w:iCs w:val="1"/>
          <w:rtl w:val="0"/>
          <w:lang w:val="en-US"/>
        </w:rPr>
        <w:t>O. meliades</w:t>
      </w:r>
      <w:r>
        <w:rPr>
          <w:rtl w:val="0"/>
          <w:lang w:val="en-US"/>
        </w:rPr>
        <w:t xml:space="preserve"> [= </w:t>
      </w:r>
      <w:r>
        <w:rPr>
          <w:i w:val="1"/>
          <w:iCs w:val="1"/>
          <w:rtl w:val="0"/>
          <w:lang w:val="en-US"/>
        </w:rPr>
        <w:t>Auparoparo ezra</w:t>
      </w:r>
      <w:r>
        <w:rPr>
          <w:rtl w:val="0"/>
          <w:lang w:val="en-US"/>
        </w:rPr>
        <w:t xml:space="preserve"> and </w:t>
      </w:r>
      <w:r>
        <w:rPr>
          <w:i w:val="1"/>
          <w:iCs w:val="1"/>
          <w:rtl w:val="0"/>
          <w:lang w:val="en-US"/>
        </w:rPr>
        <w:t>Auparoparo meliades</w:t>
      </w:r>
      <w:r>
        <w:rPr>
          <w:rtl w:val="0"/>
          <w:lang w:val="en-US"/>
        </w:rPr>
        <w:t>].</w:t>
      </w:r>
    </w:p>
    <w:p>
      <w:pPr>
        <w:pStyle w:val="Body Text"/>
      </w:pPr>
      <w:r>
        <w:rPr>
          <w:b w:val="1"/>
          <w:bCs w:val="1"/>
          <w:rtl w:val="0"/>
          <w:lang w:val="en-US"/>
        </w:rPr>
        <w:t>Family Microhylidae (G</w:t>
      </w:r>
      <w:r>
        <w:rPr>
          <w:b w:val="1"/>
          <w:bCs w:val="1"/>
          <w:rtl w:val="0"/>
          <w:lang w:val="en-US"/>
        </w:rPr>
        <w:t>ü</w:t>
      </w:r>
      <w:r>
        <w:rPr>
          <w:b w:val="1"/>
          <w:bCs w:val="1"/>
          <w:rtl w:val="0"/>
          <w:lang w:val="en-US"/>
        </w:rPr>
        <w:t>nther, 1858)</w:t>
      </w:r>
      <w:r>
        <w:br w:type="textWrapping"/>
      </w:r>
      <w:r>
        <w:rPr>
          <w:b w:val="1"/>
          <w:bCs w:val="1"/>
          <w:rtl w:val="0"/>
          <w:lang w:val="en-US"/>
        </w:rPr>
        <w:t>Subfamily Asterophryinae (G</w:t>
      </w:r>
      <w:r>
        <w:rPr>
          <w:b w:val="1"/>
          <w:bCs w:val="1"/>
          <w:rtl w:val="0"/>
          <w:lang w:val="en-US"/>
        </w:rPr>
        <w:t>ü</w:t>
      </w:r>
      <w:r>
        <w:rPr>
          <w:b w:val="1"/>
          <w:bCs w:val="1"/>
          <w:rtl w:val="0"/>
          <w:lang w:val="en-US"/>
        </w:rPr>
        <w:t>nther, 1858)</w:t>
      </w:r>
      <w:r>
        <w:br w:type="textWrapping"/>
      </w:r>
      <w:r>
        <w:rPr>
          <w:b w:val="1"/>
          <w:bCs w:val="1"/>
          <w:rtl w:val="0"/>
          <w:lang w:val="en-US"/>
        </w:rPr>
        <w:t>Genus Auparoparo gen. nov.</w:t>
      </w:r>
      <w:r>
        <w:br w:type="textWrapping"/>
      </w:r>
      <w:r>
        <w:rPr>
          <w:i w:val="1"/>
          <w:iCs w:val="1"/>
          <w:rtl w:val="0"/>
          <w:lang w:val="en-US"/>
        </w:rPr>
        <w:t>Oreophryne</w:t>
      </w:r>
      <w:r>
        <w:rPr>
          <w:rtl w:val="0"/>
          <w:lang w:val="en-US"/>
        </w:rPr>
        <w:t xml:space="preserve"> (Boettger, 1895)</w:t>
      </w:r>
      <w:r>
        <w:br w:type="textWrapping"/>
      </w:r>
      <w:r>
        <w:rPr>
          <w:i w:val="1"/>
          <w:iCs w:val="1"/>
          <w:rtl w:val="0"/>
          <w:lang w:val="en-US"/>
        </w:rPr>
        <w:t>Sphenophryne</w:t>
      </w:r>
      <w:r>
        <w:rPr>
          <w:rtl w:val="0"/>
          <w:lang w:val="en-US"/>
        </w:rPr>
        <w:t xml:space="preserve"> (anthonyi) (Boulenger, 1897)</w:t>
      </w:r>
      <w:r>
        <w:br w:type="textWrapping"/>
      </w:r>
      <w:r>
        <w:rPr>
          <w:rtl w:val="0"/>
          <w:lang w:val="en-US"/>
        </w:rPr>
        <w:t xml:space="preserve">Type species </w:t>
      </w:r>
      <w:r>
        <w:rPr>
          <w:i w:val="1"/>
          <w:iCs w:val="1"/>
          <w:rtl w:val="0"/>
          <w:lang w:val="en-US"/>
        </w:rPr>
        <w:t>Oreophryne penelopeia</w:t>
      </w:r>
      <w:r>
        <w:rPr>
          <w:rtl w:val="0"/>
          <w:lang w:val="en-US"/>
        </w:rPr>
        <w:t xml:space="preserve"> (Kraus, 2016) [=</w:t>
      </w:r>
      <w:r>
        <w:rPr>
          <w:i w:val="1"/>
          <w:iCs w:val="1"/>
          <w:rtl w:val="0"/>
          <w:lang w:val="en-US"/>
        </w:rPr>
        <w:t>Auparoparo penelopeia</w:t>
      </w:r>
      <w:r>
        <w:rPr>
          <w:rtl w:val="0"/>
          <w:lang w:val="en-US"/>
        </w:rPr>
        <w:t>]</w:t>
      </w:r>
    </w:p>
    <w:p>
      <w:pPr>
        <w:pStyle w:val="Body Text"/>
      </w:pPr>
      <w:r>
        <w:rPr>
          <w:b w:val="1"/>
          <w:bCs w:val="1"/>
          <w:rtl w:val="0"/>
          <w:lang w:val="en-US"/>
        </w:rPr>
        <w:t>Diagnosis:</w:t>
      </w:r>
      <w:r>
        <w:rPr>
          <w:rtl w:val="0"/>
          <w:lang w:val="en-US"/>
        </w:rPr>
        <w:t xml:space="preserve"> We note that there are no synapomorphies in adult </w:t>
      </w:r>
      <w:r>
        <w:rPr>
          <w:i w:val="1"/>
          <w:iCs w:val="1"/>
          <w:rtl w:val="0"/>
          <w:lang w:val="en-US"/>
        </w:rPr>
        <w:t>Auparoparo</w:t>
      </w:r>
      <w:r>
        <w:rPr>
          <w:rtl w:val="0"/>
          <w:lang w:val="en-US"/>
        </w:rPr>
        <w:t xml:space="preserve"> that differ from the morphologically similar genus </w:t>
      </w:r>
      <w:r>
        <w:rPr>
          <w:i w:val="1"/>
          <w:iCs w:val="1"/>
          <w:rtl w:val="0"/>
          <w:lang w:val="en-US"/>
        </w:rPr>
        <w:t>Oreophryne</w:t>
      </w:r>
      <w:r>
        <w:rPr>
          <w:rtl w:val="0"/>
          <w:lang w:val="en-US"/>
        </w:rPr>
        <w:t>. Diagnoses should be made by molecular phylogenetic analysis, based on the phylogenetic definition below.</w:t>
      </w:r>
    </w:p>
    <w:p>
      <w:pPr>
        <w:pStyle w:val="Body Text"/>
      </w:pPr>
      <w:r>
        <w:rPr>
          <w:b w:val="1"/>
          <w:bCs w:val="1"/>
          <w:rtl w:val="0"/>
          <w:lang w:val="en-US"/>
        </w:rPr>
        <w:t>Description:</w:t>
      </w:r>
      <w:r>
        <w:rPr>
          <w:rtl w:val="0"/>
          <w:lang w:val="en-US"/>
        </w:rPr>
        <w:t xml:space="preserve"> </w:t>
      </w:r>
      <w:r>
        <w:rPr>
          <w:i w:val="1"/>
          <w:iCs w:val="1"/>
          <w:rtl w:val="0"/>
          <w:lang w:val="en-US"/>
        </w:rPr>
        <w:t>Auparoparo</w:t>
      </w:r>
      <w:r>
        <w:rPr>
          <w:rtl w:val="0"/>
          <w:lang w:val="en-US"/>
        </w:rPr>
        <w:t xml:space="preserve"> differs from most other genera in subfamily Asterophryinae, but not from </w:t>
      </w:r>
      <w:r>
        <w:rPr>
          <w:i w:val="1"/>
          <w:iCs w:val="1"/>
          <w:rtl w:val="0"/>
          <w:lang w:val="en-US"/>
        </w:rPr>
        <w:t>Oreophryne</w:t>
      </w:r>
      <w:r>
        <w:rPr>
          <w:rtl w:val="0"/>
          <w:lang w:val="en-US"/>
        </w:rPr>
        <w:t>, by the combination of (1) presence of highly reduced clavicles (vs absence or elongate) which have a distinctly curved shape; (2) presence of well developed digital discs, with finger discs notably wider than toe discs (typically 20% or more); (3) arboreal lifestyle (perch height &gt;2m above ground); (4) small to moderately large body size in known species, from 16mm (</w:t>
      </w:r>
      <w:r>
        <w:rPr>
          <w:i w:val="1"/>
          <w:iCs w:val="1"/>
          <w:rtl w:val="0"/>
          <w:lang w:val="en-US"/>
        </w:rPr>
        <w:t>A. brunnea</w:t>
      </w:r>
      <w:r>
        <w:rPr>
          <w:rtl w:val="0"/>
          <w:lang w:val="en-US"/>
        </w:rPr>
        <w:t>, Kraus, 2017) to 25 mm (</w:t>
      </w:r>
      <w:r>
        <w:rPr>
          <w:i w:val="1"/>
          <w:iCs w:val="1"/>
          <w:rtl w:val="0"/>
          <w:lang w:val="en-US"/>
        </w:rPr>
        <w:t>A. picticrus</w:t>
      </w:r>
      <w:r>
        <w:rPr>
          <w:rtl w:val="0"/>
          <w:lang w:val="en-US"/>
        </w:rPr>
        <w:t xml:space="preserve">, Kraus, 2016); (5) small to invisible tympanum; (6) large eyes with pupil horizontal; (7)occasional presence of toe webbing; (8) and thin, elongated limbs; and (9) and in many species males that call with a </w:t>
      </w:r>
      <w:r>
        <w:rPr>
          <w:rtl w:val="0"/>
          <w:lang w:val="en-US"/>
        </w:rPr>
        <w:t>“</w:t>
      </w:r>
      <w:r>
        <w:rPr>
          <w:rtl w:val="0"/>
          <w:lang w:val="en-US"/>
        </w:rPr>
        <w:t>whinny</w:t>
      </w:r>
      <w:r>
        <w:rPr>
          <w:rtl w:val="0"/>
          <w:lang w:val="en-US"/>
        </w:rPr>
        <w:t xml:space="preserve">” </w:t>
      </w:r>
      <w:r>
        <w:rPr>
          <w:rtl w:val="0"/>
          <w:lang w:val="en-US"/>
        </w:rPr>
        <w:t xml:space="preserve">call type or in some species </w:t>
      </w:r>
      <w:r>
        <w:rPr>
          <w:rtl w:val="0"/>
          <w:lang w:val="en-US"/>
        </w:rPr>
        <w:t>“</w:t>
      </w:r>
      <w:r>
        <w:rPr>
          <w:rtl w:val="0"/>
          <w:lang w:val="en-US"/>
        </w:rPr>
        <w:t>rattle</w:t>
      </w:r>
      <w:r>
        <w:rPr>
          <w:rtl w:val="0"/>
          <w:lang w:val="en-US"/>
        </w:rPr>
        <w:t xml:space="preserve">” </w:t>
      </w:r>
      <w:r>
        <w:rPr>
          <w:rtl w:val="0"/>
          <w:lang w:val="en-US"/>
        </w:rPr>
        <w:t xml:space="preserve">type. Some species of </w:t>
      </w:r>
      <w:r>
        <w:rPr>
          <w:i w:val="1"/>
          <w:iCs w:val="1"/>
          <w:rtl w:val="0"/>
          <w:lang w:val="en-US"/>
        </w:rPr>
        <w:t>Auparoparo</w:t>
      </w:r>
      <w:r>
        <w:rPr>
          <w:rtl w:val="0"/>
          <w:lang w:val="en-US"/>
        </w:rPr>
        <w:t xml:space="preserve"> may be distinguished from </w:t>
      </w:r>
      <w:r>
        <w:rPr>
          <w:i w:val="1"/>
          <w:iCs w:val="1"/>
          <w:rtl w:val="0"/>
          <w:lang w:val="en-US"/>
        </w:rPr>
        <w:t>Oreophryne</w:t>
      </w:r>
      <w:r>
        <w:rPr>
          <w:rtl w:val="0"/>
          <w:lang w:val="en-US"/>
        </w:rPr>
        <w:t xml:space="preserve"> by larger finger pads than toe pads and males calling with </w:t>
      </w:r>
      <w:r>
        <w:rPr>
          <w:rtl w:val="0"/>
          <w:lang w:val="en-US"/>
        </w:rPr>
        <w:t>“</w:t>
      </w:r>
      <w:r>
        <w:rPr>
          <w:rtl w:val="0"/>
          <w:lang w:val="en-US"/>
        </w:rPr>
        <w:t>whinny</w:t>
      </w:r>
      <w:r>
        <w:rPr>
          <w:rtl w:val="0"/>
          <w:lang w:val="en-US"/>
        </w:rPr>
        <w:t xml:space="preserve">” </w:t>
      </w:r>
      <w:r>
        <w:rPr>
          <w:rtl w:val="0"/>
          <w:lang w:val="en-US"/>
        </w:rPr>
        <w:t xml:space="preserve">but not </w:t>
      </w:r>
      <w:r>
        <w:rPr>
          <w:rtl w:val="0"/>
          <w:lang w:val="en-US"/>
        </w:rPr>
        <w:t>“</w:t>
      </w:r>
      <w:r>
        <w:rPr>
          <w:rtl w:val="0"/>
          <w:lang w:val="en-US"/>
        </w:rPr>
        <w:t>honk</w:t>
      </w:r>
      <w:r>
        <w:rPr>
          <w:rtl w:val="0"/>
          <w:lang w:val="en-US"/>
        </w:rPr>
        <w:t xml:space="preserve">” </w:t>
      </w:r>
      <w:r>
        <w:rPr>
          <w:rtl w:val="0"/>
          <w:lang w:val="en-US"/>
        </w:rPr>
        <w:t xml:space="preserve">or </w:t>
      </w:r>
      <w:r>
        <w:rPr>
          <w:rtl w:val="0"/>
          <w:lang w:val="en-US"/>
        </w:rPr>
        <w:t>“</w:t>
      </w:r>
      <w:r>
        <w:rPr>
          <w:rtl w:val="0"/>
          <w:lang w:val="en-US"/>
        </w:rPr>
        <w:t>peep</w:t>
      </w:r>
      <w:r>
        <w:rPr>
          <w:rtl w:val="0"/>
          <w:lang w:val="en-US"/>
        </w:rPr>
        <w:t xml:space="preserve">” </w:t>
      </w:r>
      <w:r>
        <w:rPr>
          <w:rtl w:val="0"/>
          <w:lang w:val="en-US"/>
        </w:rPr>
        <w:t>call types.</w:t>
      </w:r>
    </w:p>
    <w:p>
      <w:pPr>
        <w:pStyle w:val="Body Text"/>
      </w:pPr>
      <w:r>
        <w:rPr>
          <w:b w:val="1"/>
          <w:bCs w:val="1"/>
          <w:rtl w:val="0"/>
          <w:lang w:val="en-US"/>
        </w:rPr>
        <w:t>Phylogenetic definition:</w:t>
      </w:r>
      <w:r>
        <w:rPr>
          <w:rtl w:val="0"/>
          <w:lang w:val="en-US"/>
        </w:rPr>
        <w:t xml:space="preserve"> </w:t>
      </w:r>
      <w:r>
        <w:rPr>
          <w:i w:val="1"/>
          <w:iCs w:val="1"/>
          <w:rtl w:val="0"/>
          <w:lang w:val="en-US"/>
        </w:rPr>
        <w:t>Auparoparo</w:t>
      </w:r>
      <w:r>
        <w:rPr>
          <w:rtl w:val="0"/>
          <w:lang w:val="en-US"/>
        </w:rPr>
        <w:t xml:space="preserve"> (NCN) applies to the largest crown clade originating in (CCN) is defined as the maximum crown-clade originating with the most recent common ancestor of </w:t>
      </w:r>
      <w:r>
        <w:rPr>
          <w:i w:val="1"/>
          <w:iCs w:val="1"/>
          <w:rtl w:val="0"/>
          <w:lang w:val="en-US"/>
        </w:rPr>
        <w:t>Auparoparo penelopeia</w:t>
      </w:r>
      <w:r>
        <w:rPr>
          <w:rtl w:val="0"/>
          <w:lang w:val="en-US"/>
        </w:rPr>
        <w:t xml:space="preserve"> (Kraus, 2016), the type species of </w:t>
      </w:r>
      <w:r>
        <w:rPr>
          <w:i w:val="1"/>
          <w:iCs w:val="1"/>
          <w:rtl w:val="0"/>
          <w:lang w:val="en-US"/>
        </w:rPr>
        <w:t>Auparoparo</w:t>
      </w:r>
      <w:r>
        <w:rPr>
          <w:rtl w:val="0"/>
          <w:lang w:val="en-US"/>
        </w:rPr>
        <w:t xml:space="preserve">, and all extant species that share a common ancestor with </w:t>
      </w:r>
      <w:r>
        <w:rPr>
          <w:i w:val="1"/>
          <w:iCs w:val="1"/>
          <w:rtl w:val="0"/>
          <w:lang w:val="en-US"/>
        </w:rPr>
        <w:t>A. penelopeia</w:t>
      </w:r>
      <w:r>
        <w:rPr>
          <w:rtl w:val="0"/>
          <w:lang w:val="en-US"/>
        </w:rPr>
        <w:t xml:space="preserve"> more recently than they do with the type species of all the other nominal genera listed in </w:t>
      </w:r>
      <w:r>
        <w:rPr>
          <w:rStyle w:val="Hyperlink.0"/>
        </w:rPr>
        <w:fldChar w:fldCharType="begin" w:fldLock="0"/>
      </w:r>
      <w:r>
        <w:rPr>
          <w:rStyle w:val="Hyperlink.0"/>
        </w:rPr>
        <w:instrText xml:space="preserve"> HYPERLINK \l "bookmark15" </w:instrText>
      </w:r>
      <w:r>
        <w:rPr>
          <w:rStyle w:val="Hyperlink.0"/>
        </w:rPr>
        <w:fldChar w:fldCharType="separate" w:fldLock="0"/>
      </w:r>
      <w:r>
        <w:rPr>
          <w:rStyle w:val="Hyperlink.0"/>
          <w:rtl w:val="0"/>
        </w:rPr>
        <w:t>Table</w:t>
      </w:r>
      <w:r>
        <w:rPr>
          <w:rStyle w:val="Hyperlink.0"/>
          <w:rtl w:val="0"/>
        </w:rPr>
        <w:t> </w:t>
      </w:r>
      <w:r>
        <w:rPr>
          <w:rStyle w:val="Hyperlink.0"/>
          <w:rtl w:val="0"/>
        </w:rPr>
        <w:t>4</w:t>
      </w:r>
      <w:r>
        <w:rPr/>
        <w:fldChar w:fldCharType="end" w:fldLock="0"/>
      </w:r>
      <w:r>
        <w:rPr>
          <w:rtl w:val="0"/>
          <w:lang w:val="en-US"/>
        </w:rPr>
        <w:t xml:space="preserve">, the type species of the closest sister taxa being </w:t>
      </w:r>
      <w:r>
        <w:rPr>
          <w:i w:val="1"/>
          <w:iCs w:val="1"/>
          <w:rtl w:val="0"/>
          <w:lang w:val="en-US"/>
        </w:rPr>
        <w:t>Oreophryne senckenbergiana</w:t>
      </w:r>
      <w:r>
        <w:rPr>
          <w:rtl w:val="0"/>
          <w:lang w:val="en-US"/>
        </w:rPr>
        <w:t xml:space="preserve"> (Boettger, 1895), </w:t>
      </w:r>
      <w:r>
        <w:rPr>
          <w:i w:val="1"/>
          <w:iCs w:val="1"/>
          <w:rtl w:val="0"/>
          <w:lang w:val="en-US"/>
        </w:rPr>
        <w:t>Cophixalus verrucosus</w:t>
      </w:r>
      <w:r>
        <w:rPr>
          <w:rtl w:val="0"/>
          <w:lang w:val="en-US"/>
        </w:rPr>
        <w:t xml:space="preserve"> (Boettger, 1892), and </w:t>
      </w:r>
      <w:r>
        <w:rPr>
          <w:i w:val="1"/>
          <w:iCs w:val="1"/>
          <w:rtl w:val="0"/>
          <w:lang w:val="en-US"/>
        </w:rPr>
        <w:t>Paedophryne kathismaphlox</w:t>
      </w:r>
      <w:r>
        <w:rPr>
          <w:rtl w:val="0"/>
          <w:lang w:val="en-US"/>
        </w:rPr>
        <w:t xml:space="preserve"> (Kraus, 2010).</w:t>
      </w:r>
    </w:p>
    <w:p>
      <w:pPr>
        <w:pStyle w:val="Body Text"/>
      </w:pPr>
      <w:r>
        <w:rPr>
          <w:b w:val="1"/>
          <w:bCs w:val="1"/>
          <w:rtl w:val="0"/>
          <w:lang w:val="en-US"/>
        </w:rPr>
        <w:t>Content:</w:t>
      </w:r>
      <w:r>
        <w:rPr>
          <w:rtl w:val="0"/>
          <w:lang w:val="en-US"/>
        </w:rPr>
        <w:t xml:space="preserve"> We transfer eleven named species from Oreophryne into </w:t>
      </w:r>
      <w:r>
        <w:rPr>
          <w:i w:val="1"/>
          <w:iCs w:val="1"/>
          <w:rtl w:val="0"/>
          <w:lang w:val="en-US"/>
        </w:rPr>
        <w:t>Auparoparo</w:t>
      </w:r>
      <w:r>
        <w:rPr>
          <w:rtl w:val="0"/>
          <w:lang w:val="en-US"/>
        </w:rPr>
        <w:t xml:space="preserve"> (</w:t>
      </w:r>
      <w:r>
        <w:rPr>
          <w:rStyle w:val="Hyperlink.0"/>
        </w:rPr>
        <w:fldChar w:fldCharType="begin" w:fldLock="0"/>
      </w:r>
      <w:r>
        <w:rPr>
          <w:rStyle w:val="Hyperlink.0"/>
        </w:rPr>
        <w:instrText xml:space="preserve"> HYPERLINK \l "bookmark16" </w:instrText>
      </w:r>
      <w:r>
        <w:rPr>
          <w:rStyle w:val="Hyperlink.0"/>
        </w:rPr>
        <w:fldChar w:fldCharType="separate" w:fldLock="0"/>
      </w:r>
      <w:r>
        <w:rPr>
          <w:rStyle w:val="Hyperlink.0"/>
          <w:rtl w:val="0"/>
        </w:rPr>
        <w:t>Table</w:t>
      </w:r>
      <w:r>
        <w:rPr>
          <w:rStyle w:val="Hyperlink.0"/>
          <w:rtl w:val="0"/>
        </w:rPr>
        <w:t> </w:t>
      </w:r>
      <w:r>
        <w:rPr>
          <w:rStyle w:val="Hyperlink.0"/>
          <w:rtl w:val="0"/>
        </w:rPr>
        <w:t>5</w:t>
      </w:r>
      <w:r>
        <w:rPr/>
        <w:fldChar w:fldCharType="end" w:fldLock="0"/>
      </w:r>
      <w:r>
        <w:rPr>
          <w:rtl w:val="0"/>
          <w:lang w:val="en-US"/>
        </w:rPr>
        <w:t xml:space="preserve">): </w:t>
      </w:r>
      <w:r>
        <w:rPr>
          <w:i w:val="1"/>
          <w:iCs w:val="1"/>
          <w:rtl w:val="0"/>
          <w:lang w:val="en-US"/>
        </w:rPr>
        <w:t>Auparoparo brunnea</w:t>
      </w:r>
      <w:r>
        <w:rPr>
          <w:rtl w:val="0"/>
          <w:lang w:val="en-US"/>
        </w:rPr>
        <w:t xml:space="preserve"> (Kraus, 2017), </w:t>
      </w:r>
      <w:r>
        <w:rPr>
          <w:i w:val="1"/>
          <w:iCs w:val="1"/>
          <w:rtl w:val="0"/>
          <w:lang w:val="en-US"/>
        </w:rPr>
        <w:t>Auparoparo equus</w:t>
      </w:r>
      <w:r>
        <w:rPr>
          <w:rtl w:val="0"/>
          <w:lang w:val="en-US"/>
        </w:rPr>
        <w:t xml:space="preserve"> (Kraus, 2016), </w:t>
      </w:r>
      <w:r>
        <w:rPr>
          <w:i w:val="1"/>
          <w:iCs w:val="1"/>
          <w:rtl w:val="0"/>
          <w:lang w:val="en-US"/>
        </w:rPr>
        <w:t>Auparoparo ezra</w:t>
      </w:r>
      <w:r>
        <w:rPr>
          <w:rtl w:val="0"/>
          <w:lang w:val="en-US"/>
        </w:rPr>
        <w:t xml:space="preserve"> (Kraus &amp; Allison, 2009), </w:t>
      </w:r>
      <w:r>
        <w:rPr>
          <w:i w:val="1"/>
          <w:iCs w:val="1"/>
          <w:rtl w:val="0"/>
          <w:lang w:val="en-US"/>
        </w:rPr>
        <w:t>Auparoparo insulana</w:t>
      </w:r>
      <w:r>
        <w:rPr>
          <w:rtl w:val="0"/>
          <w:lang w:val="en-US"/>
        </w:rPr>
        <w:t xml:space="preserve"> (Zweifel, 1956), </w:t>
      </w:r>
      <w:r>
        <w:rPr>
          <w:i w:val="1"/>
          <w:iCs w:val="1"/>
          <w:rtl w:val="0"/>
          <w:lang w:val="en-US"/>
        </w:rPr>
        <w:t>Auparoparo matawan</w:t>
      </w:r>
      <w:r>
        <w:rPr>
          <w:rtl w:val="0"/>
          <w:lang w:val="en-US"/>
        </w:rPr>
        <w:t xml:space="preserve"> (Kraus, 2016), </w:t>
      </w:r>
      <w:r>
        <w:rPr>
          <w:i w:val="1"/>
          <w:iCs w:val="1"/>
          <w:rtl w:val="0"/>
          <w:lang w:val="en-US"/>
        </w:rPr>
        <w:t>Auparoparo meliades</w:t>
      </w:r>
      <w:r>
        <w:rPr>
          <w:rtl w:val="0"/>
          <w:lang w:val="en-US"/>
        </w:rPr>
        <w:t xml:space="preserve"> (Kraus, 2016), </w:t>
      </w:r>
      <w:r>
        <w:rPr>
          <w:i w:val="1"/>
          <w:iCs w:val="1"/>
          <w:rtl w:val="0"/>
          <w:lang w:val="en-US"/>
        </w:rPr>
        <w:t>Auparoparo penelopeia</w:t>
      </w:r>
      <w:r>
        <w:rPr>
          <w:rtl w:val="0"/>
          <w:lang w:val="en-US"/>
        </w:rPr>
        <w:t xml:space="preserve"> (Kraus, 2016), </w:t>
      </w:r>
      <w:r>
        <w:rPr>
          <w:i w:val="1"/>
          <w:iCs w:val="1"/>
          <w:rtl w:val="0"/>
          <w:lang w:val="en-US"/>
        </w:rPr>
        <w:t>Auparoparo phoebe</w:t>
      </w:r>
      <w:r>
        <w:rPr>
          <w:rtl w:val="0"/>
          <w:lang w:val="en-US"/>
        </w:rPr>
        <w:t xml:space="preserve"> (Kraus, 2017), </w:t>
      </w:r>
      <w:r>
        <w:rPr>
          <w:i w:val="1"/>
          <w:iCs w:val="1"/>
          <w:rtl w:val="0"/>
          <w:lang w:val="en-US"/>
        </w:rPr>
        <w:t>Auparoparo picticrus</w:t>
      </w:r>
      <w:r>
        <w:rPr>
          <w:rtl w:val="0"/>
          <w:lang w:val="en-US"/>
        </w:rPr>
        <w:t xml:space="preserve"> (Kraus, 2016), </w:t>
      </w:r>
      <w:r>
        <w:rPr>
          <w:i w:val="1"/>
          <w:iCs w:val="1"/>
          <w:rtl w:val="0"/>
          <w:lang w:val="en-US"/>
        </w:rPr>
        <w:t>Auparoparo nana</w:t>
      </w:r>
      <w:r>
        <w:rPr>
          <w:rtl w:val="0"/>
          <w:lang w:val="en-US"/>
        </w:rPr>
        <w:t xml:space="preserve">, </w:t>
      </w:r>
      <w:r>
        <w:rPr>
          <w:i w:val="1"/>
          <w:iCs w:val="1"/>
          <w:rtl w:val="0"/>
          <w:lang w:val="en-US"/>
        </w:rPr>
        <w:t>Auparoparo penelopia</w:t>
      </w:r>
      <w:r>
        <w:rPr>
          <w:rtl w:val="0"/>
          <w:lang w:val="en-US"/>
        </w:rPr>
        <w:t xml:space="preserve"> (Kraus, 2016), </w:t>
      </w:r>
      <w:r>
        <w:rPr>
          <w:i w:val="1"/>
          <w:iCs w:val="1"/>
          <w:rtl w:val="0"/>
          <w:lang w:val="en-US"/>
        </w:rPr>
        <w:t>Auparoparo variabilis</w:t>
      </w:r>
      <w:r>
        <w:rPr>
          <w:rtl w:val="0"/>
          <w:lang w:val="en-US"/>
        </w:rPr>
        <w:t xml:space="preserve"> (Boulenger, 1896).</w:t>
      </w:r>
    </w:p>
    <w:p>
      <w:pPr>
        <w:pStyle w:val="Body Text"/>
      </w:pPr>
      <w:r>
        <w:rPr>
          <w:b w:val="1"/>
          <w:bCs w:val="1"/>
          <w:rtl w:val="0"/>
          <w:lang w:val="en-US"/>
        </w:rPr>
        <w:t>Distribution:</w:t>
      </w:r>
      <w:r>
        <w:rPr>
          <w:rtl w:val="0"/>
          <w:lang w:val="en-US"/>
        </w:rPr>
        <w:t xml:space="preserve"> Southeastern tip of mainland Papua New Guinea and satellite islands (Fergusson, Misima, Normanby, Rossel, Sudest, Woodlark Is.), Sulawesi.</w:t>
      </w:r>
    </w:p>
    <w:p>
      <w:pPr>
        <w:pStyle w:val="Body Text"/>
      </w:pPr>
      <w:r>
        <w:rPr>
          <w:b w:val="1"/>
          <w:bCs w:val="1"/>
          <w:rtl w:val="0"/>
          <w:lang w:val="en-US"/>
        </w:rPr>
        <w:t>Etymology:</w:t>
      </w:r>
      <w:r>
        <w:rPr>
          <w:rtl w:val="0"/>
          <w:lang w:val="en-US"/>
        </w:rPr>
        <w:t xml:space="preserve"> The generic name </w:t>
      </w:r>
      <w:r>
        <w:rPr>
          <w:i w:val="1"/>
          <w:iCs w:val="1"/>
          <w:rtl w:val="0"/>
          <w:lang w:val="en-US"/>
        </w:rPr>
        <w:t>Auparoparo</w:t>
      </w:r>
      <w:r>
        <w:rPr>
          <w:rtl w:val="0"/>
          <w:lang w:val="en-US"/>
        </w:rPr>
        <w:t xml:space="preserve"> comes from the indigenous language, Motu, which is widely spoken in the region of Papua New Guinea in which this genus is found. It is a combination of the words </w:t>
      </w:r>
      <w:r>
        <w:rPr>
          <w:rtl w:val="0"/>
          <w:lang w:val="en-US"/>
        </w:rPr>
        <w:t>“</w:t>
      </w:r>
      <w:r>
        <w:rPr>
          <w:rtl w:val="0"/>
          <w:lang w:val="en-US"/>
        </w:rPr>
        <w:t>au</w:t>
      </w:r>
      <w:r>
        <w:rPr>
          <w:rtl w:val="0"/>
          <w:lang w:val="en-US"/>
        </w:rPr>
        <w:t xml:space="preserve">” </w:t>
      </w:r>
      <w:r>
        <w:rPr>
          <w:rtl w:val="0"/>
          <w:lang w:val="en-US"/>
        </w:rPr>
        <w:t xml:space="preserve">(tree) and </w:t>
      </w:r>
      <w:r>
        <w:rPr>
          <w:rtl w:val="0"/>
          <w:lang w:val="en-US"/>
        </w:rPr>
        <w:t>“</w:t>
      </w:r>
      <w:r>
        <w:rPr>
          <w:rtl w:val="0"/>
          <w:lang w:val="en-US"/>
        </w:rPr>
        <w:t>paro paro</w:t>
      </w:r>
      <w:r>
        <w:rPr>
          <w:rtl w:val="0"/>
          <w:lang w:val="en-US"/>
        </w:rPr>
        <w:t xml:space="preserve">” </w:t>
      </w:r>
      <w:r>
        <w:rPr>
          <w:rtl w:val="0"/>
          <w:lang w:val="en-US"/>
        </w:rPr>
        <w:t xml:space="preserve">(frog). Motu is not a gendered language, however, for nomenclatural purposes we designate the genus </w:t>
      </w:r>
      <w:r>
        <w:rPr>
          <w:i w:val="1"/>
          <w:iCs w:val="1"/>
          <w:rtl w:val="0"/>
          <w:lang w:val="en-US"/>
        </w:rPr>
        <w:t>Auparoparo</w:t>
      </w:r>
      <w:r>
        <w:rPr>
          <w:rtl w:val="0"/>
          <w:lang w:val="en-US"/>
        </w:rPr>
        <w:t xml:space="preserve"> as feminine, thereby preserving the gender of existing species names.</w:t>
      </w:r>
      <w:bookmarkEnd w:id="15"/>
      <w:bookmarkEnd w:id="14"/>
    </w:p>
    <w:p>
      <w:pPr>
        <w:pStyle w:val="Heading 1"/>
      </w:pPr>
      <w:bookmarkStart w:name="discussion" w:id="16"/>
      <w:r>
        <w:rPr>
          <w:rFonts w:cs="Arial Unicode MS" w:eastAsia="Arial Unicode MS"/>
          <w:rtl w:val="0"/>
          <w:lang w:val="en-US"/>
        </w:rPr>
        <w:t>Discussion</w:t>
      </w:r>
    </w:p>
    <w:p>
      <w:pPr>
        <w:pStyle w:val="First Paragraph"/>
      </w:pPr>
      <w:r>
        <w:rPr>
          <w:rtl w:val="0"/>
          <w:lang w:val="en-US"/>
        </w:rPr>
        <w:t xml:space="preserve">Our phylogenetic results (Hill </w:t>
      </w:r>
      <w:r>
        <w:rPr>
          <w:i w:val="1"/>
          <w:iCs w:val="1"/>
          <w:rtl w:val="0"/>
          <w:lang w:val="en-US"/>
        </w:rPr>
        <w:t>et al.</w:t>
      </w:r>
      <w:r>
        <w:rPr>
          <w:rtl w:val="0"/>
          <w:lang w:val="en-US"/>
        </w:rPr>
        <w:t xml:space="preserve">, 2022; 2023b, this study) provide clarity on the classification of the problematic genus </w:t>
      </w:r>
      <w:r>
        <w:rPr>
          <w:i w:val="1"/>
          <w:iCs w:val="1"/>
          <w:rtl w:val="0"/>
          <w:lang w:val="en-US"/>
        </w:rPr>
        <w:t>Oreophryne</w:t>
      </w:r>
      <w:r>
        <w:rPr>
          <w:rtl w:val="0"/>
          <w:lang w:val="en-US"/>
        </w:rPr>
        <w:t xml:space="preserve"> sensu lato. We confirm that </w:t>
      </w:r>
      <w:r>
        <w:rPr>
          <w:i w:val="1"/>
          <w:iCs w:val="1"/>
          <w:rtl w:val="0"/>
          <w:lang w:val="en-US"/>
        </w:rPr>
        <w:t>Oreophryne</w:t>
      </w:r>
      <w:r>
        <w:rPr>
          <w:rtl w:val="0"/>
          <w:lang w:val="en-US"/>
        </w:rPr>
        <w:t xml:space="preserve"> sensu lato is polyphyletic and consists of two reciprocally monophyletic clades, </w:t>
      </w:r>
      <w:r>
        <w:rPr>
          <w:rtl w:val="0"/>
          <w:lang w:val="en-US"/>
        </w:rPr>
        <w:t>“</w:t>
      </w:r>
      <w:r>
        <w:rPr>
          <w:rtl w:val="0"/>
          <w:lang w:val="en-US"/>
        </w:rPr>
        <w:t>Oreophryne A</w:t>
      </w:r>
      <w:r>
        <w:rPr>
          <w:rtl w:val="0"/>
          <w:lang w:val="en-US"/>
        </w:rPr>
        <w:t xml:space="preserve">” </w:t>
      </w:r>
      <w:r>
        <w:rPr>
          <w:rtl w:val="0"/>
          <w:lang w:val="en-US"/>
        </w:rPr>
        <w:t xml:space="preserve">and </w:t>
      </w:r>
      <w:r>
        <w:rPr>
          <w:rtl w:val="0"/>
          <w:lang w:val="en-US"/>
        </w:rPr>
        <w:t>“</w:t>
      </w:r>
      <w:r>
        <w:rPr>
          <w:rtl w:val="0"/>
          <w:lang w:val="en-US"/>
        </w:rPr>
        <w:t>B</w:t>
      </w:r>
      <w:r>
        <w:rPr>
          <w:rtl w:val="0"/>
          <w:lang w:val="en-US"/>
        </w:rPr>
        <w:t xml:space="preserve">” </w:t>
      </w:r>
      <w:r>
        <w:rPr>
          <w:rtl w:val="0"/>
          <w:lang w:val="en-US"/>
        </w:rPr>
        <w:t xml:space="preserve">(of Hill </w:t>
      </w:r>
      <w:r>
        <w:rPr>
          <w:i w:val="1"/>
          <w:iCs w:val="1"/>
          <w:rtl w:val="0"/>
          <w:lang w:val="en-US"/>
        </w:rPr>
        <w:t>et al.</w:t>
      </w:r>
      <w:r>
        <w:rPr>
          <w:rtl w:val="0"/>
          <w:lang w:val="en-US"/>
        </w:rPr>
        <w:t>, 2022), originating 18 and 16 MYA, respectively (</w:t>
      </w:r>
      <w:r>
        <w:rPr>
          <w:rStyle w:val="Hyperlink.0"/>
        </w:rPr>
        <w:fldChar w:fldCharType="begin" w:fldLock="0"/>
      </w:r>
      <w:r>
        <w:rPr>
          <w:rStyle w:val="Hyperlink.0"/>
        </w:rPr>
        <w:instrText xml:space="preserve"> HYPERLINK \l "bookmark17" </w:instrText>
      </w:r>
      <w:r>
        <w:rPr>
          <w:rStyle w:val="Hyperlink.0"/>
        </w:rPr>
        <w:fldChar w:fldCharType="separate" w:fldLock="0"/>
      </w:r>
      <w:r>
        <w:rPr>
          <w:rStyle w:val="Hyperlink.0"/>
          <w:rtl w:val="0"/>
        </w:rPr>
        <w:t>Figure</w:t>
      </w:r>
      <w:r>
        <w:rPr>
          <w:rStyle w:val="Hyperlink.0"/>
          <w:rtl w:val="0"/>
        </w:rPr>
        <w:t> </w:t>
      </w:r>
      <w:r>
        <w:rPr>
          <w:rStyle w:val="Hyperlink.0"/>
          <w:rtl w:val="0"/>
        </w:rPr>
        <w:t>2</w:t>
      </w:r>
      <w:r>
        <w:rPr/>
        <w:fldChar w:fldCharType="end" w:fldLock="0"/>
      </w:r>
      <w:r>
        <w:rPr>
          <w:rtl w:val="0"/>
          <w:lang w:val="en-US"/>
        </w:rPr>
        <w:t xml:space="preserve">). Here we designate </w:t>
      </w:r>
      <w:r>
        <w:rPr>
          <w:rtl w:val="0"/>
          <w:lang w:val="en-US"/>
        </w:rPr>
        <w:t>“</w:t>
      </w:r>
      <w:r>
        <w:rPr>
          <w:rtl w:val="0"/>
          <w:lang w:val="en-US"/>
        </w:rPr>
        <w:t>Oreophryne A</w:t>
      </w:r>
      <w:r>
        <w:rPr>
          <w:rtl w:val="0"/>
          <w:lang w:val="en-US"/>
        </w:rPr>
        <w:t xml:space="preserve">” </w:t>
      </w:r>
      <w:r>
        <w:rPr>
          <w:rtl w:val="0"/>
          <w:lang w:val="en-US"/>
        </w:rPr>
        <w:t xml:space="preserve">as the genus </w:t>
      </w:r>
      <w:r>
        <w:rPr>
          <w:i w:val="1"/>
          <w:iCs w:val="1"/>
          <w:rtl w:val="0"/>
          <w:lang w:val="en-US"/>
        </w:rPr>
        <w:t>Oreophryne</w:t>
      </w:r>
      <w:r>
        <w:rPr>
          <w:rtl w:val="0"/>
          <w:lang w:val="en-US"/>
        </w:rPr>
        <w:t xml:space="preserve"> because it contains the type species </w:t>
      </w:r>
      <w:r>
        <w:rPr>
          <w:i w:val="1"/>
          <w:iCs w:val="1"/>
          <w:rtl w:val="0"/>
          <w:lang w:val="en-US"/>
        </w:rPr>
        <w:t>Oreophryne senckenbergiana</w:t>
      </w:r>
      <w:r>
        <w:rPr>
          <w:rtl w:val="0"/>
          <w:lang w:val="en-US"/>
        </w:rPr>
        <w:t xml:space="preserve"> (Boettger, 1895) with high support. </w:t>
      </w:r>
      <w:r>
        <w:rPr>
          <w:i w:val="1"/>
          <w:iCs w:val="1"/>
          <w:rtl w:val="0"/>
          <w:lang w:val="en-US"/>
        </w:rPr>
        <w:t>Oreophryne</w:t>
      </w:r>
      <w:r>
        <w:rPr>
          <w:rtl w:val="0"/>
          <w:lang w:val="en-US"/>
        </w:rPr>
        <w:t xml:space="preserve"> is the earliest diverged genus in subfamily Asterophryinae, sister to all the other genera. The second clade, </w:t>
      </w:r>
      <w:r>
        <w:rPr>
          <w:rtl w:val="0"/>
          <w:lang w:val="en-US"/>
        </w:rPr>
        <w:t>“</w:t>
      </w:r>
      <w:r>
        <w:rPr>
          <w:rtl w:val="0"/>
          <w:lang w:val="en-US"/>
        </w:rPr>
        <w:t>Oreophryne B</w:t>
      </w:r>
      <w:r>
        <w:rPr>
          <w:rtl w:val="0"/>
          <w:lang w:val="en-US"/>
        </w:rPr>
        <w:t>”</w:t>
      </w:r>
      <w:r>
        <w:rPr>
          <w:rtl w:val="0"/>
          <w:lang w:val="en-US"/>
        </w:rPr>
        <w:t xml:space="preserve">, is highly supported as a separate, unrelated genus, which contains no known species with historical generic priority. Thus, we designate this genus as </w:t>
      </w:r>
      <w:r>
        <w:rPr>
          <w:i w:val="1"/>
          <w:iCs w:val="1"/>
          <w:rtl w:val="0"/>
          <w:lang w:val="en-US"/>
        </w:rPr>
        <w:t>Auparoparo</w:t>
      </w:r>
      <w:r>
        <w:rPr>
          <w:rtl w:val="0"/>
          <w:lang w:val="en-US"/>
        </w:rPr>
        <w:t>, a tribute to the Motu language of the indigenous peoples of the region.</w:t>
      </w:r>
      <w:bookmarkEnd w:id="16"/>
      <w:bookmarkEnd w:id="13"/>
    </w:p>
    <w:p>
      <w:pPr>
        <w:pStyle w:val="Heading 2"/>
      </w:pPr>
      <w:bookmarkStart w:name="X13fbfbd8c525a3c4863f3d5b115d48bbfecd3af" w:id="17"/>
      <w:r>
        <w:rPr>
          <w:rtl w:val="0"/>
          <w:lang w:val="en-US"/>
        </w:rPr>
        <w:t>The Difficulty with Cryptic Genera: Can we tell them apart?</w:t>
      </w:r>
    </w:p>
    <w:p>
      <w:pPr>
        <w:pStyle w:val="First Paragraph"/>
      </w:pPr>
      <w:r>
        <w:rPr>
          <w:rtl w:val="0"/>
          <w:lang w:val="en-US"/>
        </w:rPr>
        <w:t xml:space="preserve">Perhaps the greatest testament to the crypticism of </w:t>
      </w:r>
      <w:r>
        <w:rPr>
          <w:i w:val="1"/>
          <w:iCs w:val="1"/>
          <w:rtl w:val="0"/>
          <w:lang w:val="en-US"/>
        </w:rPr>
        <w:t>Oreophryne</w:t>
      </w:r>
      <w:r>
        <w:rPr>
          <w:rtl w:val="0"/>
          <w:lang w:val="en-US"/>
        </w:rPr>
        <w:t xml:space="preserve"> (CCN) vs.</w:t>
      </w:r>
      <w:r>
        <w:rPr>
          <w:rtl w:val="0"/>
          <w:lang w:val="en-US"/>
        </w:rPr>
        <w:t> </w:t>
      </w:r>
      <w:r>
        <w:rPr>
          <w:i w:val="1"/>
          <w:iCs w:val="1"/>
          <w:rtl w:val="0"/>
          <w:lang w:val="en-US"/>
        </w:rPr>
        <w:t>Auparoparo</w:t>
      </w:r>
      <w:r>
        <w:rPr>
          <w:rtl w:val="0"/>
          <w:lang w:val="en-US"/>
        </w:rPr>
        <w:t xml:space="preserve"> (NCN) is that no taxonomist was able to distinguish that they are separate clades, independently evolved, in the 130 years between their discovery and phylogenetic classification [Boettger (1895); this study]. These species are indeed morphologically very similar (</w:t>
      </w:r>
      <w:r>
        <w:rPr>
          <w:rStyle w:val="Hyperlink.0"/>
        </w:rPr>
        <w:fldChar w:fldCharType="begin" w:fldLock="0"/>
      </w:r>
      <w:r>
        <w:rPr>
          <w:rStyle w:val="Hyperlink.0"/>
        </w:rPr>
        <w:instrText xml:space="preserve"> HYPERLINK \l "bookmark18" </w:instrText>
      </w:r>
      <w:r>
        <w:rPr>
          <w:rStyle w:val="Hyperlink.0"/>
        </w:rPr>
        <w:fldChar w:fldCharType="separate" w:fldLock="0"/>
      </w:r>
      <w:r>
        <w:rPr>
          <w:rStyle w:val="Hyperlink.0"/>
          <w:rtl w:val="0"/>
        </w:rPr>
        <w:t>Figure</w:t>
      </w:r>
      <w:r>
        <w:rPr>
          <w:rStyle w:val="Hyperlink.0"/>
          <w:rtl w:val="0"/>
        </w:rPr>
        <w:t> </w:t>
      </w:r>
      <w:r>
        <w:rPr>
          <w:rStyle w:val="Hyperlink.0"/>
          <w:rtl w:val="0"/>
        </w:rPr>
        <w:t>1</w:t>
      </w:r>
      <w:r>
        <w:rPr/>
        <w:fldChar w:fldCharType="end" w:fldLock="0"/>
      </w:r>
      <w:r>
        <w:rPr>
          <w:rtl w:val="0"/>
          <w:lang w:val="en-US"/>
        </w:rPr>
        <w:t xml:space="preserve">) and our results provide some clues as to why </w:t>
      </w:r>
      <w:r>
        <w:rPr>
          <w:i w:val="1"/>
          <w:iCs w:val="1"/>
          <w:rtl w:val="0"/>
          <w:lang w:val="en-US"/>
        </w:rPr>
        <w:t>Oreophryne</w:t>
      </w:r>
      <w:r>
        <w:rPr>
          <w:rtl w:val="0"/>
          <w:lang w:val="en-US"/>
        </w:rPr>
        <w:t xml:space="preserve"> taxonomy has been so difficult. We found no morphological synapomorphy for neither </w:t>
      </w:r>
      <w:r>
        <w:rPr>
          <w:i w:val="1"/>
          <w:iCs w:val="1"/>
          <w:rtl w:val="0"/>
          <w:lang w:val="en-US"/>
        </w:rPr>
        <w:t>Auparoparo</w:t>
      </w:r>
      <w:r>
        <w:rPr>
          <w:rtl w:val="0"/>
          <w:lang w:val="en-US"/>
        </w:rPr>
        <w:t xml:space="preserve"> nor </w:t>
      </w:r>
      <w:r>
        <w:rPr>
          <w:i w:val="1"/>
          <w:iCs w:val="1"/>
          <w:rtl w:val="0"/>
          <w:lang w:val="en-US"/>
        </w:rPr>
        <w:t>Oreophryne</w:t>
      </w:r>
      <w:r>
        <w:rPr>
          <w:rtl w:val="0"/>
          <w:lang w:val="en-US"/>
        </w:rPr>
        <w:t>, and moreover, no morphological features that can diagnose either clade.</w:t>
      </w:r>
    </w:p>
    <w:p>
      <w:pPr>
        <w:pStyle w:val="Body Text"/>
      </w:pPr>
      <w:r>
        <w:rPr>
          <w:rtl w:val="0"/>
          <w:lang w:val="en-US"/>
        </w:rPr>
        <w:t xml:space="preserve">The traditional basis for generic designation of species to </w:t>
      </w:r>
      <w:r>
        <w:rPr>
          <w:i w:val="1"/>
          <w:iCs w:val="1"/>
          <w:rtl w:val="0"/>
          <w:lang w:val="en-US"/>
        </w:rPr>
        <w:t>Oreophryne</w:t>
      </w:r>
      <w:r>
        <w:rPr>
          <w:rtl w:val="0"/>
          <w:lang w:val="en-US"/>
        </w:rPr>
        <w:t xml:space="preserve"> has primarily relied on a signature pectoral anatomy (whether original or revised diagnosis, Parker, 1934; Zweifel, 2003). Our phylogenetic results clearly show that this trait appears more than once, in both </w:t>
      </w:r>
      <w:r>
        <w:rPr>
          <w:i w:val="1"/>
          <w:iCs w:val="1"/>
          <w:rtl w:val="0"/>
          <w:lang w:val="en-US"/>
        </w:rPr>
        <w:t>Oreophryne</w:t>
      </w:r>
      <w:r>
        <w:rPr>
          <w:rtl w:val="0"/>
          <w:lang w:val="en-US"/>
        </w:rPr>
        <w:t xml:space="preserve"> and </w:t>
      </w:r>
      <w:r>
        <w:rPr>
          <w:i w:val="1"/>
          <w:iCs w:val="1"/>
          <w:rtl w:val="0"/>
          <w:lang w:val="en-US"/>
        </w:rPr>
        <w:t>Auparaparo</w:t>
      </w:r>
      <w:r>
        <w:rPr>
          <w:rtl w:val="0"/>
          <w:lang w:val="en-US"/>
        </w:rPr>
        <w:t xml:space="preserve">, and rather than being a highly conserved trait, it is either a symplesiomorphy (shared ancestral character) or a result of convergent or parallel evolution, and perhaps adaptive for arboreality. Thus, the pectoral anatomy is not a reliable diagnostic character in differentiating between </w:t>
      </w:r>
      <w:r>
        <w:rPr>
          <w:i w:val="1"/>
          <w:iCs w:val="1"/>
          <w:rtl w:val="0"/>
          <w:lang w:val="en-US"/>
        </w:rPr>
        <w:t>Oreophryne</w:t>
      </w:r>
      <w:r>
        <w:rPr>
          <w:rtl w:val="0"/>
          <w:lang w:val="en-US"/>
        </w:rPr>
        <w:t xml:space="preserve"> and </w:t>
      </w:r>
      <w:r>
        <w:rPr>
          <w:i w:val="1"/>
          <w:iCs w:val="1"/>
          <w:rtl w:val="0"/>
          <w:lang w:val="en-US"/>
        </w:rPr>
        <w:t>Auparoparo</w:t>
      </w:r>
      <w:r>
        <w:rPr>
          <w:rtl w:val="0"/>
          <w:lang w:val="en-US"/>
        </w:rPr>
        <w:t xml:space="preserve">. In studies across a wide diversity of anurans, Soliz, Abdala, &amp; Tulli (2025) found that anatomical variation of the pectoral girdle corresponds with functional and ecological lifestyle demands, whereas Engelkes </w:t>
      </w:r>
      <w:r>
        <w:rPr>
          <w:i w:val="1"/>
          <w:iCs w:val="1"/>
          <w:rtl w:val="0"/>
          <w:lang w:val="en-US"/>
        </w:rPr>
        <w:t>et al.</w:t>
      </w:r>
      <w:r>
        <w:rPr>
          <w:rtl w:val="0"/>
          <w:lang w:val="en-US"/>
        </w:rPr>
        <w:t xml:space="preserve"> (2020) found strong phylogenetic influence in the shape of the pectoral girdle. This point would be excellent for further study within Asterophryinae, as there are high elevation terrestrial species of </w:t>
      </w:r>
      <w:r>
        <w:rPr>
          <w:i w:val="1"/>
          <w:iCs w:val="1"/>
          <w:rtl w:val="0"/>
          <w:lang w:val="en-US"/>
        </w:rPr>
        <w:t>Oreophryne</w:t>
      </w:r>
      <w:r>
        <w:rPr>
          <w:rtl w:val="0"/>
          <w:lang w:val="en-US"/>
        </w:rPr>
        <w:t xml:space="preserve"> sensu lato that possess the same pectoral trait (Zweifel </w:t>
      </w:r>
      <w:r>
        <w:rPr>
          <w:i w:val="1"/>
          <w:iCs w:val="1"/>
          <w:rtl w:val="0"/>
          <w:lang w:val="en-US"/>
        </w:rPr>
        <w:t>et al.</w:t>
      </w:r>
      <w:r>
        <w:rPr>
          <w:rtl w:val="0"/>
          <w:lang w:val="en-US"/>
        </w:rPr>
        <w:t>, 2005),as well as a few arboreal species within other genera (</w:t>
      </w:r>
      <w:r>
        <w:rPr>
          <w:i w:val="1"/>
          <w:iCs w:val="1"/>
          <w:rtl w:val="0"/>
          <w:lang w:val="en-US"/>
        </w:rPr>
        <w:t>Cophixalus</w:t>
      </w:r>
      <w:r>
        <w:rPr>
          <w:rtl w:val="0"/>
          <w:lang w:val="en-US"/>
        </w:rPr>
        <w:t xml:space="preserve">, </w:t>
      </w:r>
      <w:r>
        <w:rPr>
          <w:i w:val="1"/>
          <w:iCs w:val="1"/>
          <w:rtl w:val="0"/>
          <w:lang w:val="en-US"/>
        </w:rPr>
        <w:t>Asterophrys</w:t>
      </w:r>
      <w:r>
        <w:rPr>
          <w:rtl w:val="0"/>
          <w:lang w:val="en-US"/>
        </w:rPr>
        <w:t xml:space="preserve">, </w:t>
      </w:r>
      <w:r>
        <w:rPr>
          <w:i w:val="1"/>
          <w:iCs w:val="1"/>
          <w:rtl w:val="0"/>
          <w:lang w:val="en-US"/>
        </w:rPr>
        <w:t>Xenorhina</w:t>
      </w:r>
      <w:r>
        <w:rPr>
          <w:rtl w:val="0"/>
          <w:lang w:val="en-US"/>
        </w:rPr>
        <w:t>) with unknown pectoral morphology.</w:t>
      </w:r>
    </w:p>
    <w:p>
      <w:pPr>
        <w:pStyle w:val="Body Text"/>
      </w:pPr>
      <w:r>
        <w:rPr>
          <w:rtl w:val="0"/>
          <w:lang w:val="en-US"/>
        </w:rPr>
        <w:t xml:space="preserve">We further rexamined additional characters previously used to diagnose </w:t>
      </w:r>
      <w:r>
        <w:rPr>
          <w:i w:val="1"/>
          <w:iCs w:val="1"/>
          <w:rtl w:val="0"/>
          <w:lang w:val="en-US"/>
        </w:rPr>
        <w:t>Oreophryne</w:t>
      </w:r>
      <w:r>
        <w:rPr>
          <w:rtl w:val="0"/>
          <w:lang w:val="en-US"/>
        </w:rPr>
        <w:t xml:space="preserve"> as well as characters conventionally used to diagnose species of frogs. We conclude that pectoral girdle connector type (Parker, 1934) and relative lengths of the 3rd and 5th toe are uninformative and the degree of toe webbing is subjective. It was previously suggested that species in </w:t>
      </w:r>
      <w:r>
        <w:rPr>
          <w:i w:val="1"/>
          <w:iCs w:val="1"/>
          <w:rtl w:val="0"/>
          <w:lang w:val="en-US"/>
        </w:rPr>
        <w:t>Oreophryne</w:t>
      </w:r>
      <w:r>
        <w:rPr>
          <w:rtl w:val="0"/>
          <w:lang w:val="en-US"/>
        </w:rPr>
        <w:t xml:space="preserve"> sensu lato could be divided into two groups based on possessing a cartilaginous or ligamentous connection between the procoracoid cartilages and the scapula (Kraus, 2013), with roughly half possessing each type (Parker, 1934). However, we found that ligamentous connectors are common across both genera (</w:t>
      </w:r>
      <w:r>
        <w:rPr>
          <w:rStyle w:val="Hyperlink.0"/>
        </w:rPr>
        <w:fldChar w:fldCharType="begin" w:fldLock="0"/>
      </w:r>
      <w:r>
        <w:rPr>
          <w:rStyle w:val="Hyperlink.0"/>
        </w:rPr>
        <w:instrText xml:space="preserve"> HYPERLINK \l "bookmark19" </w:instrText>
      </w:r>
      <w:r>
        <w:rPr>
          <w:rStyle w:val="Hyperlink.0"/>
        </w:rPr>
        <w:fldChar w:fldCharType="separate" w:fldLock="0"/>
      </w:r>
      <w:r>
        <w:rPr>
          <w:rStyle w:val="Hyperlink.0"/>
          <w:rtl w:val="0"/>
        </w:rPr>
        <w:t>Table</w:t>
      </w:r>
      <w:r>
        <w:rPr>
          <w:rStyle w:val="Hyperlink.0"/>
          <w:rtl w:val="0"/>
        </w:rPr>
        <w:t> </w:t>
      </w:r>
      <w:r>
        <w:rPr>
          <w:rStyle w:val="Hyperlink.0"/>
          <w:rtl w:val="0"/>
        </w:rPr>
        <w:t>3</w:t>
      </w:r>
      <w:r>
        <w:rPr/>
        <w:fldChar w:fldCharType="end" w:fldLock="0"/>
      </w:r>
      <w:r>
        <w:rPr>
          <w:rtl w:val="0"/>
          <w:lang w:val="en-US"/>
        </w:rPr>
        <w:t xml:space="preserve">), these traits are not synapmorphies and do not indicate monophyly. Of species with toe webbing, </w:t>
      </w:r>
      <w:r>
        <w:rPr>
          <w:i w:val="1"/>
          <w:iCs w:val="1"/>
          <w:rtl w:val="0"/>
          <w:lang w:val="en-US"/>
        </w:rPr>
        <w:t>Oreophryne</w:t>
      </w:r>
      <w:r>
        <w:rPr>
          <w:rtl w:val="0"/>
          <w:lang w:val="en-US"/>
        </w:rPr>
        <w:t xml:space="preserve"> tends to be described as having </w:t>
      </w:r>
      <w:r>
        <w:rPr>
          <w:rtl w:val="0"/>
          <w:lang w:val="en-US"/>
        </w:rPr>
        <w:t>“</w:t>
      </w:r>
      <w:r>
        <w:rPr>
          <w:rtl w:val="0"/>
          <w:lang w:val="en-US"/>
        </w:rPr>
        <w:t>well webbed</w:t>
      </w:r>
      <w:r>
        <w:rPr>
          <w:rtl w:val="0"/>
          <w:lang w:val="en-US"/>
        </w:rPr>
        <w:t xml:space="preserve">” </w:t>
      </w:r>
      <w:r>
        <w:rPr>
          <w:rtl w:val="0"/>
          <w:lang w:val="en-US"/>
        </w:rPr>
        <w:t xml:space="preserve">toes compared to </w:t>
      </w:r>
      <w:r>
        <w:rPr>
          <w:i w:val="1"/>
          <w:iCs w:val="1"/>
          <w:rtl w:val="0"/>
          <w:lang w:val="en-US"/>
        </w:rPr>
        <w:t>Auparoparo</w:t>
      </w:r>
      <w:r>
        <w:rPr>
          <w:rtl w:val="0"/>
          <w:lang w:val="en-US"/>
        </w:rPr>
        <w:t>’</w:t>
      </w:r>
      <w:r>
        <w:rPr>
          <w:rtl w:val="0"/>
          <w:lang w:val="en-US"/>
        </w:rPr>
        <w:t xml:space="preserve">s </w:t>
      </w:r>
      <w:r>
        <w:rPr>
          <w:rtl w:val="0"/>
          <w:lang w:val="en-US"/>
        </w:rPr>
        <w:t>“</w:t>
      </w:r>
      <w:r>
        <w:rPr>
          <w:rtl w:val="0"/>
          <w:lang w:val="en-US"/>
        </w:rPr>
        <w:t>basal</w:t>
      </w:r>
      <w:r>
        <w:rPr>
          <w:rtl w:val="0"/>
          <w:lang w:val="en-US"/>
        </w:rPr>
        <w:t xml:space="preserve">” </w:t>
      </w:r>
      <w:r>
        <w:rPr>
          <w:rtl w:val="0"/>
          <w:lang w:val="en-US"/>
        </w:rPr>
        <w:t>webbing (</w:t>
      </w:r>
      <w:r>
        <w:rPr>
          <w:rStyle w:val="Hyperlink.0"/>
        </w:rPr>
        <w:fldChar w:fldCharType="begin" w:fldLock="0"/>
      </w:r>
      <w:r>
        <w:rPr>
          <w:rStyle w:val="Hyperlink.0"/>
        </w:rPr>
        <w:instrText xml:space="preserve"> HYPERLINK \l "bookmark20" </w:instrText>
      </w:r>
      <w:r>
        <w:rPr>
          <w:rStyle w:val="Hyperlink.0"/>
        </w:rPr>
        <w:fldChar w:fldCharType="separate" w:fldLock="0"/>
      </w:r>
      <w:r>
        <w:rPr>
          <w:rStyle w:val="Hyperlink.0"/>
          <w:rtl w:val="0"/>
        </w:rPr>
        <w:t>Table</w:t>
      </w:r>
      <w:r>
        <w:rPr>
          <w:rStyle w:val="Hyperlink.0"/>
          <w:rtl w:val="0"/>
        </w:rPr>
        <w:t> </w:t>
      </w:r>
      <w:r>
        <w:rPr>
          <w:rStyle w:val="Hyperlink.0"/>
          <w:rtl w:val="0"/>
        </w:rPr>
        <w:t>3</w:t>
      </w:r>
      <w:r>
        <w:rPr/>
        <w:fldChar w:fldCharType="end" w:fldLock="0"/>
      </w:r>
      <w:r>
        <w:rPr>
          <w:rtl w:val="0"/>
          <w:lang w:val="en-US"/>
        </w:rPr>
        <w:t>). However, intra-specific variability combined with the subjective nature of these descriptions and inconsistency between specific markers when used (</w:t>
      </w:r>
      <w:r>
        <w:rPr>
          <w:rtl w:val="0"/>
          <w:lang w:val="en-US"/>
        </w:rPr>
        <w:t>“</w:t>
      </w:r>
      <w:r>
        <w:rPr>
          <w:rtl w:val="0"/>
          <w:lang w:val="en-US"/>
        </w:rPr>
        <w:t>reaching the penultimate tubercle</w:t>
      </w:r>
      <w:r>
        <w:rPr>
          <w:rtl w:val="0"/>
          <w:lang w:val="en-US"/>
        </w:rPr>
        <w:t>”</w:t>
      </w:r>
      <w:r>
        <w:rPr>
          <w:rtl w:val="0"/>
          <w:lang w:val="en-US"/>
        </w:rPr>
        <w:t xml:space="preserve">, </w:t>
      </w:r>
      <w:r>
        <w:rPr>
          <w:rtl w:val="0"/>
          <w:lang w:val="en-US"/>
        </w:rPr>
        <w:t>“</w:t>
      </w:r>
      <w:r>
        <w:rPr>
          <w:rtl w:val="0"/>
          <w:lang w:val="en-US"/>
        </w:rPr>
        <w:t>webbed 1/3 length of 5th toe</w:t>
      </w:r>
      <w:r>
        <w:rPr>
          <w:rtl w:val="0"/>
          <w:lang w:val="en-US"/>
        </w:rPr>
        <w:t>”</w:t>
      </w:r>
      <w:r>
        <w:rPr>
          <w:rtl w:val="0"/>
          <w:lang w:val="en-US"/>
        </w:rPr>
        <w:t>, etc.), makes this feature difficult to standardize for generic diagnostic use. Many of the morphological traits proposed by Parker (1934) and Zweifel (2003) may in fact be a result of homoplasy to evolutionary pressures imposed by lifestyle or parallel evolution, and while they may prove useful for ecomorphological identification or species diagnoses in combination with other traits, but not informative for generic diagnosis.</w:t>
      </w:r>
    </w:p>
    <w:p>
      <w:pPr>
        <w:pStyle w:val="Body Text"/>
      </w:pPr>
      <w:r>
        <w:rPr>
          <w:rtl w:val="0"/>
          <w:lang w:val="en-US"/>
        </w:rPr>
        <w:t xml:space="preserve">We found only two characters with potential for imperfectly identifying genera: relative digital pad size (Parker, 1934; Zweifel, 1956), and call type (e.g., Kraus, 2016). The relative widths of the digit pads differs between genera: </w:t>
      </w:r>
      <w:r>
        <w:rPr>
          <w:i w:val="1"/>
          <w:iCs w:val="1"/>
          <w:rtl w:val="0"/>
          <w:lang w:val="en-US"/>
        </w:rPr>
        <w:t>Auparoparo</w:t>
      </w:r>
      <w:r>
        <w:rPr>
          <w:rtl w:val="0"/>
          <w:lang w:val="en-US"/>
        </w:rPr>
        <w:t xml:space="preserve"> tends to have visibly larger finger pads in comparison to toe pads, whereas in </w:t>
      </w:r>
      <w:r>
        <w:rPr>
          <w:i w:val="1"/>
          <w:iCs w:val="1"/>
          <w:rtl w:val="0"/>
          <w:lang w:val="en-US"/>
        </w:rPr>
        <w:t>Oreophryne</w:t>
      </w:r>
      <w:r>
        <w:rPr>
          <w:rtl w:val="0"/>
          <w:lang w:val="en-US"/>
        </w:rPr>
        <w:t xml:space="preserve"> the finger and toe pads are roughly equal in size (</w:t>
      </w:r>
      <w:r>
        <w:rPr>
          <w:rStyle w:val="Hyperlink.0"/>
        </w:rPr>
        <w:fldChar w:fldCharType="begin" w:fldLock="0"/>
      </w:r>
      <w:r>
        <w:rPr>
          <w:rStyle w:val="Hyperlink.0"/>
        </w:rPr>
        <w:instrText xml:space="preserve"> HYPERLINK \l "bookmark21" </w:instrText>
      </w:r>
      <w:r>
        <w:rPr>
          <w:rStyle w:val="Hyperlink.0"/>
        </w:rPr>
        <w:fldChar w:fldCharType="separate" w:fldLock="0"/>
      </w:r>
      <w:r>
        <w:rPr>
          <w:rStyle w:val="Hyperlink.0"/>
          <w:rtl w:val="0"/>
        </w:rPr>
        <w:t>Figure</w:t>
      </w:r>
      <w:r>
        <w:rPr>
          <w:rStyle w:val="Hyperlink.0"/>
          <w:rtl w:val="0"/>
        </w:rPr>
        <w:t> </w:t>
      </w:r>
      <w:r>
        <w:rPr>
          <w:rStyle w:val="Hyperlink.0"/>
          <w:rtl w:val="0"/>
        </w:rPr>
        <w:t>1</w:t>
      </w:r>
      <w:r>
        <w:rPr/>
        <w:fldChar w:fldCharType="end" w:fldLock="0"/>
      </w:r>
      <w:r>
        <w:rPr>
          <w:rtl w:val="0"/>
          <w:lang w:val="en-US"/>
        </w:rPr>
        <w:t>, bottom row), although there is some overlap in finger to toe pad ratio (</w:t>
      </w:r>
      <w:r>
        <w:rPr>
          <w:rStyle w:val="Hyperlink.0"/>
        </w:rPr>
        <w:fldChar w:fldCharType="begin" w:fldLock="0"/>
      </w:r>
      <w:r>
        <w:rPr>
          <w:rStyle w:val="Hyperlink.0"/>
        </w:rPr>
        <w:instrText xml:space="preserve"> HYPERLINK \l "bookmark22" </w:instrText>
      </w:r>
      <w:r>
        <w:rPr>
          <w:rStyle w:val="Hyperlink.0"/>
        </w:rPr>
        <w:fldChar w:fldCharType="separate" w:fldLock="0"/>
      </w:r>
      <w:r>
        <w:rPr>
          <w:rStyle w:val="Hyperlink.0"/>
          <w:rtl w:val="0"/>
        </w:rPr>
        <w:t>Table</w:t>
      </w:r>
      <w:r>
        <w:rPr>
          <w:rStyle w:val="Hyperlink.0"/>
          <w:rtl w:val="0"/>
        </w:rPr>
        <w:t> </w:t>
      </w:r>
      <w:r>
        <w:rPr>
          <w:rStyle w:val="Hyperlink.0"/>
          <w:rtl w:val="0"/>
        </w:rPr>
        <w:t>3</w:t>
      </w:r>
      <w:r>
        <w:rPr/>
        <w:fldChar w:fldCharType="end" w:fldLock="0"/>
      </w:r>
      <w:r>
        <w:rPr>
          <w:rtl w:val="0"/>
          <w:lang w:val="en-US"/>
        </w:rPr>
        <w:t xml:space="preserve">). In some cases, </w:t>
      </w:r>
      <w:r>
        <w:rPr>
          <w:i w:val="1"/>
          <w:iCs w:val="1"/>
          <w:rtl w:val="0"/>
          <w:lang w:val="en-US"/>
        </w:rPr>
        <w:t>Auparoparo</w:t>
      </w:r>
      <w:r>
        <w:rPr>
          <w:rtl w:val="0"/>
          <w:lang w:val="en-US"/>
        </w:rPr>
        <w:t>’</w:t>
      </w:r>
      <w:r>
        <w:rPr>
          <w:rtl w:val="0"/>
          <w:lang w:val="en-US"/>
        </w:rPr>
        <w:t xml:space="preserve">s finger pads display T-shapes while the toes are often rounder and narrower. Whether there is any performance advantage in larger finger pads compared to toes is unknown. Furthermore, a handful of high-elevation species not included in our phylogeny have evolved terrestrial or fossorial habits and possess smaller digital pads compared to their presumed arboreal relatives (Zweifel </w:t>
      </w:r>
      <w:r>
        <w:rPr>
          <w:i w:val="1"/>
          <w:iCs w:val="1"/>
          <w:rtl w:val="0"/>
          <w:lang w:val="en-US"/>
        </w:rPr>
        <w:t>et al.</w:t>
      </w:r>
      <w:r>
        <w:rPr>
          <w:rtl w:val="0"/>
          <w:lang w:val="en-US"/>
        </w:rPr>
        <w:t>, 2005).</w:t>
      </w:r>
    </w:p>
    <w:p>
      <w:pPr>
        <w:pStyle w:val="Body Text"/>
      </w:pPr>
      <w:r>
        <w:rPr>
          <w:rtl w:val="0"/>
          <w:lang w:val="en-US"/>
        </w:rPr>
        <w:t xml:space="preserve">Call features are increasingly used for diagnosing species of </w:t>
      </w:r>
      <w:r>
        <w:rPr>
          <w:i w:val="1"/>
          <w:iCs w:val="1"/>
          <w:rtl w:val="0"/>
          <w:lang w:val="en-US"/>
        </w:rPr>
        <w:t>Oreophryne</w:t>
      </w:r>
      <w:r>
        <w:rPr>
          <w:rtl w:val="0"/>
          <w:lang w:val="en-US"/>
        </w:rPr>
        <w:t xml:space="preserve">, with advertisement call types commonly categorized as rattle, honk, whinny, peeping, or clicking (Kraus, 2016). We found honk or peep call types are only found in </w:t>
      </w:r>
      <w:r>
        <w:rPr>
          <w:i w:val="1"/>
          <w:iCs w:val="1"/>
          <w:rtl w:val="0"/>
          <w:lang w:val="en-US"/>
        </w:rPr>
        <w:t>Oroephryne</w:t>
      </w:r>
      <w:r>
        <w:rPr>
          <w:rtl w:val="0"/>
          <w:lang w:val="en-US"/>
        </w:rPr>
        <w:t xml:space="preserve"> species in our sample, while whinny calls are only found in </w:t>
      </w:r>
      <w:r>
        <w:rPr>
          <w:i w:val="1"/>
          <w:iCs w:val="1"/>
          <w:rtl w:val="0"/>
          <w:lang w:val="en-US"/>
        </w:rPr>
        <w:t>Auparoparo</w:t>
      </w:r>
      <w:r>
        <w:rPr>
          <w:rtl w:val="0"/>
          <w:lang w:val="en-US"/>
        </w:rPr>
        <w:t xml:space="preserve"> species, and rattle calls are found in both genera (</w:t>
      </w:r>
      <w:r>
        <w:rPr>
          <w:rStyle w:val="Hyperlink.0"/>
        </w:rPr>
        <w:fldChar w:fldCharType="begin" w:fldLock="0"/>
      </w:r>
      <w:r>
        <w:rPr>
          <w:rStyle w:val="Hyperlink.0"/>
        </w:rPr>
        <w:instrText xml:space="preserve"> HYPERLINK \l "bookmark23" </w:instrText>
      </w:r>
      <w:r>
        <w:rPr>
          <w:rStyle w:val="Hyperlink.0"/>
        </w:rPr>
        <w:fldChar w:fldCharType="separate" w:fldLock="0"/>
      </w:r>
      <w:r>
        <w:rPr>
          <w:rStyle w:val="Hyperlink.0"/>
          <w:rtl w:val="0"/>
        </w:rPr>
        <w:t>Table</w:t>
      </w:r>
      <w:r>
        <w:rPr>
          <w:rStyle w:val="Hyperlink.0"/>
          <w:rtl w:val="0"/>
        </w:rPr>
        <w:t> </w:t>
      </w:r>
      <w:r>
        <w:rPr>
          <w:rStyle w:val="Hyperlink.0"/>
          <w:rtl w:val="0"/>
        </w:rPr>
        <w:t>3</w:t>
      </w:r>
      <w:r>
        <w:rPr/>
        <w:fldChar w:fldCharType="end" w:fldLock="0"/>
      </w:r>
      <w:r>
        <w:rPr>
          <w:rtl w:val="0"/>
          <w:lang w:val="en-US"/>
        </w:rPr>
        <w:t xml:space="preserve">). We note that several authors described species of both genera, thus the difference between genera cannot be attributed to the investigator. However, more complete sampling may add further complexity. As far as we are aware there has been no comprehensive acoustic analysis across </w:t>
      </w:r>
      <w:r>
        <w:rPr>
          <w:i w:val="1"/>
          <w:iCs w:val="1"/>
          <w:rtl w:val="0"/>
          <w:lang w:val="en-US"/>
        </w:rPr>
        <w:t>Oreophryne</w:t>
      </w:r>
      <w:r>
        <w:rPr>
          <w:rtl w:val="0"/>
          <w:lang w:val="en-US"/>
        </w:rPr>
        <w:t xml:space="preserve"> sensu lato. More research is needed to explore call diversity both between species and across genera to undertand call evolution and whether there any features that are distinctive of genera.</w:t>
      </w:r>
      <w:bookmarkEnd w:id="17"/>
      <w:bookmarkEnd w:id="12"/>
    </w:p>
    <w:p>
      <w:pPr>
        <w:pStyle w:val="Heading 2"/>
      </w:pPr>
      <w:bookmarkStart w:name="geographicdistribution1" w:id="18"/>
      <w:r>
        <w:rPr>
          <w:rtl w:val="0"/>
          <w:lang w:val="en-US"/>
        </w:rPr>
        <w:t>Geographic Distribution</w:t>
      </w:r>
    </w:p>
    <w:p>
      <w:pPr>
        <w:pStyle w:val="First Paragraph"/>
      </w:pPr>
      <w:r>
        <w:rPr>
          <w:rtl w:val="0"/>
          <w:lang w:val="en-US"/>
        </w:rPr>
        <w:t xml:space="preserve">Both </w:t>
      </w:r>
      <w:r>
        <w:rPr>
          <w:i w:val="1"/>
          <w:iCs w:val="1"/>
          <w:rtl w:val="0"/>
          <w:lang w:val="en-US"/>
        </w:rPr>
        <w:t>Oreophryne</w:t>
      </w:r>
      <w:r>
        <w:rPr>
          <w:rtl w:val="0"/>
          <w:lang w:val="en-US"/>
        </w:rPr>
        <w:t xml:space="preserve"> and </w:t>
      </w:r>
      <w:r>
        <w:rPr>
          <w:i w:val="1"/>
          <w:iCs w:val="1"/>
          <w:rtl w:val="0"/>
          <w:lang w:val="en-US"/>
        </w:rPr>
        <w:t>Auparoparo</w:t>
      </w:r>
      <w:r>
        <w:rPr>
          <w:rtl w:val="0"/>
          <w:lang w:val="en-US"/>
        </w:rPr>
        <w:t xml:space="preserve"> are geographically centered in the mainland New Guinea. </w:t>
      </w:r>
      <w:r>
        <w:rPr>
          <w:i w:val="1"/>
          <w:iCs w:val="1"/>
          <w:rtl w:val="0"/>
          <w:lang w:val="en-US"/>
        </w:rPr>
        <w:t>Oreophryne</w:t>
      </w:r>
      <w:r>
        <w:rPr>
          <w:rtl w:val="0"/>
          <w:lang w:val="en-US"/>
        </w:rPr>
        <w:t xml:space="preserve"> extends southward to the Louisiade Archipelago and northward to the South Philippine Islands (Hill </w:t>
      </w:r>
      <w:r>
        <w:rPr>
          <w:i w:val="1"/>
          <w:iCs w:val="1"/>
          <w:rtl w:val="0"/>
          <w:lang w:val="en-US"/>
        </w:rPr>
        <w:t>et al.</w:t>
      </w:r>
      <w:r>
        <w:rPr>
          <w:rtl w:val="0"/>
          <w:lang w:val="en-US"/>
        </w:rPr>
        <w:t xml:space="preserve">, 2023b). Addition of the type species </w:t>
      </w:r>
      <w:r>
        <w:rPr>
          <w:i w:val="1"/>
          <w:iCs w:val="1"/>
          <w:rtl w:val="0"/>
          <w:lang w:val="en-US"/>
        </w:rPr>
        <w:t>Oreophryne senkenbergiana</w:t>
      </w:r>
      <w:r>
        <w:rPr>
          <w:rtl w:val="0"/>
          <w:lang w:val="en-US"/>
        </w:rPr>
        <w:t xml:space="preserve"> expands the known range eastward to North Maluku, Indonesia (</w:t>
      </w:r>
      <w:r>
        <w:rPr>
          <w:rStyle w:val="Hyperlink.0"/>
        </w:rPr>
        <w:fldChar w:fldCharType="begin" w:fldLock="0"/>
      </w:r>
      <w:r>
        <w:rPr>
          <w:rStyle w:val="Hyperlink.0"/>
        </w:rPr>
        <w:instrText xml:space="preserve"> HYPERLINK \l "bookmark24" </w:instrText>
      </w:r>
      <w:r>
        <w:rPr>
          <w:rStyle w:val="Hyperlink.0"/>
        </w:rPr>
        <w:fldChar w:fldCharType="separate" w:fldLock="0"/>
      </w:r>
      <w:r>
        <w:rPr>
          <w:rStyle w:val="Hyperlink.0"/>
          <w:rtl w:val="0"/>
        </w:rPr>
        <w:t>Figure</w:t>
      </w:r>
      <w:r>
        <w:rPr>
          <w:rStyle w:val="Hyperlink.0"/>
          <w:rtl w:val="0"/>
        </w:rPr>
        <w:t> </w:t>
      </w:r>
      <w:r>
        <w:rPr>
          <w:rStyle w:val="Hyperlink.0"/>
          <w:rtl w:val="0"/>
        </w:rPr>
        <w:t>3</w:t>
      </w:r>
      <w:r>
        <w:rPr/>
        <w:fldChar w:fldCharType="end" w:fldLock="0"/>
      </w:r>
      <w:r>
        <w:rPr>
          <w:rtl w:val="0"/>
          <w:lang w:val="en-US"/>
        </w:rPr>
        <w:t>).</w:t>
      </w:r>
    </w:p>
    <w:p>
      <w:pPr>
        <w:pStyle w:val="Body Text"/>
      </w:pPr>
      <w:r>
        <w:rPr>
          <w:rtl w:val="0"/>
          <w:lang w:val="en-US"/>
        </w:rPr>
        <w:t xml:space="preserve">The known distribution of </w:t>
      </w:r>
      <w:r>
        <w:rPr>
          <w:i w:val="1"/>
          <w:iCs w:val="1"/>
          <w:rtl w:val="0"/>
          <w:lang w:val="en-US"/>
        </w:rPr>
        <w:t>Auparoparo</w:t>
      </w:r>
      <w:r>
        <w:rPr>
          <w:rtl w:val="0"/>
          <w:lang w:val="en-US"/>
        </w:rPr>
        <w:t xml:space="preserve"> is mainly clustered in the southeastern tip of mainland Papua New Guinea (in the East Papuan Composite Terrane) and satellite islands with two species in Sulawesi, Indonesia. This suggests the possiblity of of interesting plate tectonics resulting in this biogeographic distribution. Exploration of intermediate localitys may result in as yet undescribed or undiscovered species of </w:t>
      </w:r>
      <w:r>
        <w:rPr>
          <w:i w:val="1"/>
          <w:iCs w:val="1"/>
          <w:rtl w:val="0"/>
          <w:lang w:val="en-US"/>
        </w:rPr>
        <w:t>Auparoparo</w:t>
      </w:r>
      <w:r>
        <w:rPr>
          <w:rtl w:val="0"/>
          <w:lang w:val="en-US"/>
        </w:rPr>
        <w:t xml:space="preserve">. This geographic range is sure to grow with additional phylogenetic sampling. For example </w:t>
      </w:r>
      <w:r>
        <w:rPr>
          <w:i w:val="1"/>
          <w:iCs w:val="1"/>
          <w:rtl w:val="0"/>
          <w:lang w:val="en-US"/>
        </w:rPr>
        <w:t>Oreophryne</w:t>
      </w:r>
      <w:r>
        <w:rPr>
          <w:rtl w:val="0"/>
          <w:lang w:val="en-US"/>
        </w:rPr>
        <w:t xml:space="preserve"> (sensu lato) </w:t>
      </w:r>
      <w:r>
        <w:rPr>
          <w:i w:val="1"/>
          <w:iCs w:val="1"/>
          <w:rtl w:val="0"/>
          <w:lang w:val="en-US"/>
        </w:rPr>
        <w:t>chlorops</w:t>
      </w:r>
      <w:r>
        <w:rPr>
          <w:rtl w:val="0"/>
          <w:lang w:val="en-US"/>
        </w:rPr>
        <w:t xml:space="preserve"> (G</w:t>
      </w:r>
      <w:r>
        <w:rPr>
          <w:rtl w:val="0"/>
          <w:lang w:val="en-US"/>
        </w:rPr>
        <w:t>ü</w:t>
      </w:r>
      <w:r>
        <w:rPr>
          <w:rtl w:val="0"/>
          <w:lang w:val="en-US"/>
        </w:rPr>
        <w:t xml:space="preserve">nther </w:t>
      </w:r>
      <w:r>
        <w:rPr>
          <w:i w:val="1"/>
          <w:iCs w:val="1"/>
          <w:rtl w:val="0"/>
          <w:lang w:val="en-US"/>
        </w:rPr>
        <w:t>et al.</w:t>
      </w:r>
      <w:r>
        <w:rPr>
          <w:rtl w:val="0"/>
          <w:lang w:val="en-US"/>
        </w:rPr>
        <w:t>, 2023) is a very large (SVL &gt; 40mm) species recently discovered from mid-elevation mountains of the bird</w:t>
      </w:r>
      <w:r>
        <w:rPr>
          <w:rtl w:val="0"/>
          <w:lang w:val="en-US"/>
        </w:rPr>
        <w:t>ʻ</w:t>
      </w:r>
      <w:r>
        <w:rPr>
          <w:rtl w:val="0"/>
          <w:lang w:val="en-US"/>
        </w:rPr>
        <w:t xml:space="preserve">s neck region of Western Papua with clearly enlarged finger pads relative to toe pads. If confirmed as </w:t>
      </w:r>
      <w:r>
        <w:rPr>
          <w:i w:val="1"/>
          <w:iCs w:val="1"/>
          <w:rtl w:val="0"/>
          <w:lang w:val="en-US"/>
        </w:rPr>
        <w:t>Auparoparo</w:t>
      </w:r>
      <w:r>
        <w:rPr>
          <w:rtl w:val="0"/>
          <w:lang w:val="en-US"/>
        </w:rPr>
        <w:t>, it would significantly expand the range across New Guinea Island.</w:t>
      </w:r>
    </w:p>
    <w:p>
      <w:pPr>
        <w:pStyle w:val="Body Text"/>
      </w:pPr>
      <w:r>
        <w:rPr>
          <w:rtl w:val="0"/>
          <w:lang w:val="en-US"/>
        </w:rPr>
        <w:t xml:space="preserve">We found geographic range overlap between </w:t>
      </w:r>
      <w:r>
        <w:rPr>
          <w:i w:val="1"/>
          <w:iCs w:val="1"/>
          <w:rtl w:val="0"/>
          <w:lang w:val="en-US"/>
        </w:rPr>
        <w:t>Oreophryne</w:t>
      </w:r>
      <w:r>
        <w:rPr>
          <w:rtl w:val="0"/>
          <w:lang w:val="en-US"/>
        </w:rPr>
        <w:t xml:space="preserve"> and </w:t>
      </w:r>
      <w:r>
        <w:rPr>
          <w:i w:val="1"/>
          <w:iCs w:val="1"/>
          <w:rtl w:val="0"/>
          <w:lang w:val="en-US"/>
        </w:rPr>
        <w:t>Auparoparo</w:t>
      </w:r>
      <w:r>
        <w:rPr>
          <w:rtl w:val="0"/>
          <w:lang w:val="en-US"/>
        </w:rPr>
        <w:t xml:space="preserve"> at multiple localities: on the mainland along the Mt. Dayman Foothills, at the Mt. Simpson Massif, Mt. Trafalgar, and on the islands of Normanby and Fergusson (both nearshore islands), and Rossel island (hundreds of kilometers away), which presents interesting questions regarding their ecological relationships. For example, </w:t>
      </w:r>
      <w:r>
        <w:rPr>
          <w:i w:val="1"/>
          <w:iCs w:val="1"/>
          <w:rtl w:val="0"/>
          <w:lang w:val="en-US"/>
        </w:rPr>
        <w:t>Oreophryne inornata</w:t>
      </w:r>
      <w:r>
        <w:rPr>
          <w:rtl w:val="0"/>
          <w:lang w:val="en-US"/>
        </w:rPr>
        <w:t xml:space="preserve"> and </w:t>
      </w:r>
      <w:r>
        <w:rPr>
          <w:i w:val="1"/>
          <w:iCs w:val="1"/>
          <w:rtl w:val="0"/>
          <w:lang w:val="en-US"/>
        </w:rPr>
        <w:t>Auparoparo insulana</w:t>
      </w:r>
      <w:r>
        <w:rPr>
          <w:rtl w:val="0"/>
          <w:lang w:val="en-US"/>
        </w:rPr>
        <w:t xml:space="preserve"> have been collected at the same site (Goodenough Island) and even the same microhabitats (Zweifel, 1956). How can species coexist in the same niche? And what is the temporal history of each colonization? Are both genera also present in the nearby islands of Normanby and Fergusson (all part of the D</w:t>
      </w:r>
      <w:r>
        <w:rPr>
          <w:rtl w:val="0"/>
          <w:lang w:val="en-US"/>
        </w:rPr>
        <w:t>’</w:t>
      </w:r>
      <w:r>
        <w:rPr>
          <w:rtl w:val="0"/>
          <w:lang w:val="en-US"/>
        </w:rPr>
        <w:t xml:space="preserve">Entrecasteaux Archipelago)? Obtaining additional geographical samples for inclusion in phylogenetic analysis should be a high priority to gain a more complete understanding of the geographic distribution and evolutionary history of both </w:t>
      </w:r>
      <w:r>
        <w:rPr>
          <w:i w:val="1"/>
          <w:iCs w:val="1"/>
          <w:rtl w:val="0"/>
          <w:lang w:val="en-US"/>
        </w:rPr>
        <w:t>Oreophryne</w:t>
      </w:r>
      <w:r>
        <w:rPr>
          <w:rtl w:val="0"/>
          <w:lang w:val="en-US"/>
        </w:rPr>
        <w:t xml:space="preserve"> and </w:t>
      </w:r>
      <w:r>
        <w:rPr>
          <w:i w:val="1"/>
          <w:iCs w:val="1"/>
          <w:rtl w:val="0"/>
          <w:lang w:val="en-US"/>
        </w:rPr>
        <w:t>Auparoparo</w:t>
      </w:r>
      <w:r>
        <w:rPr>
          <w:rtl w:val="0"/>
          <w:lang w:val="en-US"/>
        </w:rPr>
        <w:t>.</w:t>
      </w:r>
      <w:bookmarkEnd w:id="18"/>
    </w:p>
    <w:p>
      <w:pPr>
        <w:pStyle w:val="Heading 2"/>
      </w:pPr>
      <w:bookmarkStart w:name="howtoavoidamisleadingclassification" w:id="19"/>
      <w:r>
        <w:rPr>
          <w:rtl w:val="0"/>
          <w:lang w:val="en-US"/>
        </w:rPr>
        <w:t>How to Avoid a Misleading Classification</w:t>
      </w:r>
    </w:p>
    <w:p>
      <w:pPr>
        <w:pStyle w:val="First Paragraph"/>
      </w:pPr>
      <w:r>
        <w:rPr>
          <w:rtl w:val="0"/>
          <w:lang w:val="en-US"/>
        </w:rPr>
        <w:t xml:space="preserve">We adopt an explicitly phylogenetic framework for the new taxonomy of the genera </w:t>
      </w:r>
      <w:r>
        <w:rPr>
          <w:i w:val="1"/>
          <w:iCs w:val="1"/>
          <w:rtl w:val="0"/>
          <w:lang w:val="en-US"/>
        </w:rPr>
        <w:t>Oreophryne</w:t>
      </w:r>
      <w:r>
        <w:rPr>
          <w:rtl w:val="0"/>
          <w:lang w:val="en-US"/>
        </w:rPr>
        <w:t xml:space="preserve"> and </w:t>
      </w:r>
      <w:r>
        <w:rPr>
          <w:i w:val="1"/>
          <w:iCs w:val="1"/>
          <w:rtl w:val="0"/>
          <w:lang w:val="en-US"/>
        </w:rPr>
        <w:t>Auparoparo</w:t>
      </w:r>
      <w:r>
        <w:rPr>
          <w:rtl w:val="0"/>
          <w:lang w:val="en-US"/>
        </w:rPr>
        <w:t xml:space="preserve">, and to our knowledge, this is the first time that a phylogenetic taxonomic approach has been applied for any genus of the subfamily Asterophryinae. A nodal definition of genera is advantageous especially because Asterophryinae is an adaptive radiation. While we are increasingly confident that at least 16 genera are indeed monophyletic, nevertheless, very short branch lengths separate many of the genera along the backbone [Hill </w:t>
      </w:r>
      <w:r>
        <w:rPr>
          <w:i w:val="1"/>
          <w:iCs w:val="1"/>
          <w:rtl w:val="0"/>
          <w:lang w:val="en-US"/>
        </w:rPr>
        <w:t>et al.</w:t>
      </w:r>
      <w:r>
        <w:rPr>
          <w:rtl w:val="0"/>
          <w:lang w:val="en-US"/>
        </w:rPr>
        <w:t xml:space="preserve"> (2022); this study]. A nodal definition is robust to uncertainty (i.e., rearrangements of order) along the backbone. We define genera as the largest crown clade originating with the most recent common ancestor of the reference species for the clade (e.g., the type species </w:t>
      </w:r>
      <w:r>
        <w:rPr>
          <w:i w:val="1"/>
          <w:iCs w:val="1"/>
          <w:rtl w:val="0"/>
          <w:lang w:val="en-US"/>
        </w:rPr>
        <w:t>Oreophryne senkenbergiana</w:t>
      </w:r>
      <w:r>
        <w:rPr>
          <w:rtl w:val="0"/>
          <w:lang w:val="en-US"/>
        </w:rPr>
        <w:t>), and all extant species of the clade more recently than they do with reference species of other clades that the sample may potentially belong to. The type species, if genetic material is available seems like a reasonable choice for the reference taxon, but for groups such as Asterophryinae, where a number of type species were collected in the 1800</w:t>
      </w:r>
      <w:r>
        <w:rPr>
          <w:rtl w:val="0"/>
          <w:lang w:val="en-US"/>
        </w:rPr>
        <w:t>ʻ</w:t>
      </w:r>
      <w:r>
        <w:rPr>
          <w:rtl w:val="0"/>
          <w:lang w:val="en-US"/>
        </w:rPr>
        <w:t xml:space="preserve">s it may not be possible to obtain a genetic sample, as these locations may be uncertain and/or remote, and other proxies may be needed. Nevertheless, is increasingly clear that for </w:t>
      </w:r>
      <w:r>
        <w:rPr>
          <w:i w:val="1"/>
          <w:iCs w:val="1"/>
          <w:rtl w:val="0"/>
          <w:lang w:val="en-US"/>
        </w:rPr>
        <w:t>Oreophryne</w:t>
      </w:r>
      <w:r>
        <w:rPr>
          <w:rtl w:val="0"/>
          <w:lang w:val="en-US"/>
        </w:rPr>
        <w:t xml:space="preserve"> and </w:t>
      </w:r>
      <w:r>
        <w:rPr>
          <w:i w:val="1"/>
          <w:iCs w:val="1"/>
          <w:rtl w:val="0"/>
          <w:lang w:val="en-US"/>
        </w:rPr>
        <w:t>Auparoparo</w:t>
      </w:r>
      <w:r>
        <w:rPr>
          <w:rtl w:val="0"/>
          <w:lang w:val="en-US"/>
        </w:rPr>
        <w:t>, a molecular phylogenetic approach is required for final confirmation of taxonomy.</w:t>
      </w:r>
    </w:p>
    <w:p>
      <w:pPr>
        <w:pStyle w:val="Body Text"/>
      </w:pPr>
      <w:r>
        <w:rPr>
          <w:rtl w:val="0"/>
          <w:lang w:val="en-US"/>
        </w:rPr>
        <w:t xml:space="preserve">Furthermore, a phylogenetic definition provides guidance for robust classification. Given the deep histories of the two genera, it is imperative that molecular confirmation of either </w:t>
      </w:r>
      <w:r>
        <w:rPr>
          <w:i w:val="1"/>
          <w:iCs w:val="1"/>
          <w:rtl w:val="0"/>
          <w:lang w:val="en-US"/>
        </w:rPr>
        <w:t>Oreophryne</w:t>
      </w:r>
      <w:r>
        <w:rPr>
          <w:rtl w:val="0"/>
          <w:lang w:val="en-US"/>
        </w:rPr>
        <w:t xml:space="preserve"> or </w:t>
      </w:r>
      <w:r>
        <w:rPr>
          <w:i w:val="1"/>
          <w:iCs w:val="1"/>
          <w:rtl w:val="0"/>
          <w:lang w:val="en-US"/>
        </w:rPr>
        <w:t>Auparoparo</w:t>
      </w:r>
      <w:r>
        <w:rPr>
          <w:rtl w:val="0"/>
          <w:lang w:val="en-US"/>
        </w:rPr>
        <w:t xml:space="preserve"> include members of the other clade as an outgroup, but also members of </w:t>
      </w:r>
      <w:r>
        <w:rPr>
          <w:i w:val="1"/>
          <w:iCs w:val="1"/>
          <w:rtl w:val="0"/>
          <w:lang w:val="en-US"/>
        </w:rPr>
        <w:t>Cophixalus</w:t>
      </w:r>
      <w:r>
        <w:rPr>
          <w:rtl w:val="0"/>
          <w:lang w:val="en-US"/>
        </w:rPr>
        <w:t xml:space="preserve">, </w:t>
      </w:r>
      <w:r>
        <w:rPr>
          <w:i w:val="1"/>
          <w:iCs w:val="1"/>
          <w:rtl w:val="0"/>
          <w:lang w:val="en-US"/>
        </w:rPr>
        <w:t>Paedophryne</w:t>
      </w:r>
      <w:r>
        <w:rPr>
          <w:rtl w:val="0"/>
          <w:lang w:val="en-US"/>
        </w:rPr>
        <w:t xml:space="preserve">, or other closest sister genera as outgroups to clearly resolve whether the sample shares an MRCA more closely with </w:t>
      </w:r>
      <w:r>
        <w:rPr>
          <w:i w:val="1"/>
          <w:iCs w:val="1"/>
          <w:rtl w:val="0"/>
          <w:lang w:val="en-US"/>
        </w:rPr>
        <w:t>Oreophryne</w:t>
      </w:r>
      <w:r>
        <w:rPr>
          <w:rtl w:val="0"/>
          <w:lang w:val="en-US"/>
        </w:rPr>
        <w:t xml:space="preserve"> or </w:t>
      </w:r>
      <w:r>
        <w:rPr>
          <w:i w:val="1"/>
          <w:iCs w:val="1"/>
          <w:rtl w:val="0"/>
          <w:lang w:val="en-US"/>
        </w:rPr>
        <w:t>Auparoaro</w:t>
      </w:r>
      <w:r>
        <w:rPr>
          <w:rtl w:val="0"/>
          <w:lang w:val="en-US"/>
        </w:rPr>
        <w:t xml:space="preserve">. The ability to resolve the </w:t>
      </w:r>
      <w:r>
        <w:rPr>
          <w:rtl w:val="0"/>
          <w:lang w:val="en-US"/>
        </w:rPr>
        <w:t>“</w:t>
      </w:r>
      <w:r>
        <w:rPr>
          <w:rtl w:val="0"/>
          <w:lang w:val="en-US"/>
        </w:rPr>
        <w:t>boundaries</w:t>
      </w:r>
      <w:r>
        <w:rPr>
          <w:rtl w:val="0"/>
          <w:lang w:val="en-US"/>
        </w:rPr>
        <w:t xml:space="preserve">” </w:t>
      </w:r>
      <w:r>
        <w:rPr>
          <w:rtl w:val="0"/>
          <w:lang w:val="en-US"/>
        </w:rPr>
        <w:t xml:space="preserve">of the monophyletic groups requires it. An additional difficulty here is that within each genus, there are subclades with deep histories, so care must be taken to decisively demonstrate monophyly. For example, a phylogenetic analysis with only </w:t>
      </w:r>
      <w:r>
        <w:rPr>
          <w:i w:val="1"/>
          <w:iCs w:val="1"/>
          <w:rtl w:val="0"/>
          <w:lang w:val="en-US"/>
        </w:rPr>
        <w:t>Oreophryne</w:t>
      </w:r>
      <w:r>
        <w:rPr>
          <w:rtl w:val="0"/>
          <w:lang w:val="en-US"/>
        </w:rPr>
        <w:t xml:space="preserve"> sensu lato and outgroups to Asterophryinae, will show grouping of </w:t>
      </w:r>
      <w:r>
        <w:rPr>
          <w:i w:val="1"/>
          <w:iCs w:val="1"/>
          <w:rtl w:val="0"/>
          <w:lang w:val="en-US"/>
        </w:rPr>
        <w:t>Oreophryne</w:t>
      </w:r>
      <w:r>
        <w:rPr>
          <w:rtl w:val="0"/>
          <w:lang w:val="en-US"/>
        </w:rPr>
        <w:t xml:space="preserve"> and </w:t>
      </w:r>
      <w:r>
        <w:rPr>
          <w:i w:val="1"/>
          <w:iCs w:val="1"/>
          <w:rtl w:val="0"/>
          <w:lang w:val="en-US"/>
        </w:rPr>
        <w:t>Auparoparo</w:t>
      </w:r>
      <w:r>
        <w:rPr>
          <w:rtl w:val="0"/>
          <w:lang w:val="en-US"/>
        </w:rPr>
        <w:t xml:space="preserve">, because of lack of intervening phylogenetic history. Similarly, an analysis with only </w:t>
      </w:r>
      <w:r>
        <w:rPr>
          <w:i w:val="1"/>
          <w:iCs w:val="1"/>
          <w:rtl w:val="0"/>
          <w:lang w:val="en-US"/>
        </w:rPr>
        <w:t>Oreophryne</w:t>
      </w:r>
      <w:r>
        <w:rPr>
          <w:rtl w:val="0"/>
          <w:lang w:val="en-US"/>
        </w:rPr>
        <w:t xml:space="preserve"> sensu lato with a member of one of the younger genera, say, </w:t>
      </w:r>
      <w:r>
        <w:rPr>
          <w:i w:val="1"/>
          <w:iCs w:val="1"/>
          <w:rtl w:val="0"/>
          <w:lang w:val="en-US"/>
        </w:rPr>
        <w:t>Hylophorbus</w:t>
      </w:r>
      <w:r>
        <w:rPr>
          <w:rtl w:val="0"/>
          <w:lang w:val="en-US"/>
        </w:rPr>
        <w:t xml:space="preserve">, will give a similar misleading result because both </w:t>
      </w:r>
      <w:r>
        <w:rPr>
          <w:i w:val="1"/>
          <w:iCs w:val="1"/>
          <w:rtl w:val="0"/>
          <w:lang w:val="en-US"/>
        </w:rPr>
        <w:t>Oreophryne</w:t>
      </w:r>
      <w:r>
        <w:rPr>
          <w:rtl w:val="0"/>
          <w:lang w:val="en-US"/>
        </w:rPr>
        <w:t xml:space="preserve"> and </w:t>
      </w:r>
      <w:r>
        <w:rPr>
          <w:i w:val="1"/>
          <w:iCs w:val="1"/>
          <w:rtl w:val="0"/>
          <w:lang w:val="en-US"/>
        </w:rPr>
        <w:t>Auparoparo</w:t>
      </w:r>
      <w:r>
        <w:rPr>
          <w:rtl w:val="0"/>
          <w:lang w:val="en-US"/>
        </w:rPr>
        <w:t xml:space="preserve"> are equally distant from </w:t>
      </w:r>
      <w:r>
        <w:rPr>
          <w:i w:val="1"/>
          <w:iCs w:val="1"/>
          <w:rtl w:val="0"/>
          <w:lang w:val="en-US"/>
        </w:rPr>
        <w:t>Hylophorbus</w:t>
      </w:r>
      <w:r>
        <w:rPr>
          <w:rtl w:val="0"/>
          <w:lang w:val="en-US"/>
        </w:rPr>
        <w:t>. Clearly a greater taxonomic representation is always better, but in this case, care is required to avoid a misleading result. This study furthermore highlights the importance of taxonomic sampling for robust phylogenetic results. Developing an orderly taxonomy in a clade with over 350 named species (and an estimated 40% more yet to be described species currently in museum collections) would be that much more challenging without the benefit of generic diagnoses that follow evolutionary history.</w:t>
      </w:r>
      <w:bookmarkEnd w:id="19"/>
    </w:p>
    <w:p>
      <w:pPr>
        <w:pStyle w:val="Heading 2"/>
      </w:pPr>
      <w:bookmarkStart w:name="whythenamesmatter" w:id="20"/>
      <w:r>
        <w:rPr>
          <w:rtl w:val="0"/>
          <w:lang w:val="en-US"/>
        </w:rPr>
        <w:t>Why the Names Matter</w:t>
      </w:r>
    </w:p>
    <w:p>
      <w:pPr>
        <w:pStyle w:val="First Paragraph"/>
      </w:pPr>
      <w:r>
        <w:rPr>
          <w:rtl w:val="0"/>
          <w:lang w:val="en-US"/>
        </w:rPr>
        <w:t xml:space="preserve">Clarifying the generic structure also facilitates appreciation for the patterns of diversification: a tendency toward niche conservatism within genera, ecological and generic diversification occurring early in the history of the subfamily (Hill </w:t>
      </w:r>
      <w:r>
        <w:rPr>
          <w:i w:val="1"/>
          <w:iCs w:val="1"/>
          <w:rtl w:val="0"/>
          <w:lang w:val="en-US"/>
        </w:rPr>
        <w:t>et al.</w:t>
      </w:r>
      <w:r>
        <w:rPr>
          <w:rtl w:val="0"/>
          <w:lang w:val="en-US"/>
        </w:rPr>
        <w:t xml:space="preserve">, 2022); and furthermore the very interesting biogeographical history of simultaneous dispersal of multiple genera to offshore islands (Hill </w:t>
      </w:r>
      <w:r>
        <w:rPr>
          <w:i w:val="1"/>
          <w:iCs w:val="1"/>
          <w:rtl w:val="0"/>
          <w:lang w:val="en-US"/>
        </w:rPr>
        <w:t>et al.</w:t>
      </w:r>
      <w:r>
        <w:rPr>
          <w:rtl w:val="0"/>
          <w:lang w:val="en-US"/>
        </w:rPr>
        <w:t xml:space="preserve">, 2022, 2023a) revealing the very strong influence of plate tectonics for explaining the historical dispersal patterns of this group. Finally, without stability in the naming of genera and the independent histories embodied by each, it becomes much more difficult to appreciate that the two clades represented by </w:t>
      </w:r>
      <w:r>
        <w:rPr>
          <w:i w:val="1"/>
          <w:iCs w:val="1"/>
          <w:rtl w:val="0"/>
          <w:lang w:val="en-US"/>
        </w:rPr>
        <w:t>Oreophyne</w:t>
      </w:r>
      <w:r>
        <w:rPr>
          <w:rtl w:val="0"/>
          <w:lang w:val="en-US"/>
        </w:rPr>
        <w:t xml:space="preserve"> and </w:t>
      </w:r>
      <w:r>
        <w:rPr>
          <w:i w:val="1"/>
          <w:iCs w:val="1"/>
          <w:rtl w:val="0"/>
          <w:lang w:val="en-US"/>
        </w:rPr>
        <w:t>Auparoparo</w:t>
      </w:r>
      <w:r>
        <w:rPr>
          <w:rtl w:val="0"/>
          <w:lang w:val="en-US"/>
        </w:rPr>
        <w:t xml:space="preserve"> have independently evolved, that there are two independent arboreal clades, and would make it very difficult to appreciate the impressive paralleism embodied by these speciose and successful genera. An accurate and informative taxonomy serves to advance our understanding of this group and the very interesting evolutionary insights that they embody leading to further discovery.</w:t>
      </w:r>
    </w:p>
    <w:p>
      <w:pPr>
        <w:pStyle w:val="Body Text"/>
      </w:pPr>
      <w:r>
        <w:rPr>
          <w:rtl w:val="0"/>
          <w:lang w:val="en-US"/>
        </w:rPr>
        <w:t>Lastly, we emphasize that future naming of species, genera, and higher classifications should always seek to recognize the language of the indigenous stewards of the land and ecosystem from which they were discovered (Gillman &amp; Wright, 2020). This is especially true of Asterophryinae frogs, whose awe-inspiring diversity mirrors the rich cultural beauty and historical complexity of Papuan people.</w:t>
      </w:r>
      <w:bookmarkEnd w:id="20"/>
    </w:p>
    <w:p>
      <w:pPr>
        <w:pStyle w:val="Heading 1"/>
      </w:pPr>
      <w:bookmarkStart w:name="acknowledgements" w:id="21"/>
      <w:r>
        <w:rPr>
          <w:rFonts w:cs="Arial Unicode MS" w:eastAsia="Arial Unicode MS"/>
          <w:rtl w:val="0"/>
          <w:lang w:val="en-US"/>
        </w:rPr>
        <w:t>Acknowledgements</w:t>
      </w:r>
    </w:p>
    <w:p>
      <w:pPr>
        <w:pStyle w:val="First Paragraph"/>
      </w:pPr>
      <w:r>
        <w:rPr>
          <w:rtl w:val="0"/>
          <w:lang w:val="en-US"/>
        </w:rPr>
        <w:t>We thank Ben Evans and Iqbal Setiadi for generously providing samples critical for this study, and Ethan Hill for his guidance and training on the molecular and bioinformatics work. We are grateful to Molly Hagemann for her excellent assistance in accessing Bishop Museum Vertebrate Zoology Collections and data. We thank Neal Evenhuis for sharing expert knowledge on type species, and Brianna Correa and Alexis Shulga for providing comments which improved the manuscript. This is publication 234 from the School of Life Sciences, University of Hawai</w:t>
      </w:r>
      <w:r>
        <w:rPr>
          <w:rtl w:val="0"/>
          <w:lang w:val="en-US"/>
        </w:rPr>
        <w:t>ʻ</w:t>
      </w:r>
      <w:r>
        <w:rPr>
          <w:rtl w:val="0"/>
          <w:lang w:val="en-US"/>
        </w:rPr>
        <w:t>i at M</w:t>
      </w:r>
      <w:r>
        <w:rPr>
          <w:rtl w:val="0"/>
          <w:lang w:val="en-US"/>
        </w:rPr>
        <w:t>ā</w:t>
      </w:r>
      <w:r>
        <w:rPr>
          <w:rtl w:val="0"/>
          <w:lang w:val="en-US"/>
        </w:rPr>
        <w:t>noa.</w:t>
      </w:r>
      <w:bookmarkEnd w:id="21"/>
    </w:p>
    <w:p>
      <w:pPr>
        <w:pStyle w:val="Heading 1"/>
      </w:pPr>
      <w:bookmarkStart w:name="funding" w:id="22"/>
      <w:r>
        <w:rPr>
          <w:rFonts w:cs="Arial Unicode MS" w:eastAsia="Arial Unicode MS"/>
          <w:rtl w:val="0"/>
          <w:lang w:val="en-US"/>
        </w:rPr>
        <w:t>Funding</w:t>
      </w:r>
    </w:p>
    <w:p>
      <w:pPr>
        <w:pStyle w:val="First Paragraph"/>
      </w:pPr>
      <w:r>
        <w:rPr>
          <w:rtl w:val="0"/>
          <w:lang w:val="en-US"/>
        </w:rPr>
        <w:t>This study was made possible by a grant from the National Science Foundation awarded to MB (DEB-1145733). We gratefully acknowledge support from the School of Life Sciences, University of Hawai</w:t>
      </w:r>
      <w:r>
        <w:rPr>
          <w:rtl w:val="0"/>
          <w:lang w:val="en-US"/>
        </w:rPr>
        <w:t>’</w:t>
      </w:r>
      <w:r>
        <w:rPr>
          <w:rtl w:val="0"/>
          <w:lang w:val="en-US"/>
        </w:rPr>
        <w:t xml:space="preserve">i at M </w:t>
      </w:r>
      <w:r>
        <w:rPr>
          <w:rtl w:val="0"/>
          <w:lang w:val="en-US"/>
        </w:rPr>
        <w:t>̄</w:t>
      </w:r>
      <w:r>
        <w:rPr>
          <w:rtl w:val="0"/>
          <w:lang w:val="en-US"/>
        </w:rPr>
        <w:t xml:space="preserve">anoa. University of Hawaii Information Technology Services </w:t>
      </w:r>
      <w:r>
        <w:rPr>
          <w:rtl w:val="0"/>
          <w:lang w:val="en-US"/>
        </w:rPr>
        <w:t xml:space="preserve">– </w:t>
      </w:r>
      <w:r>
        <w:rPr>
          <w:rtl w:val="0"/>
          <w:lang w:val="en-US"/>
        </w:rPr>
        <w:t>Cyberinfrastructure resources were funded in part by a National Science Foundation Major Research Instrumentation award (CNS-1920304).</w:t>
      </w:r>
      <w:bookmarkEnd w:id="22"/>
    </w:p>
    <w:p>
      <w:pPr>
        <w:pStyle w:val="Heading 1"/>
      </w:pPr>
      <w:bookmarkStart w:name="dataavailability" w:id="23"/>
      <w:r>
        <w:rPr>
          <w:rFonts w:cs="Arial Unicode MS" w:eastAsia="Arial Unicode MS"/>
          <w:rtl w:val="0"/>
          <w:lang w:val="en-US"/>
        </w:rPr>
        <w:t>Data Availability</w:t>
      </w:r>
    </w:p>
    <w:p>
      <w:pPr>
        <w:pStyle w:val="First Paragraph"/>
      </w:pPr>
      <w:r>
        <w:rPr>
          <w:rtl w:val="0"/>
          <w:lang w:val="en-US"/>
        </w:rPr>
        <w:t xml:space="preserve">The data underlying this article are available in the GenBank Nucleotide Database] at </w:t>
      </w:r>
      <w:r>
        <w:rPr>
          <w:rStyle w:val="Hyperlink.0"/>
        </w:rPr>
        <w:fldChar w:fldCharType="begin" w:fldLock="0"/>
      </w:r>
      <w:r>
        <w:rPr>
          <w:rStyle w:val="Hyperlink.0"/>
        </w:rPr>
        <w:instrText xml:space="preserve"> HYPERLINK "https://www.ncbi.nlm.nih.gov/genbank/"</w:instrText>
      </w:r>
      <w:r>
        <w:rPr>
          <w:rStyle w:val="Hyperlink.0"/>
        </w:rPr>
        <w:fldChar w:fldCharType="separate" w:fldLock="0"/>
      </w:r>
      <w:r>
        <w:rPr>
          <w:rStyle w:val="Hyperlink.0"/>
          <w:rtl w:val="0"/>
        </w:rPr>
        <w:t>https://www.ncbi.nlm.nih.gov/genbank/</w:t>
      </w:r>
      <w:r>
        <w:rPr/>
        <w:fldChar w:fldCharType="end" w:fldLock="0"/>
      </w:r>
      <w:r>
        <w:rPr>
          <w:rtl w:val="0"/>
          <w:lang w:val="en-US"/>
        </w:rPr>
        <w:t xml:space="preserve"> , and can be accessed with [will be provided upon publication]. The codes and datafiles needed to reproduce these results can be found at [GitHub repository] with DOI [supplied upon publication].</w:t>
      </w:r>
      <w:bookmarkEnd w:id="23"/>
    </w:p>
    <w:p>
      <w:pPr>
        <w:pStyle w:val="Heading 1"/>
      </w:pPr>
      <w:bookmarkStart w:name="citations" w:id="24"/>
      <w:r>
        <w:rPr>
          <w:rFonts w:cs="Arial Unicode MS" w:eastAsia="Arial Unicode MS"/>
          <w:rtl w:val="0"/>
          <w:lang w:val="fr-FR"/>
        </w:rPr>
        <w:t>Citations</w:t>
      </w:r>
      <w:bookmarkEnd w:id="24"/>
    </w:p>
    <w:p>
      <w:pPr>
        <w:pStyle w:val="Body"/>
      </w:pPr>
      <w:bookmarkStart w:name="refAhl1933" w:id="25"/>
      <w:r>
        <w:rPr>
          <w:rFonts w:cs="Arial Unicode MS" w:eastAsia="Arial Unicode MS"/>
          <w:b w:val="1"/>
          <w:bCs w:val="1"/>
          <w:rtl w:val="0"/>
        </w:rPr>
        <w:t>A</w:t>
      </w:r>
      <w:bookmarkEnd w:id="25"/>
      <w:bookmarkStart w:name="refs" w:id="26"/>
      <w:r>
        <w:rPr>
          <w:rFonts w:cs="Arial Unicode MS" w:eastAsia="Arial Unicode MS"/>
          <w:b w:val="1"/>
          <w:bCs w:val="1"/>
          <w:rtl w:val="0"/>
          <w:lang w:val="de-DE"/>
        </w:rPr>
        <w:t>hl E</w:t>
      </w:r>
      <w:r>
        <w:rPr>
          <w:rFonts w:cs="Arial Unicode MS" w:eastAsia="Arial Unicode MS"/>
          <w:rtl w:val="0"/>
        </w:rPr>
        <w:t xml:space="preserve">. </w:t>
      </w:r>
      <w:r>
        <w:rPr>
          <w:rFonts w:cs="Arial Unicode MS" w:eastAsia="Arial Unicode MS"/>
          <w:b w:val="1"/>
          <w:bCs w:val="1"/>
          <w:rtl w:val="0"/>
        </w:rPr>
        <w:t>1933</w:t>
      </w:r>
      <w:r>
        <w:rPr>
          <w:rFonts w:cs="Arial Unicode MS" w:eastAsia="Arial Unicode MS"/>
          <w:rtl w:val="0"/>
          <w:lang w:val="de-DE"/>
        </w:rPr>
        <w:t>. Ergebnisse der celebes-und halmaheira-expedition heinrich 1930</w:t>
      </w:r>
      <w:r>
        <w:rPr>
          <w:rFonts w:cs="Arial Unicode MS" w:eastAsia="Arial Unicode MS" w:hint="default"/>
          <w:rtl w:val="0"/>
        </w:rPr>
        <w:t>–</w:t>
      </w:r>
      <w:r>
        <w:rPr>
          <w:rFonts w:cs="Arial Unicode MS" w:eastAsia="Arial Unicode MS"/>
          <w:rtl w:val="0"/>
        </w:rPr>
        <w:t xml:space="preserve">32. </w:t>
      </w:r>
      <w:r>
        <w:rPr>
          <w:rFonts w:cs="Arial Unicode MS" w:eastAsia="Arial Unicode MS"/>
          <w:i w:val="1"/>
          <w:iCs w:val="1"/>
          <w:rtl w:val="0"/>
          <w:lang w:val="de-DE"/>
        </w:rPr>
        <w:t>Mitteilungen aus dem Zoologischen Museum in Berlin</w:t>
      </w:r>
      <w:r>
        <w:rPr>
          <w:rFonts w:cs="Arial Unicode MS" w:eastAsia="Arial Unicode MS"/>
          <w:rtl w:val="0"/>
        </w:rPr>
        <w:t xml:space="preserve"> </w:t>
      </w:r>
      <w:r>
        <w:rPr>
          <w:rFonts w:cs="Arial Unicode MS" w:eastAsia="Arial Unicode MS"/>
          <w:b w:val="1"/>
          <w:bCs w:val="1"/>
          <w:rtl w:val="0"/>
        </w:rPr>
        <w:t>19</w:t>
      </w:r>
      <w:r>
        <w:rPr>
          <w:rFonts w:cs="Arial Unicode MS" w:eastAsia="Arial Unicode MS"/>
          <w:rtl w:val="0"/>
        </w:rPr>
        <w:t>: 577</w:t>
      </w:r>
      <w:r>
        <w:rPr>
          <w:rFonts w:cs="Arial Unicode MS" w:eastAsia="Arial Unicode MS" w:hint="default"/>
          <w:rtl w:val="0"/>
        </w:rPr>
        <w:t>–</w:t>
      </w:r>
      <w:r>
        <w:rPr>
          <w:rFonts w:cs="Arial Unicode MS" w:eastAsia="Arial Unicode MS"/>
          <w:rtl w:val="0"/>
        </w:rPr>
        <w:t>583.</w:t>
      </w:r>
      <w:bookmarkEnd w:id="26"/>
    </w:p>
    <w:p>
      <w:pPr>
        <w:pStyle w:val="Body"/>
      </w:pPr>
      <w:bookmarkStart w:name="refAlcala1986" w:id="27"/>
      <w:r>
        <w:rPr>
          <w:rFonts w:cs="Arial Unicode MS" w:eastAsia="Arial Unicode MS"/>
          <w:b w:val="1"/>
          <w:bCs w:val="1"/>
          <w:rtl w:val="0"/>
          <w:lang w:val="es-ES_tradnl"/>
        </w:rPr>
        <w:t>Alcala AC</w:t>
      </w:r>
      <w:r>
        <w:rPr>
          <w:rFonts w:cs="Arial Unicode MS" w:eastAsia="Arial Unicode MS"/>
          <w:rtl w:val="0"/>
        </w:rPr>
        <w:t xml:space="preserve">. </w:t>
      </w:r>
      <w:r>
        <w:rPr>
          <w:rFonts w:cs="Arial Unicode MS" w:eastAsia="Arial Unicode MS"/>
          <w:b w:val="1"/>
          <w:bCs w:val="1"/>
          <w:rtl w:val="0"/>
        </w:rPr>
        <w:t>1986</w:t>
      </w:r>
      <w:r>
        <w:rPr>
          <w:rFonts w:cs="Arial Unicode MS" w:eastAsia="Arial Unicode MS"/>
          <w:rtl w:val="0"/>
        </w:rPr>
        <w:t xml:space="preserve">. </w:t>
      </w:r>
      <w:r>
        <w:rPr>
          <w:rStyle w:val="Hyperlink.1"/>
        </w:rPr>
        <w:fldChar w:fldCharType="begin" w:fldLock="0"/>
      </w:r>
      <w:r>
        <w:rPr>
          <w:rStyle w:val="Hyperlink.1"/>
        </w:rPr>
        <w:instrText xml:space="preserve"> HYPERLINK "https://books.google.com/books?id=QKMtAAAAMAAJ"</w:instrText>
      </w:r>
      <w:r>
        <w:rPr>
          <w:rStyle w:val="Hyperlink.1"/>
        </w:rPr>
        <w:fldChar w:fldCharType="separate" w:fldLock="0"/>
      </w:r>
      <w:r>
        <w:rPr>
          <w:rStyle w:val="Hyperlink.1"/>
          <w:rFonts w:cs="Arial Unicode MS" w:eastAsia="Arial Unicode MS"/>
          <w:rtl w:val="0"/>
          <w:lang w:val="en-US"/>
        </w:rPr>
        <w:t>Guide to philippine flora and fauna: Amphibians and reptiles</w:t>
      </w:r>
      <w:r>
        <w:rPr/>
        <w:fldChar w:fldCharType="end" w:fldLock="0"/>
      </w:r>
      <w:r>
        <w:rPr>
          <w:rFonts w:cs="Arial Unicode MS" w:eastAsia="Arial Unicode MS"/>
          <w:rtl w:val="0"/>
          <w:lang w:val="en-US"/>
        </w:rPr>
        <w:t xml:space="preserve"> (Natural Resources Management Center (Philippines), Ed.). Natural Resources Management Center, Ministry of Natural Resources; University of the Philippines.</w:t>
      </w:r>
      <w:bookmarkEnd w:id="27"/>
    </w:p>
    <w:p>
      <w:pPr>
        <w:pStyle w:val="Body"/>
      </w:pPr>
      <w:bookmarkStart w:name="refBalinton2015" w:id="28"/>
      <w:r>
        <w:rPr>
          <w:rFonts w:cs="Arial Unicode MS" w:eastAsia="Arial Unicode MS"/>
          <w:b w:val="1"/>
          <w:bCs w:val="1"/>
          <w:rtl w:val="0"/>
          <w:lang w:val="it-IT"/>
        </w:rPr>
        <w:t>Balinton RB &amp; Se</w:t>
      </w:r>
      <w:r>
        <w:rPr>
          <w:rFonts w:cs="Arial Unicode MS" w:eastAsia="Arial Unicode MS" w:hint="default"/>
          <w:b w:val="1"/>
          <w:bCs w:val="1"/>
          <w:rtl w:val="0"/>
          <w:lang w:val="es-ES_tradnl"/>
        </w:rPr>
        <w:t>ñ</w:t>
      </w:r>
      <w:r>
        <w:rPr>
          <w:rFonts w:cs="Arial Unicode MS" w:eastAsia="Arial Unicode MS"/>
          <w:b w:val="1"/>
          <w:bCs w:val="1"/>
          <w:rtl w:val="0"/>
          <w:lang w:val="es-ES_tradnl"/>
        </w:rPr>
        <w:t>a CA de la</w:t>
      </w:r>
      <w:r>
        <w:rPr>
          <w:rFonts w:cs="Arial Unicode MS" w:eastAsia="Arial Unicode MS"/>
          <w:rtl w:val="0"/>
        </w:rPr>
        <w:t xml:space="preserve">. </w:t>
      </w:r>
      <w:r>
        <w:rPr>
          <w:rFonts w:cs="Arial Unicode MS" w:eastAsia="Arial Unicode MS"/>
          <w:b w:val="1"/>
          <w:bCs w:val="1"/>
          <w:rtl w:val="0"/>
        </w:rPr>
        <w:t>2015</w:t>
      </w:r>
      <w:r>
        <w:rPr>
          <w:rFonts w:cs="Arial Unicode MS" w:eastAsia="Arial Unicode MS"/>
          <w:rtl w:val="0"/>
        </w:rPr>
        <w:t xml:space="preserve">. </w:t>
      </w:r>
      <w:r>
        <w:rPr>
          <w:rStyle w:val="Hyperlink.2"/>
        </w:rPr>
        <w:fldChar w:fldCharType="begin" w:fldLock="0"/>
      </w:r>
      <w:r>
        <w:rPr>
          <w:rStyle w:val="Hyperlink.2"/>
        </w:rPr>
        <w:instrText xml:space="preserve"> HYPERLINK "https://api.semanticscholar.org/CorpusID:202544117"</w:instrText>
      </w:r>
      <w:r>
        <w:rPr>
          <w:rStyle w:val="Hyperlink.2"/>
        </w:rPr>
        <w:fldChar w:fldCharType="separate" w:fldLock="0"/>
      </w:r>
      <w:r>
        <w:rPr>
          <w:rStyle w:val="Hyperlink.2"/>
          <w:rFonts w:cs="Arial Unicode MS" w:eastAsia="Arial Unicode MS"/>
          <w:rtl w:val="0"/>
          <w:lang w:val="en-US"/>
        </w:rPr>
        <w:t>Karyotype of a rare minute frog, oreophryne cf. Anulata (anura: Microhylidae), in agusan marsh, mindanao, philippines</w:t>
      </w:r>
      <w:r>
        <w:rPr/>
        <w:fldChar w:fldCharType="end" w:fldLock="0"/>
      </w:r>
      <w:r>
        <w:rPr>
          <w:rFonts w:cs="Arial Unicode MS" w:eastAsia="Arial Unicode MS"/>
          <w:rtl w:val="0"/>
        </w:rPr>
        <w:t xml:space="preserve">. </w:t>
      </w:r>
      <w:r>
        <w:rPr>
          <w:rFonts w:cs="Arial Unicode MS" w:eastAsia="Arial Unicode MS"/>
          <w:i w:val="1"/>
          <w:iCs w:val="1"/>
          <w:rtl w:val="0"/>
          <w:lang w:val="en-US"/>
        </w:rPr>
        <w:t>The Herpetological Bulletin</w:t>
      </w:r>
      <w:r>
        <w:rPr>
          <w:rFonts w:cs="Arial Unicode MS" w:eastAsia="Arial Unicode MS"/>
          <w:rtl w:val="0"/>
        </w:rPr>
        <w:t>.</w:t>
      </w:r>
      <w:bookmarkEnd w:id="28"/>
    </w:p>
    <w:p>
      <w:pPr>
        <w:pStyle w:val="Body"/>
      </w:pPr>
      <w:bookmarkStart w:name="refBoettger1892" w:id="29"/>
      <w:r>
        <w:rPr>
          <w:rFonts w:cs="Arial Unicode MS" w:eastAsia="Arial Unicode MS"/>
          <w:b w:val="1"/>
          <w:bCs w:val="1"/>
          <w:rtl w:val="0"/>
          <w:lang w:val="nl-NL"/>
        </w:rPr>
        <w:t>Boettger O</w:t>
      </w:r>
      <w:r>
        <w:rPr>
          <w:rFonts w:cs="Arial Unicode MS" w:eastAsia="Arial Unicode MS"/>
          <w:rtl w:val="0"/>
        </w:rPr>
        <w:t xml:space="preserve">. </w:t>
      </w:r>
      <w:r>
        <w:rPr>
          <w:rFonts w:cs="Arial Unicode MS" w:eastAsia="Arial Unicode MS"/>
          <w:b w:val="1"/>
          <w:bCs w:val="1"/>
          <w:rtl w:val="0"/>
        </w:rPr>
        <w:t>1892</w:t>
      </w:r>
      <w:r>
        <w:rPr>
          <w:rFonts w:cs="Arial Unicode MS" w:eastAsia="Arial Unicode MS"/>
          <w:rtl w:val="0"/>
          <w:lang w:val="de-DE"/>
        </w:rPr>
        <w:t xml:space="preserve">. Katalog der batrachier-sammlung im museum der senckenbergischen naturforschenden gesellshaft in frankfurt am main. </w:t>
      </w:r>
      <w:r>
        <w:rPr>
          <w:rFonts w:cs="Arial Unicode MS" w:eastAsia="Arial Unicode MS"/>
          <w:i w:val="1"/>
          <w:iCs w:val="1"/>
          <w:rtl w:val="0"/>
          <w:lang w:val="de-DE"/>
        </w:rPr>
        <w:t>Frankfurt a. M.: Gebr</w:t>
      </w:r>
      <w:r>
        <w:rPr>
          <w:rFonts w:cs="Arial Unicode MS" w:eastAsia="Arial Unicode MS" w:hint="default"/>
          <w:i w:val="1"/>
          <w:iCs w:val="1"/>
          <w:rtl w:val="0"/>
        </w:rPr>
        <w:t>ü</w:t>
      </w:r>
      <w:r>
        <w:rPr>
          <w:rFonts w:cs="Arial Unicode MS" w:eastAsia="Arial Unicode MS"/>
          <w:i w:val="1"/>
          <w:iCs w:val="1"/>
          <w:rtl w:val="0"/>
          <w:lang w:val="de-DE"/>
        </w:rPr>
        <w:t>der Knauer</w:t>
      </w:r>
      <w:r>
        <w:rPr>
          <w:rFonts w:cs="Arial Unicode MS" w:eastAsia="Arial Unicode MS"/>
          <w:rtl w:val="0"/>
        </w:rPr>
        <w:t>.</w:t>
      </w:r>
      <w:bookmarkEnd w:id="29"/>
    </w:p>
    <w:p>
      <w:pPr>
        <w:pStyle w:val="Body"/>
      </w:pPr>
      <w:bookmarkStart w:name="refBoettger1895" w:id="30"/>
      <w:r>
        <w:rPr>
          <w:rFonts w:cs="Arial Unicode MS" w:eastAsia="Arial Unicode MS"/>
          <w:b w:val="1"/>
          <w:bCs w:val="1"/>
          <w:rtl w:val="0"/>
          <w:lang w:val="nl-NL"/>
        </w:rPr>
        <w:t>Boettger O</w:t>
      </w:r>
      <w:r>
        <w:rPr>
          <w:rFonts w:cs="Arial Unicode MS" w:eastAsia="Arial Unicode MS"/>
          <w:rtl w:val="0"/>
        </w:rPr>
        <w:t xml:space="preserve">. </w:t>
      </w:r>
      <w:r>
        <w:rPr>
          <w:rFonts w:cs="Arial Unicode MS" w:eastAsia="Arial Unicode MS"/>
          <w:b w:val="1"/>
          <w:bCs w:val="1"/>
          <w:rtl w:val="0"/>
        </w:rPr>
        <w:t>1895</w:t>
      </w:r>
      <w:r>
        <w:rPr>
          <w:rFonts w:cs="Arial Unicode MS" w:eastAsia="Arial Unicode MS"/>
          <w:rtl w:val="0"/>
          <w:lang w:val="de-DE"/>
        </w:rPr>
        <w:t>. Liste der reptilien und batrachier der insel halmaheira nach den sammlungen prof. Dr. W. K</w:t>
      </w:r>
      <w:r>
        <w:rPr>
          <w:rFonts w:cs="Arial Unicode MS" w:eastAsia="Arial Unicode MS" w:hint="default"/>
          <w:rtl w:val="0"/>
        </w:rPr>
        <w:t>ü</w:t>
      </w:r>
      <w:r>
        <w:rPr>
          <w:rFonts w:cs="Arial Unicode MS" w:eastAsia="Arial Unicode MS"/>
          <w:rtl w:val="0"/>
          <w:lang w:val="en-US"/>
        </w:rPr>
        <w:t>kenthal</w:t>
      </w:r>
      <w:r>
        <w:rPr>
          <w:rFonts w:cs="Arial Unicode MS" w:eastAsia="Arial Unicode MS" w:hint="default"/>
          <w:rtl w:val="1"/>
        </w:rPr>
        <w:t>’</w:t>
      </w:r>
      <w:r>
        <w:rPr>
          <w:rFonts w:cs="Arial Unicode MS" w:eastAsia="Arial Unicode MS"/>
          <w:rtl w:val="0"/>
          <w:lang w:val="pt-PT"/>
        </w:rPr>
        <w:t xml:space="preserve">s. </w:t>
      </w:r>
      <w:r>
        <w:rPr>
          <w:rFonts w:cs="Arial Unicode MS" w:eastAsia="Arial Unicode MS"/>
          <w:i w:val="1"/>
          <w:iCs w:val="1"/>
          <w:rtl w:val="0"/>
          <w:lang w:val="de-DE"/>
        </w:rPr>
        <w:t>Zoologischer Anzeiger</w:t>
      </w:r>
      <w:r>
        <w:rPr>
          <w:rFonts w:cs="Arial Unicode MS" w:eastAsia="Arial Unicode MS"/>
          <w:rtl w:val="0"/>
        </w:rPr>
        <w:t xml:space="preserve"> </w:t>
      </w:r>
      <w:r>
        <w:rPr>
          <w:rFonts w:cs="Arial Unicode MS" w:eastAsia="Arial Unicode MS"/>
          <w:b w:val="1"/>
          <w:bCs w:val="1"/>
          <w:rtl w:val="0"/>
        </w:rPr>
        <w:t>18</w:t>
      </w:r>
      <w:r>
        <w:rPr>
          <w:rFonts w:cs="Arial Unicode MS" w:eastAsia="Arial Unicode MS"/>
          <w:rtl w:val="0"/>
        </w:rPr>
        <w:t>: 129</w:t>
      </w:r>
      <w:r>
        <w:rPr>
          <w:rFonts w:cs="Arial Unicode MS" w:eastAsia="Arial Unicode MS" w:hint="default"/>
          <w:rtl w:val="0"/>
        </w:rPr>
        <w:t>–</w:t>
      </w:r>
      <w:r>
        <w:rPr>
          <w:rFonts w:cs="Arial Unicode MS" w:eastAsia="Arial Unicode MS"/>
          <w:rtl w:val="0"/>
        </w:rPr>
        <w:t>138.</w:t>
      </w:r>
      <w:bookmarkEnd w:id="30"/>
    </w:p>
    <w:p>
      <w:pPr>
        <w:pStyle w:val="Body"/>
      </w:pPr>
      <w:bookmarkStart w:name="refBoulenger1896" w:id="31"/>
      <w:r>
        <w:rPr>
          <w:rFonts w:cs="Arial Unicode MS" w:eastAsia="Arial Unicode MS"/>
          <w:b w:val="1"/>
          <w:bCs w:val="1"/>
          <w:rtl w:val="0"/>
        </w:rPr>
        <w:t>Boulenger GA</w:t>
      </w:r>
      <w:r>
        <w:rPr>
          <w:rFonts w:cs="Arial Unicode MS" w:eastAsia="Arial Unicode MS"/>
          <w:rtl w:val="0"/>
        </w:rPr>
        <w:t xml:space="preserve">. </w:t>
      </w:r>
      <w:r>
        <w:rPr>
          <w:rFonts w:cs="Arial Unicode MS" w:eastAsia="Arial Unicode MS"/>
          <w:b w:val="1"/>
          <w:bCs w:val="1"/>
          <w:rtl w:val="0"/>
        </w:rPr>
        <w:t>1896</w:t>
      </w:r>
      <w:r>
        <w:rPr>
          <w:rFonts w:cs="Arial Unicode MS" w:eastAsia="Arial Unicode MS"/>
          <w:rtl w:val="0"/>
        </w:rPr>
        <w:t xml:space="preserve">. </w:t>
      </w:r>
      <w:r>
        <w:rPr>
          <w:rStyle w:val="Hyperlink.2"/>
        </w:rPr>
        <w:fldChar w:fldCharType="begin" w:fldLock="0"/>
      </w:r>
      <w:r>
        <w:rPr>
          <w:rStyle w:val="Hyperlink.2"/>
        </w:rPr>
        <w:instrText xml:space="preserve"> HYPERLINK "https://www.biodiversitylibrary.org/item/53362"</w:instrText>
      </w:r>
      <w:r>
        <w:rPr>
          <w:rStyle w:val="Hyperlink.2"/>
        </w:rPr>
        <w:fldChar w:fldCharType="separate" w:fldLock="0"/>
      </w:r>
      <w:r>
        <w:rPr>
          <w:rStyle w:val="Hyperlink.2"/>
          <w:rFonts w:cs="Arial Unicode MS" w:eastAsia="Arial Unicode MS"/>
          <w:rtl w:val="0"/>
          <w:lang w:val="en-US"/>
        </w:rPr>
        <w:t>Descriptions of new reptiles and batrachians obtained by mr. Alfred everett in celebes and jampea</w:t>
      </w:r>
      <w:r>
        <w:rPr/>
        <w:fldChar w:fldCharType="end" w:fldLock="0"/>
      </w:r>
      <w:r>
        <w:rPr>
          <w:rFonts w:cs="Arial Unicode MS" w:eastAsia="Arial Unicode MS"/>
          <w:rtl w:val="0"/>
        </w:rPr>
        <w:t xml:space="preserve">. </w:t>
      </w:r>
      <w:r>
        <w:rPr>
          <w:rFonts w:cs="Arial Unicode MS" w:eastAsia="Arial Unicode MS"/>
          <w:i w:val="1"/>
          <w:iCs w:val="1"/>
          <w:rtl w:val="0"/>
          <w:lang w:val="en-US"/>
        </w:rPr>
        <w:t>The Annals and magazine of natural history; zoology, botany, and geology, Series 6</w:t>
      </w:r>
      <w:r>
        <w:rPr>
          <w:rFonts w:cs="Arial Unicode MS" w:eastAsia="Arial Unicode MS"/>
          <w:rtl w:val="0"/>
        </w:rPr>
        <w:t xml:space="preserve"> </w:t>
      </w:r>
      <w:r>
        <w:rPr>
          <w:rFonts w:cs="Arial Unicode MS" w:eastAsia="Arial Unicode MS"/>
          <w:b w:val="1"/>
          <w:bCs w:val="1"/>
          <w:rtl w:val="0"/>
        </w:rPr>
        <w:t>18</w:t>
      </w:r>
      <w:r>
        <w:rPr>
          <w:rFonts w:cs="Arial Unicode MS" w:eastAsia="Arial Unicode MS"/>
          <w:rtl w:val="0"/>
        </w:rPr>
        <w:t>: 62</w:t>
      </w:r>
      <w:r>
        <w:rPr>
          <w:rFonts w:cs="Arial Unicode MS" w:eastAsia="Arial Unicode MS" w:hint="default"/>
          <w:rtl w:val="0"/>
        </w:rPr>
        <w:t>–</w:t>
      </w:r>
      <w:r>
        <w:rPr>
          <w:rFonts w:cs="Arial Unicode MS" w:eastAsia="Arial Unicode MS"/>
          <w:rtl w:val="0"/>
        </w:rPr>
        <w:t>64.</w:t>
      </w:r>
      <w:bookmarkEnd w:id="31"/>
    </w:p>
    <w:p>
      <w:pPr>
        <w:pStyle w:val="Body"/>
      </w:pPr>
      <w:bookmarkStart w:name="refBoulenger1897" w:id="32"/>
      <w:r>
        <w:rPr>
          <w:rFonts w:cs="Arial Unicode MS" w:eastAsia="Arial Unicode MS"/>
          <w:b w:val="1"/>
          <w:bCs w:val="1"/>
          <w:rtl w:val="0"/>
        </w:rPr>
        <w:t>Boulenger GA</w:t>
      </w:r>
      <w:r>
        <w:rPr>
          <w:rFonts w:cs="Arial Unicode MS" w:eastAsia="Arial Unicode MS"/>
          <w:rtl w:val="0"/>
        </w:rPr>
        <w:t xml:space="preserve">. </w:t>
      </w:r>
      <w:r>
        <w:rPr>
          <w:rFonts w:cs="Arial Unicode MS" w:eastAsia="Arial Unicode MS"/>
          <w:b w:val="1"/>
          <w:bCs w:val="1"/>
          <w:rtl w:val="0"/>
        </w:rPr>
        <w:t>1897</w:t>
      </w:r>
      <w:r>
        <w:rPr>
          <w:rFonts w:cs="Arial Unicode MS" w:eastAsia="Arial Unicode MS"/>
          <w:rtl w:val="0"/>
          <w:lang w:val="en-US"/>
        </w:rPr>
        <w:t xml:space="preserve">. Descriptions of new lizards and frogs from mount victoria, owen stanley range, new guinea, collected by mr. A. S. anthony. </w:t>
      </w:r>
      <w:r>
        <w:rPr>
          <w:rFonts w:cs="Arial Unicode MS" w:eastAsia="Arial Unicode MS"/>
          <w:i w:val="1"/>
          <w:iCs w:val="1"/>
          <w:rtl w:val="0"/>
          <w:lang w:val="en-US"/>
        </w:rPr>
        <w:t>Annals and Magazine of Natural History, Series 6</w:t>
      </w:r>
      <w:r>
        <w:rPr>
          <w:rFonts w:cs="Arial Unicode MS" w:eastAsia="Arial Unicode MS"/>
          <w:rtl w:val="0"/>
        </w:rPr>
        <w:t xml:space="preserve"> </w:t>
      </w:r>
      <w:r>
        <w:rPr>
          <w:rFonts w:cs="Arial Unicode MS" w:eastAsia="Arial Unicode MS"/>
          <w:b w:val="1"/>
          <w:bCs w:val="1"/>
          <w:rtl w:val="0"/>
        </w:rPr>
        <w:t>19</w:t>
      </w:r>
      <w:r>
        <w:rPr>
          <w:rFonts w:cs="Arial Unicode MS" w:eastAsia="Arial Unicode MS"/>
          <w:rtl w:val="0"/>
        </w:rPr>
        <w:t>: 6</w:t>
      </w:r>
      <w:r>
        <w:rPr>
          <w:rFonts w:cs="Arial Unicode MS" w:eastAsia="Arial Unicode MS" w:hint="default"/>
          <w:rtl w:val="0"/>
        </w:rPr>
        <w:t>–</w:t>
      </w:r>
      <w:r>
        <w:rPr>
          <w:rFonts w:cs="Arial Unicode MS" w:eastAsia="Arial Unicode MS"/>
          <w:rtl w:val="0"/>
        </w:rPr>
        <w:t>13.</w:t>
      </w:r>
      <w:bookmarkEnd w:id="32"/>
    </w:p>
    <w:p>
      <w:pPr>
        <w:pStyle w:val="Body"/>
      </w:pPr>
      <w:bookmarkStart w:name="refBoulenger1898" w:id="33"/>
      <w:r>
        <w:rPr>
          <w:rFonts w:cs="Arial Unicode MS" w:eastAsia="Arial Unicode MS"/>
          <w:b w:val="1"/>
          <w:bCs w:val="1"/>
          <w:rtl w:val="0"/>
        </w:rPr>
        <w:t>Boulenger GA</w:t>
      </w:r>
      <w:r>
        <w:rPr>
          <w:rFonts w:cs="Arial Unicode MS" w:eastAsia="Arial Unicode MS"/>
          <w:rtl w:val="0"/>
        </w:rPr>
        <w:t xml:space="preserve">. </w:t>
      </w:r>
      <w:r>
        <w:rPr>
          <w:rFonts w:cs="Arial Unicode MS" w:eastAsia="Arial Unicode MS"/>
          <w:b w:val="1"/>
          <w:bCs w:val="1"/>
          <w:rtl w:val="0"/>
        </w:rPr>
        <w:t>1898</w:t>
      </w:r>
      <w:r>
        <w:rPr>
          <w:rFonts w:cs="Arial Unicode MS" w:eastAsia="Arial Unicode MS"/>
          <w:rtl w:val="0"/>
          <w:lang w:val="en-US"/>
        </w:rPr>
        <w:t xml:space="preserve">. An account of the reptiles and batrachians collected by dr. L. Loria in british new guinea. </w:t>
      </w:r>
      <w:r>
        <w:rPr>
          <w:rFonts w:cs="Arial Unicode MS" w:eastAsia="Arial Unicode MS"/>
          <w:i w:val="1"/>
          <w:iCs w:val="1"/>
          <w:rtl w:val="0"/>
          <w:lang w:val="it-IT"/>
        </w:rPr>
        <w:t>Annali del Museo civico di storia naturale di Genova, Serie 2</w:t>
      </w:r>
      <w:r>
        <w:rPr>
          <w:rFonts w:cs="Arial Unicode MS" w:eastAsia="Arial Unicode MS"/>
          <w:rtl w:val="0"/>
        </w:rPr>
        <w:t xml:space="preserve"> </w:t>
      </w:r>
      <w:r>
        <w:rPr>
          <w:rFonts w:cs="Arial Unicode MS" w:eastAsia="Arial Unicode MS"/>
          <w:b w:val="1"/>
          <w:bCs w:val="1"/>
          <w:rtl w:val="0"/>
        </w:rPr>
        <w:t>18</w:t>
      </w:r>
      <w:r>
        <w:rPr>
          <w:rFonts w:cs="Arial Unicode MS" w:eastAsia="Arial Unicode MS"/>
          <w:rtl w:val="0"/>
        </w:rPr>
        <w:t>: 695</w:t>
      </w:r>
      <w:r>
        <w:rPr>
          <w:rFonts w:cs="Arial Unicode MS" w:eastAsia="Arial Unicode MS" w:hint="default"/>
          <w:rtl w:val="0"/>
        </w:rPr>
        <w:t>–</w:t>
      </w:r>
      <w:r>
        <w:rPr>
          <w:rFonts w:cs="Arial Unicode MS" w:eastAsia="Arial Unicode MS"/>
          <w:rtl w:val="0"/>
        </w:rPr>
        <w:t>710.</w:t>
      </w:r>
      <w:bookmarkEnd w:id="33"/>
    </w:p>
    <w:p>
      <w:pPr>
        <w:pStyle w:val="Body"/>
      </w:pPr>
      <w:bookmarkStart w:name="refBrown2015" w:id="34"/>
      <w:r>
        <w:rPr>
          <w:rFonts w:cs="Arial Unicode MS" w:eastAsia="Arial Unicode MS"/>
          <w:b w:val="1"/>
          <w:bCs w:val="1"/>
          <w:rtl w:val="0"/>
          <w:lang w:val="de-DE"/>
        </w:rPr>
        <w:t>Brown RM, Siler CD, Richards SJ, Diesmos AC &amp; Cannatella DC</w:t>
      </w:r>
      <w:r>
        <w:rPr>
          <w:rFonts w:cs="Arial Unicode MS" w:eastAsia="Arial Unicode MS"/>
          <w:rtl w:val="0"/>
        </w:rPr>
        <w:t xml:space="preserve">. </w:t>
      </w:r>
      <w:r>
        <w:rPr>
          <w:rFonts w:cs="Arial Unicode MS" w:eastAsia="Arial Unicode MS"/>
          <w:b w:val="1"/>
          <w:bCs w:val="1"/>
          <w:rtl w:val="0"/>
        </w:rPr>
        <w:t>2015</w:t>
      </w:r>
      <w:r>
        <w:rPr>
          <w:rFonts w:cs="Arial Unicode MS" w:eastAsia="Arial Unicode MS"/>
          <w:rtl w:val="0"/>
        </w:rPr>
        <w:t xml:space="preserve">. </w:t>
      </w:r>
      <w:r>
        <w:rPr>
          <w:rStyle w:val="Hyperlink.2"/>
        </w:rPr>
        <w:fldChar w:fldCharType="begin" w:fldLock="0"/>
      </w:r>
      <w:r>
        <w:rPr>
          <w:rStyle w:val="Hyperlink.2"/>
        </w:rPr>
        <w:instrText xml:space="preserve"> HYPERLINK "https://doi.org/10.1111/zoj.12232"</w:instrText>
      </w:r>
      <w:r>
        <w:rPr>
          <w:rStyle w:val="Hyperlink.2"/>
        </w:rPr>
        <w:fldChar w:fldCharType="separate" w:fldLock="0"/>
      </w:r>
      <w:r>
        <w:rPr>
          <w:rStyle w:val="Hyperlink.2"/>
          <w:rFonts w:cs="Arial Unicode MS" w:eastAsia="Arial Unicode MS"/>
          <w:rtl w:val="0"/>
          <w:lang w:val="en-US"/>
        </w:rPr>
        <w:t>Multilocus phylogeny and a new classification for southeast asian and melanesian forest frogs (family ceratobatrachidae)</w:t>
      </w:r>
      <w:r>
        <w:rPr/>
        <w:fldChar w:fldCharType="end" w:fldLock="0"/>
      </w:r>
      <w:r>
        <w:rPr>
          <w:rFonts w:cs="Arial Unicode MS" w:eastAsia="Arial Unicode MS"/>
          <w:rtl w:val="0"/>
        </w:rPr>
        <w:t xml:space="preserve">. </w:t>
      </w:r>
      <w:r>
        <w:rPr>
          <w:rFonts w:cs="Arial Unicode MS" w:eastAsia="Arial Unicode MS"/>
          <w:i w:val="1"/>
          <w:iCs w:val="1"/>
          <w:rtl w:val="0"/>
          <w:lang w:val="en-US"/>
        </w:rPr>
        <w:t>Zoological Journal of the Linnean Society</w:t>
      </w:r>
      <w:r>
        <w:rPr>
          <w:rFonts w:cs="Arial Unicode MS" w:eastAsia="Arial Unicode MS"/>
          <w:rtl w:val="0"/>
        </w:rPr>
        <w:t xml:space="preserve"> </w:t>
      </w:r>
      <w:r>
        <w:rPr>
          <w:rFonts w:cs="Arial Unicode MS" w:eastAsia="Arial Unicode MS"/>
          <w:b w:val="1"/>
          <w:bCs w:val="1"/>
          <w:rtl w:val="0"/>
          <w:lang w:val="ru-RU"/>
        </w:rPr>
        <w:t>174</w:t>
      </w:r>
      <w:r>
        <w:rPr>
          <w:rFonts w:cs="Arial Unicode MS" w:eastAsia="Arial Unicode MS"/>
          <w:rtl w:val="0"/>
        </w:rPr>
        <w:t>: 130</w:t>
      </w:r>
      <w:r>
        <w:rPr>
          <w:rFonts w:cs="Arial Unicode MS" w:eastAsia="Arial Unicode MS" w:hint="default"/>
          <w:rtl w:val="0"/>
        </w:rPr>
        <w:t>–</w:t>
      </w:r>
      <w:r>
        <w:rPr>
          <w:rFonts w:cs="Arial Unicode MS" w:eastAsia="Arial Unicode MS"/>
          <w:rtl w:val="0"/>
        </w:rPr>
        <w:t>168.</w:t>
      </w:r>
      <w:bookmarkEnd w:id="34"/>
    </w:p>
    <w:p>
      <w:pPr>
        <w:pStyle w:val="Body"/>
      </w:pPr>
      <w:bookmarkStart w:name="refBrown1967" w:id="35"/>
      <w:r>
        <w:rPr>
          <w:rFonts w:cs="Arial Unicode MS" w:eastAsia="Arial Unicode MS"/>
          <w:b w:val="1"/>
          <w:bCs w:val="1"/>
          <w:rtl w:val="0"/>
          <w:lang w:val="en-US"/>
        </w:rPr>
        <w:t>Brown Walter C. (Walter Creighton) &amp; Alcala Angel C.</w:t>
      </w:r>
      <w:r>
        <w:rPr>
          <w:rFonts w:cs="Arial Unicode MS" w:eastAsia="Arial Unicode MS"/>
          <w:rtl w:val="0"/>
        </w:rPr>
        <w:t xml:space="preserve"> </w:t>
      </w:r>
      <w:r>
        <w:rPr>
          <w:rFonts w:cs="Arial Unicode MS" w:eastAsia="Arial Unicode MS"/>
          <w:b w:val="1"/>
          <w:bCs w:val="1"/>
          <w:rtl w:val="0"/>
        </w:rPr>
        <w:t>1967</w:t>
      </w:r>
      <w:r>
        <w:rPr>
          <w:rFonts w:cs="Arial Unicode MS" w:eastAsia="Arial Unicode MS"/>
          <w:rtl w:val="0"/>
        </w:rPr>
        <w:t xml:space="preserve">. </w:t>
      </w:r>
      <w:r>
        <w:rPr>
          <w:rStyle w:val="Hyperlink.2"/>
        </w:rPr>
        <w:fldChar w:fldCharType="begin" w:fldLock="0"/>
      </w:r>
      <w:r>
        <w:rPr>
          <w:rStyle w:val="Hyperlink.2"/>
        </w:rPr>
        <w:instrText xml:space="preserve"> HYPERLINK "https://www.biodiversitylibrary.org/part/45107"</w:instrText>
      </w:r>
      <w:r>
        <w:rPr>
          <w:rStyle w:val="Hyperlink.2"/>
        </w:rPr>
        <w:fldChar w:fldCharType="separate" w:fldLock="0"/>
      </w:r>
      <w:r>
        <w:rPr>
          <w:rStyle w:val="Hyperlink.2"/>
          <w:rFonts w:cs="Arial Unicode MS" w:eastAsia="Arial Unicode MS"/>
          <w:rtl w:val="0"/>
          <w:lang w:val="en-US"/>
        </w:rPr>
        <w:t>A new frog of the genus oreophryne and a list of amphibians from camiguin island, philippines</w:t>
      </w:r>
      <w:r>
        <w:rPr/>
        <w:fldChar w:fldCharType="end" w:fldLock="0"/>
      </w:r>
      <w:r>
        <w:rPr>
          <w:rFonts w:cs="Arial Unicode MS" w:eastAsia="Arial Unicode MS"/>
          <w:rtl w:val="0"/>
        </w:rPr>
        <w:t xml:space="preserve">. </w:t>
      </w:r>
      <w:r>
        <w:rPr>
          <w:rFonts w:cs="Arial Unicode MS" w:eastAsia="Arial Unicode MS"/>
          <w:i w:val="1"/>
          <w:iCs w:val="1"/>
          <w:rtl w:val="0"/>
          <w:lang w:val="en-US"/>
        </w:rPr>
        <w:t>Proceedings of the Biological Society of Washington</w:t>
      </w:r>
      <w:r>
        <w:rPr>
          <w:rFonts w:cs="Arial Unicode MS" w:eastAsia="Arial Unicode MS"/>
          <w:rtl w:val="0"/>
        </w:rPr>
        <w:t xml:space="preserve"> </w:t>
      </w:r>
      <w:r>
        <w:rPr>
          <w:rFonts w:cs="Arial Unicode MS" w:eastAsia="Arial Unicode MS"/>
          <w:b w:val="1"/>
          <w:bCs w:val="1"/>
          <w:rtl w:val="0"/>
        </w:rPr>
        <w:t>80</w:t>
      </w:r>
      <w:r>
        <w:rPr>
          <w:rFonts w:cs="Arial Unicode MS" w:eastAsia="Arial Unicode MS"/>
          <w:rtl w:val="0"/>
        </w:rPr>
        <w:t>: 65</w:t>
      </w:r>
      <w:r>
        <w:rPr>
          <w:rFonts w:cs="Arial Unicode MS" w:eastAsia="Arial Unicode MS" w:hint="default"/>
          <w:rtl w:val="0"/>
        </w:rPr>
        <w:t>–</w:t>
      </w:r>
      <w:r>
        <w:rPr>
          <w:rFonts w:cs="Arial Unicode MS" w:eastAsia="Arial Unicode MS"/>
          <w:rtl w:val="0"/>
        </w:rPr>
        <w:t>68.</w:t>
      </w:r>
      <w:bookmarkEnd w:id="35"/>
    </w:p>
    <w:p>
      <w:pPr>
        <w:pStyle w:val="Body"/>
      </w:pPr>
      <w:bookmarkStart w:name="refdeQueiroz2020" w:id="36"/>
      <w:r>
        <w:rPr>
          <w:rFonts w:cs="Arial Unicode MS" w:eastAsia="Arial Unicode MS"/>
          <w:b w:val="1"/>
          <w:bCs w:val="1"/>
          <w:rtl w:val="0"/>
          <w:lang w:val="pt-PT"/>
        </w:rPr>
        <w:t>De Queiroz K &amp; Cantino P</w:t>
      </w:r>
      <w:r>
        <w:rPr>
          <w:rFonts w:cs="Arial Unicode MS" w:eastAsia="Arial Unicode MS"/>
          <w:rtl w:val="0"/>
        </w:rPr>
        <w:t xml:space="preserve">. </w:t>
      </w:r>
      <w:r>
        <w:rPr>
          <w:rFonts w:cs="Arial Unicode MS" w:eastAsia="Arial Unicode MS"/>
          <w:b w:val="1"/>
          <w:bCs w:val="1"/>
          <w:rtl w:val="0"/>
        </w:rPr>
        <w:t>2020</w:t>
      </w:r>
      <w:r>
        <w:rPr>
          <w:rFonts w:cs="Arial Unicode MS" w:eastAsia="Arial Unicode MS"/>
          <w:rtl w:val="0"/>
        </w:rPr>
        <w:t xml:space="preserve">. </w:t>
      </w:r>
      <w:r>
        <w:rPr>
          <w:rStyle w:val="Hyperlink.1"/>
        </w:rPr>
        <w:fldChar w:fldCharType="begin" w:fldLock="0"/>
      </w:r>
      <w:r>
        <w:rPr>
          <w:rStyle w:val="Hyperlink.1"/>
        </w:rPr>
        <w:instrText xml:space="preserve"> HYPERLINK "https://doi.org/10.1201/9780429446320"</w:instrText>
      </w:r>
      <w:r>
        <w:rPr>
          <w:rStyle w:val="Hyperlink.1"/>
        </w:rPr>
        <w:fldChar w:fldCharType="separate" w:fldLock="0"/>
      </w:r>
      <w:r>
        <w:rPr>
          <w:rStyle w:val="Hyperlink.1"/>
          <w:rFonts w:cs="Arial Unicode MS" w:eastAsia="Arial Unicode MS"/>
          <w:rtl w:val="0"/>
          <w:lang w:val="en-US"/>
        </w:rPr>
        <w:t>International code of phylogenetic nomenclature (PhyloCode)</w:t>
      </w:r>
      <w:r>
        <w:rPr/>
        <w:fldChar w:fldCharType="end" w:fldLock="0"/>
      </w:r>
      <w:r>
        <w:rPr>
          <w:rFonts w:cs="Arial Unicode MS" w:eastAsia="Arial Unicode MS"/>
          <w:rtl w:val="0"/>
          <w:lang w:val="pt-PT"/>
        </w:rPr>
        <w:t>. CRC Press.</w:t>
      </w:r>
      <w:bookmarkEnd w:id="36"/>
    </w:p>
    <w:p>
      <w:pPr>
        <w:pStyle w:val="Body"/>
      </w:pPr>
      <w:bookmarkStart w:name="refdeQueiroz1990" w:id="37"/>
      <w:r>
        <w:rPr>
          <w:rFonts w:cs="Arial Unicode MS" w:eastAsia="Arial Unicode MS"/>
          <w:b w:val="1"/>
          <w:bCs w:val="1"/>
          <w:rtl w:val="0"/>
          <w:lang w:val="pt-PT"/>
        </w:rPr>
        <w:t>De Queiroz K &amp; Gauthier J</w:t>
      </w:r>
      <w:r>
        <w:rPr>
          <w:rFonts w:cs="Arial Unicode MS" w:eastAsia="Arial Unicode MS"/>
          <w:rtl w:val="0"/>
        </w:rPr>
        <w:t xml:space="preserve">. </w:t>
      </w:r>
      <w:r>
        <w:rPr>
          <w:rFonts w:cs="Arial Unicode MS" w:eastAsia="Arial Unicode MS"/>
          <w:b w:val="1"/>
          <w:bCs w:val="1"/>
          <w:rtl w:val="0"/>
        </w:rPr>
        <w:t>1990</w:t>
      </w:r>
      <w:r>
        <w:rPr>
          <w:rFonts w:cs="Arial Unicode MS" w:eastAsia="Arial Unicode MS"/>
          <w:rtl w:val="0"/>
        </w:rPr>
        <w:t xml:space="preserve">. </w:t>
      </w:r>
      <w:r>
        <w:rPr>
          <w:rStyle w:val="Hyperlink.2"/>
        </w:rPr>
        <w:fldChar w:fldCharType="begin" w:fldLock="0"/>
      </w:r>
      <w:r>
        <w:rPr>
          <w:rStyle w:val="Hyperlink.2"/>
        </w:rPr>
        <w:instrText xml:space="preserve"> HYPERLINK "https://doi.org/10.2307/2992353"</w:instrText>
      </w:r>
      <w:r>
        <w:rPr>
          <w:rStyle w:val="Hyperlink.2"/>
        </w:rPr>
        <w:fldChar w:fldCharType="separate" w:fldLock="0"/>
      </w:r>
      <w:r>
        <w:rPr>
          <w:rStyle w:val="Hyperlink.2"/>
          <w:rFonts w:cs="Arial Unicode MS" w:eastAsia="Arial Unicode MS"/>
          <w:rtl w:val="0"/>
          <w:lang w:val="en-US"/>
        </w:rPr>
        <w:t>Phylogeny as a central principle in taxonomy - phylogenetic definitions of taxon names</w:t>
      </w:r>
      <w:r>
        <w:rPr/>
        <w:fldChar w:fldCharType="end" w:fldLock="0"/>
      </w:r>
      <w:r>
        <w:rPr>
          <w:rFonts w:cs="Arial Unicode MS" w:eastAsia="Arial Unicode MS"/>
          <w:rtl w:val="0"/>
        </w:rPr>
        <w:t xml:space="preserve">. </w:t>
      </w:r>
      <w:r>
        <w:rPr>
          <w:rFonts w:cs="Arial Unicode MS" w:eastAsia="Arial Unicode MS"/>
          <w:i w:val="1"/>
          <w:iCs w:val="1"/>
          <w:rtl w:val="0"/>
          <w:lang w:val="en-US"/>
        </w:rPr>
        <w:t>Systematic Zoology</w:t>
      </w:r>
      <w:r>
        <w:rPr>
          <w:rFonts w:cs="Arial Unicode MS" w:eastAsia="Arial Unicode MS"/>
          <w:rtl w:val="0"/>
        </w:rPr>
        <w:t xml:space="preserve"> </w:t>
      </w:r>
      <w:r>
        <w:rPr>
          <w:rFonts w:cs="Arial Unicode MS" w:eastAsia="Arial Unicode MS"/>
          <w:b w:val="1"/>
          <w:bCs w:val="1"/>
          <w:rtl w:val="0"/>
        </w:rPr>
        <w:t>39</w:t>
      </w:r>
      <w:r>
        <w:rPr>
          <w:rFonts w:cs="Arial Unicode MS" w:eastAsia="Arial Unicode MS"/>
          <w:rtl w:val="0"/>
        </w:rPr>
        <w:t>: 307</w:t>
      </w:r>
      <w:r>
        <w:rPr>
          <w:rFonts w:cs="Arial Unicode MS" w:eastAsia="Arial Unicode MS" w:hint="default"/>
          <w:rtl w:val="0"/>
        </w:rPr>
        <w:t>–</w:t>
      </w:r>
      <w:r>
        <w:rPr>
          <w:rFonts w:cs="Arial Unicode MS" w:eastAsia="Arial Unicode MS"/>
          <w:rtl w:val="0"/>
        </w:rPr>
        <w:t>322.</w:t>
      </w:r>
      <w:bookmarkEnd w:id="37"/>
    </w:p>
    <w:p>
      <w:pPr>
        <w:pStyle w:val="Body"/>
      </w:pPr>
      <w:bookmarkStart w:name="refdeQueiroz1992" w:id="38"/>
      <w:r>
        <w:rPr>
          <w:rFonts w:cs="Arial Unicode MS" w:eastAsia="Arial Unicode MS"/>
          <w:b w:val="1"/>
          <w:bCs w:val="1"/>
          <w:rtl w:val="0"/>
          <w:lang w:val="pt-PT"/>
        </w:rPr>
        <w:t>De Queiroz K &amp; Gauthier J</w:t>
      </w:r>
      <w:r>
        <w:rPr>
          <w:rFonts w:cs="Arial Unicode MS" w:eastAsia="Arial Unicode MS"/>
          <w:rtl w:val="0"/>
        </w:rPr>
        <w:t xml:space="preserve">. </w:t>
      </w:r>
      <w:r>
        <w:rPr>
          <w:rFonts w:cs="Arial Unicode MS" w:eastAsia="Arial Unicode MS"/>
          <w:b w:val="1"/>
          <w:bCs w:val="1"/>
          <w:rtl w:val="0"/>
        </w:rPr>
        <w:t>1992</w:t>
      </w:r>
      <w:r>
        <w:rPr>
          <w:rFonts w:cs="Arial Unicode MS" w:eastAsia="Arial Unicode MS"/>
          <w:rtl w:val="0"/>
        </w:rPr>
        <w:t xml:space="preserve">. </w:t>
      </w:r>
      <w:r>
        <w:rPr>
          <w:rStyle w:val="Hyperlink.2"/>
        </w:rPr>
        <w:fldChar w:fldCharType="begin" w:fldLock="0"/>
      </w:r>
      <w:r>
        <w:rPr>
          <w:rStyle w:val="Hyperlink.2"/>
        </w:rPr>
        <w:instrText xml:space="preserve"> HYPERLINK "https://doi.org/10.1146/annurev.ecolsys.23.1.449"</w:instrText>
      </w:r>
      <w:r>
        <w:rPr>
          <w:rStyle w:val="Hyperlink.2"/>
        </w:rPr>
        <w:fldChar w:fldCharType="separate" w:fldLock="0"/>
      </w:r>
      <w:r>
        <w:rPr>
          <w:rStyle w:val="Hyperlink.2"/>
          <w:rFonts w:cs="Arial Unicode MS" w:eastAsia="Arial Unicode MS"/>
          <w:rtl w:val="0"/>
          <w:lang w:val="en-US"/>
        </w:rPr>
        <w:t>Phylogenetic taxonomy</w:t>
      </w:r>
      <w:r>
        <w:rPr/>
        <w:fldChar w:fldCharType="end" w:fldLock="0"/>
      </w:r>
      <w:r>
        <w:rPr>
          <w:rFonts w:cs="Arial Unicode MS" w:eastAsia="Arial Unicode MS"/>
          <w:rtl w:val="0"/>
        </w:rPr>
        <w:t xml:space="preserve">. </w:t>
      </w:r>
      <w:r>
        <w:rPr>
          <w:rFonts w:cs="Arial Unicode MS" w:eastAsia="Arial Unicode MS"/>
          <w:i w:val="1"/>
          <w:iCs w:val="1"/>
          <w:rtl w:val="0"/>
          <w:lang w:val="en-US"/>
        </w:rPr>
        <w:t>Annual Review of Ecology, Evolution, and Systematics</w:t>
      </w:r>
      <w:r>
        <w:rPr>
          <w:rFonts w:cs="Arial Unicode MS" w:eastAsia="Arial Unicode MS"/>
          <w:rtl w:val="0"/>
        </w:rPr>
        <w:t xml:space="preserve"> </w:t>
      </w:r>
      <w:r>
        <w:rPr>
          <w:rFonts w:cs="Arial Unicode MS" w:eastAsia="Arial Unicode MS"/>
          <w:b w:val="1"/>
          <w:bCs w:val="1"/>
          <w:rtl w:val="0"/>
        </w:rPr>
        <w:t>23</w:t>
      </w:r>
      <w:r>
        <w:rPr>
          <w:rFonts w:cs="Arial Unicode MS" w:eastAsia="Arial Unicode MS"/>
          <w:rtl w:val="0"/>
        </w:rPr>
        <w:t>: 449</w:t>
      </w:r>
      <w:r>
        <w:rPr>
          <w:rFonts w:cs="Arial Unicode MS" w:eastAsia="Arial Unicode MS" w:hint="default"/>
          <w:rtl w:val="0"/>
        </w:rPr>
        <w:t>–</w:t>
      </w:r>
      <w:r>
        <w:rPr>
          <w:rFonts w:cs="Arial Unicode MS" w:eastAsia="Arial Unicode MS"/>
          <w:rtl w:val="0"/>
        </w:rPr>
        <w:t>480.</w:t>
      </w:r>
      <w:bookmarkEnd w:id="38"/>
    </w:p>
    <w:p>
      <w:pPr>
        <w:pStyle w:val="Body"/>
      </w:pPr>
      <w:bookmarkStart w:name="refdeQueiroz1994" w:id="39"/>
      <w:r>
        <w:rPr>
          <w:rFonts w:cs="Arial Unicode MS" w:eastAsia="Arial Unicode MS"/>
          <w:b w:val="1"/>
          <w:bCs w:val="1"/>
          <w:rtl w:val="0"/>
          <w:lang w:val="pt-PT"/>
        </w:rPr>
        <w:t>De Queiroz K &amp; Gauthier J</w:t>
      </w:r>
      <w:r>
        <w:rPr>
          <w:rFonts w:cs="Arial Unicode MS" w:eastAsia="Arial Unicode MS"/>
          <w:rtl w:val="0"/>
        </w:rPr>
        <w:t xml:space="preserve">. </w:t>
      </w:r>
      <w:r>
        <w:rPr>
          <w:rFonts w:cs="Arial Unicode MS" w:eastAsia="Arial Unicode MS"/>
          <w:b w:val="1"/>
          <w:bCs w:val="1"/>
          <w:rtl w:val="0"/>
        </w:rPr>
        <w:t>1994</w:t>
      </w:r>
      <w:r>
        <w:rPr>
          <w:rFonts w:cs="Arial Unicode MS" w:eastAsia="Arial Unicode MS"/>
          <w:rtl w:val="0"/>
        </w:rPr>
        <w:t xml:space="preserve">. </w:t>
      </w:r>
      <w:r>
        <w:rPr>
          <w:rStyle w:val="Hyperlink.2"/>
        </w:rPr>
        <w:fldChar w:fldCharType="begin" w:fldLock="0"/>
      </w:r>
      <w:r>
        <w:rPr>
          <w:rStyle w:val="Hyperlink.2"/>
        </w:rPr>
        <w:instrText xml:space="preserve"> HYPERLINK "https://doi.org/10.1016/0169-5347(94)90231-3"</w:instrText>
      </w:r>
      <w:r>
        <w:rPr>
          <w:rStyle w:val="Hyperlink.2"/>
        </w:rPr>
        <w:fldChar w:fldCharType="separate" w:fldLock="0"/>
      </w:r>
      <w:r>
        <w:rPr>
          <w:rStyle w:val="Hyperlink.2"/>
          <w:rFonts w:cs="Arial Unicode MS" w:eastAsia="Arial Unicode MS"/>
          <w:rtl w:val="0"/>
          <w:lang w:val="en-US"/>
        </w:rPr>
        <w:t>Toward a phylogenetic system of biological nomenclature</w:t>
      </w:r>
      <w:r>
        <w:rPr/>
        <w:fldChar w:fldCharType="end" w:fldLock="0"/>
      </w:r>
      <w:r>
        <w:rPr>
          <w:rFonts w:cs="Arial Unicode MS" w:eastAsia="Arial Unicode MS"/>
          <w:rtl w:val="0"/>
        </w:rPr>
        <w:t xml:space="preserve">. </w:t>
      </w:r>
      <w:r>
        <w:rPr>
          <w:rFonts w:cs="Arial Unicode MS" w:eastAsia="Arial Unicode MS"/>
          <w:i w:val="1"/>
          <w:iCs w:val="1"/>
          <w:rtl w:val="0"/>
          <w:lang w:val="en-US"/>
        </w:rPr>
        <w:t>Trends in Ecology &amp; Evolution</w:t>
      </w:r>
      <w:r>
        <w:rPr>
          <w:rFonts w:cs="Arial Unicode MS" w:eastAsia="Arial Unicode MS"/>
          <w:rtl w:val="0"/>
        </w:rPr>
        <w:t xml:space="preserve"> </w:t>
      </w:r>
      <w:r>
        <w:rPr>
          <w:rFonts w:cs="Arial Unicode MS" w:eastAsia="Arial Unicode MS"/>
          <w:b w:val="1"/>
          <w:bCs w:val="1"/>
          <w:rtl w:val="0"/>
        </w:rPr>
        <w:t>9</w:t>
      </w:r>
      <w:r>
        <w:rPr>
          <w:rFonts w:cs="Arial Unicode MS" w:eastAsia="Arial Unicode MS"/>
          <w:rtl w:val="0"/>
        </w:rPr>
        <w:t>: 27</w:t>
      </w:r>
      <w:r>
        <w:rPr>
          <w:rFonts w:cs="Arial Unicode MS" w:eastAsia="Arial Unicode MS" w:hint="default"/>
          <w:rtl w:val="0"/>
        </w:rPr>
        <w:t>–</w:t>
      </w:r>
      <w:r>
        <w:rPr>
          <w:rFonts w:cs="Arial Unicode MS" w:eastAsia="Arial Unicode MS"/>
          <w:rtl w:val="0"/>
        </w:rPr>
        <w:t>31.</w:t>
      </w:r>
      <w:bookmarkEnd w:id="39"/>
    </w:p>
    <w:p>
      <w:pPr>
        <w:pStyle w:val="Body"/>
      </w:pPr>
      <w:bookmarkStart w:name="refdeSa2012" w:id="40"/>
      <w:r>
        <w:rPr>
          <w:rFonts w:cs="Arial Unicode MS" w:eastAsia="Arial Unicode MS"/>
          <w:b w:val="1"/>
          <w:bCs w:val="1"/>
          <w:rtl w:val="0"/>
          <w:lang w:val="de-DE"/>
        </w:rPr>
        <w:t>De Sa RO, Streicher JW, Sekonyela R, Forlani MC, Loader SP, Greenbaum E, Richards S &amp; Haddad CFB</w:t>
      </w:r>
      <w:r>
        <w:rPr>
          <w:rFonts w:cs="Arial Unicode MS" w:eastAsia="Arial Unicode MS"/>
          <w:rtl w:val="0"/>
        </w:rPr>
        <w:t xml:space="preserve">. </w:t>
      </w:r>
      <w:r>
        <w:rPr>
          <w:rFonts w:cs="Arial Unicode MS" w:eastAsia="Arial Unicode MS"/>
          <w:b w:val="1"/>
          <w:bCs w:val="1"/>
          <w:rtl w:val="0"/>
        </w:rPr>
        <w:t>2012</w:t>
      </w:r>
      <w:r>
        <w:rPr>
          <w:rFonts w:cs="Arial Unicode MS" w:eastAsia="Arial Unicode MS"/>
          <w:rtl w:val="0"/>
        </w:rPr>
        <w:t xml:space="preserve">. </w:t>
      </w:r>
      <w:r>
        <w:rPr>
          <w:rStyle w:val="Hyperlink.2"/>
        </w:rPr>
        <w:fldChar w:fldCharType="begin" w:fldLock="0"/>
      </w:r>
      <w:r>
        <w:rPr>
          <w:rStyle w:val="Hyperlink.2"/>
        </w:rPr>
        <w:instrText xml:space="preserve"> HYPERLINK "https://doi.org/%257B10.1186/1471-2148-12-241%257D"</w:instrText>
      </w:r>
      <w:r>
        <w:rPr>
          <w:rStyle w:val="Hyperlink.2"/>
        </w:rPr>
        <w:fldChar w:fldCharType="separate" w:fldLock="0"/>
      </w:r>
      <w:r>
        <w:rPr>
          <w:rStyle w:val="Hyperlink.2"/>
          <w:rFonts w:cs="Arial Unicode MS" w:eastAsia="Arial Unicode MS"/>
          <w:rtl w:val="0"/>
          <w:lang w:val="en-US"/>
        </w:rPr>
        <w:t>Molecular phylogeny of microhylid frogs (Anura: Microhylidae) with emphasis on relationships among New World genera</w:t>
      </w:r>
      <w:r>
        <w:rPr/>
        <w:fldChar w:fldCharType="end" w:fldLock="0"/>
      </w:r>
      <w:r>
        <w:rPr>
          <w:rFonts w:cs="Arial Unicode MS" w:eastAsia="Arial Unicode MS"/>
          <w:rtl w:val="0"/>
        </w:rPr>
        <w:t xml:space="preserve">. </w:t>
      </w:r>
      <w:r>
        <w:rPr>
          <w:rFonts w:cs="Arial Unicode MS" w:eastAsia="Arial Unicode MS"/>
          <w:i w:val="1"/>
          <w:iCs w:val="1"/>
          <w:rtl w:val="0"/>
          <w:lang w:val="en-US"/>
        </w:rPr>
        <w:t>BMC Evolutionary Biology</w:t>
      </w:r>
      <w:r>
        <w:rPr>
          <w:rFonts w:cs="Arial Unicode MS" w:eastAsia="Arial Unicode MS"/>
          <w:rtl w:val="0"/>
        </w:rPr>
        <w:t xml:space="preserve"> </w:t>
      </w:r>
      <w:r>
        <w:rPr>
          <w:rFonts w:cs="Arial Unicode MS" w:eastAsia="Arial Unicode MS"/>
          <w:b w:val="1"/>
          <w:bCs w:val="1"/>
          <w:rtl w:val="0"/>
        </w:rPr>
        <w:t>12</w:t>
      </w:r>
      <w:r>
        <w:rPr>
          <w:rFonts w:cs="Arial Unicode MS" w:eastAsia="Arial Unicode MS"/>
          <w:rtl w:val="0"/>
        </w:rPr>
        <w:t>.</w:t>
      </w:r>
      <w:bookmarkEnd w:id="40"/>
    </w:p>
    <w:p>
      <w:pPr>
        <w:pStyle w:val="Body"/>
      </w:pPr>
      <w:bookmarkStart w:name="refDunnington2023" w:id="41"/>
      <w:r>
        <w:rPr>
          <w:rFonts w:cs="Arial Unicode MS" w:eastAsia="Arial Unicode MS"/>
          <w:b w:val="1"/>
          <w:bCs w:val="1"/>
          <w:rtl w:val="0"/>
          <w:lang w:val="en-US"/>
        </w:rPr>
        <w:t>Dunnington D</w:t>
      </w:r>
      <w:r>
        <w:rPr>
          <w:rFonts w:cs="Arial Unicode MS" w:eastAsia="Arial Unicode MS"/>
          <w:rtl w:val="0"/>
        </w:rPr>
        <w:t xml:space="preserve">. </w:t>
      </w:r>
      <w:r>
        <w:rPr>
          <w:rFonts w:cs="Arial Unicode MS" w:eastAsia="Arial Unicode MS"/>
          <w:b w:val="1"/>
          <w:bCs w:val="1"/>
          <w:rtl w:val="0"/>
        </w:rPr>
        <w:t>2023</w:t>
      </w:r>
      <w:r>
        <w:rPr>
          <w:rFonts w:cs="Arial Unicode MS" w:eastAsia="Arial Unicode MS"/>
          <w:rtl w:val="0"/>
        </w:rPr>
        <w:t xml:space="preserve">. </w:t>
      </w:r>
      <w:r>
        <w:rPr>
          <w:rStyle w:val="Hyperlink.1"/>
        </w:rPr>
        <w:fldChar w:fldCharType="begin" w:fldLock="0"/>
      </w:r>
      <w:r>
        <w:rPr>
          <w:rStyle w:val="Hyperlink.1"/>
        </w:rPr>
        <w:instrText xml:space="preserve"> HYPERLINK "https://CRAN.R-project.org/package=ggspatial"</w:instrText>
      </w:r>
      <w:r>
        <w:rPr>
          <w:rStyle w:val="Hyperlink.1"/>
        </w:rPr>
        <w:fldChar w:fldCharType="separate" w:fldLock="0"/>
      </w:r>
      <w:r>
        <w:rPr>
          <w:rStyle w:val="Hyperlink.1"/>
          <w:rFonts w:cs="Arial Unicode MS" w:eastAsia="Arial Unicode MS"/>
          <w:rtl w:val="0"/>
          <w:lang w:val="en-US"/>
        </w:rPr>
        <w:t>Ggspatial: Spatial data framework for ggplot2</w:t>
      </w:r>
      <w:r>
        <w:rPr/>
        <w:fldChar w:fldCharType="end" w:fldLock="0"/>
      </w:r>
      <w:r>
        <w:rPr>
          <w:rFonts w:cs="Arial Unicode MS" w:eastAsia="Arial Unicode MS"/>
          <w:rtl w:val="0"/>
        </w:rPr>
        <w:t>.</w:t>
      </w:r>
      <w:bookmarkEnd w:id="41"/>
    </w:p>
    <w:p>
      <w:pPr>
        <w:pStyle w:val="Body"/>
      </w:pPr>
      <w:bookmarkStart w:name="refEdgar2004" w:id="42"/>
      <w:r>
        <w:rPr>
          <w:rFonts w:cs="Arial Unicode MS" w:eastAsia="Arial Unicode MS"/>
          <w:b w:val="1"/>
          <w:bCs w:val="1"/>
          <w:rtl w:val="0"/>
        </w:rPr>
        <w:t>Edgar RC</w:t>
      </w:r>
      <w:r>
        <w:rPr>
          <w:rFonts w:cs="Arial Unicode MS" w:eastAsia="Arial Unicode MS"/>
          <w:rtl w:val="0"/>
        </w:rPr>
        <w:t xml:space="preserve">. </w:t>
      </w:r>
      <w:r>
        <w:rPr>
          <w:rFonts w:cs="Arial Unicode MS" w:eastAsia="Arial Unicode MS"/>
          <w:b w:val="1"/>
          <w:bCs w:val="1"/>
          <w:rtl w:val="0"/>
        </w:rPr>
        <w:t>2004</w:t>
      </w:r>
      <w:r>
        <w:rPr>
          <w:rFonts w:cs="Arial Unicode MS" w:eastAsia="Arial Unicode MS"/>
          <w:rtl w:val="0"/>
        </w:rPr>
        <w:t xml:space="preserve">. </w:t>
      </w:r>
      <w:r>
        <w:rPr>
          <w:rStyle w:val="Hyperlink.2"/>
        </w:rPr>
        <w:fldChar w:fldCharType="begin" w:fldLock="0"/>
      </w:r>
      <w:r>
        <w:rPr>
          <w:rStyle w:val="Hyperlink.2"/>
        </w:rPr>
        <w:instrText xml:space="preserve"> HYPERLINK "https://doi.org/10.1186/1471-2105-5-113"</w:instrText>
      </w:r>
      <w:r>
        <w:rPr>
          <w:rStyle w:val="Hyperlink.2"/>
        </w:rPr>
        <w:fldChar w:fldCharType="separate" w:fldLock="0"/>
      </w:r>
      <w:r>
        <w:rPr>
          <w:rStyle w:val="Hyperlink.2"/>
          <w:rFonts w:cs="Arial Unicode MS" w:eastAsia="Arial Unicode MS"/>
          <w:rtl w:val="0"/>
          <w:lang w:val="en-US"/>
        </w:rPr>
        <w:t>Muscle: A multiple sequence alignment method with reduced time and space complexity</w:t>
      </w:r>
      <w:r>
        <w:rPr/>
        <w:fldChar w:fldCharType="end" w:fldLock="0"/>
      </w:r>
      <w:r>
        <w:rPr>
          <w:rFonts w:cs="Arial Unicode MS" w:eastAsia="Arial Unicode MS"/>
          <w:rtl w:val="0"/>
        </w:rPr>
        <w:t xml:space="preserve">. </w:t>
      </w:r>
      <w:r>
        <w:rPr>
          <w:rFonts w:cs="Arial Unicode MS" w:eastAsia="Arial Unicode MS"/>
          <w:i w:val="1"/>
          <w:iCs w:val="1"/>
          <w:rtl w:val="0"/>
        </w:rPr>
        <w:t>BMC Bioinformatics</w:t>
      </w:r>
      <w:r>
        <w:rPr>
          <w:rFonts w:cs="Arial Unicode MS" w:eastAsia="Arial Unicode MS"/>
          <w:rtl w:val="0"/>
        </w:rPr>
        <w:t xml:space="preserve"> </w:t>
      </w:r>
      <w:r>
        <w:rPr>
          <w:rFonts w:cs="Arial Unicode MS" w:eastAsia="Arial Unicode MS"/>
          <w:b w:val="1"/>
          <w:bCs w:val="1"/>
          <w:rtl w:val="0"/>
        </w:rPr>
        <w:t>5</w:t>
      </w:r>
      <w:r>
        <w:rPr>
          <w:rFonts w:cs="Arial Unicode MS" w:eastAsia="Arial Unicode MS"/>
          <w:rtl w:val="0"/>
        </w:rPr>
        <w:t>: 113.</w:t>
      </w:r>
      <w:bookmarkEnd w:id="42"/>
    </w:p>
    <w:p>
      <w:pPr>
        <w:pStyle w:val="Body"/>
      </w:pPr>
      <w:bookmarkStart w:name="refEngelkes2020" w:id="43"/>
      <w:r>
        <w:rPr>
          <w:rFonts w:cs="Arial Unicode MS" w:eastAsia="Arial Unicode MS"/>
          <w:b w:val="1"/>
          <w:bCs w:val="1"/>
          <w:rtl w:val="0"/>
          <w:lang w:val="de-DE"/>
        </w:rPr>
        <w:t>Engelkes K, Kath L, Kleinteich T, Hammel JU, Beerlink A &amp; Haas A</w:t>
      </w:r>
      <w:r>
        <w:rPr>
          <w:rFonts w:cs="Arial Unicode MS" w:eastAsia="Arial Unicode MS"/>
          <w:rtl w:val="0"/>
        </w:rPr>
        <w:t xml:space="preserve">. </w:t>
      </w:r>
      <w:r>
        <w:rPr>
          <w:rFonts w:cs="Arial Unicode MS" w:eastAsia="Arial Unicode MS"/>
          <w:b w:val="1"/>
          <w:bCs w:val="1"/>
          <w:rtl w:val="0"/>
        </w:rPr>
        <w:t>2020</w:t>
      </w:r>
      <w:r>
        <w:rPr>
          <w:rFonts w:cs="Arial Unicode MS" w:eastAsia="Arial Unicode MS"/>
          <w:rtl w:val="0"/>
        </w:rPr>
        <w:t xml:space="preserve">. </w:t>
      </w:r>
      <w:r>
        <w:rPr>
          <w:rStyle w:val="Hyperlink.2"/>
        </w:rPr>
        <w:fldChar w:fldCharType="begin" w:fldLock="0"/>
      </w:r>
      <w:r>
        <w:rPr>
          <w:rStyle w:val="Hyperlink.2"/>
        </w:rPr>
        <w:instrText xml:space="preserve"> HYPERLINK "https://doi.org/10.1002/ece3.6784"</w:instrText>
      </w:r>
      <w:r>
        <w:rPr>
          <w:rStyle w:val="Hyperlink.2"/>
        </w:rPr>
        <w:fldChar w:fldCharType="separate" w:fldLock="0"/>
      </w:r>
      <w:r>
        <w:rPr>
          <w:rStyle w:val="Hyperlink.2"/>
          <w:rFonts w:cs="Arial Unicode MS" w:eastAsia="Arial Unicode MS"/>
          <w:rtl w:val="0"/>
          <w:lang w:val="en-US"/>
        </w:rPr>
        <w:t>Ecomorphology of the pectoral girdle in anurans (amphibia, anura): Shape diversity and biomechanical considerations</w:t>
      </w:r>
      <w:r>
        <w:rPr/>
        <w:fldChar w:fldCharType="end" w:fldLock="0"/>
      </w:r>
      <w:r>
        <w:rPr>
          <w:rFonts w:cs="Arial Unicode MS" w:eastAsia="Arial Unicode MS"/>
          <w:rtl w:val="0"/>
        </w:rPr>
        <w:t xml:space="preserve">. </w:t>
      </w:r>
      <w:r>
        <w:rPr>
          <w:rFonts w:cs="Arial Unicode MS" w:eastAsia="Arial Unicode MS"/>
          <w:i w:val="1"/>
          <w:iCs w:val="1"/>
          <w:rtl w:val="0"/>
          <w:lang w:val="en-US"/>
        </w:rPr>
        <w:t>ECOLOGY AND EVOLUTION</w:t>
      </w:r>
      <w:r>
        <w:rPr>
          <w:rFonts w:cs="Arial Unicode MS" w:eastAsia="Arial Unicode MS"/>
          <w:rtl w:val="0"/>
        </w:rPr>
        <w:t xml:space="preserve"> </w:t>
      </w:r>
      <w:r>
        <w:rPr>
          <w:rFonts w:cs="Arial Unicode MS" w:eastAsia="Arial Unicode MS"/>
          <w:b w:val="1"/>
          <w:bCs w:val="1"/>
          <w:rtl w:val="0"/>
        </w:rPr>
        <w:t>10</w:t>
      </w:r>
      <w:r>
        <w:rPr>
          <w:rFonts w:cs="Arial Unicode MS" w:eastAsia="Arial Unicode MS"/>
          <w:rtl w:val="0"/>
        </w:rPr>
        <w:t>: 11467</w:t>
      </w:r>
      <w:r>
        <w:rPr>
          <w:rFonts w:cs="Arial Unicode MS" w:eastAsia="Arial Unicode MS" w:hint="default"/>
          <w:rtl w:val="0"/>
        </w:rPr>
        <w:t>–</w:t>
      </w:r>
      <w:r>
        <w:rPr>
          <w:rFonts w:cs="Arial Unicode MS" w:eastAsia="Arial Unicode MS"/>
          <w:rtl w:val="0"/>
        </w:rPr>
        <w:t>11487.</w:t>
      </w:r>
      <w:bookmarkEnd w:id="43"/>
    </w:p>
    <w:p>
      <w:pPr>
        <w:pStyle w:val="Body"/>
      </w:pPr>
      <w:bookmarkStart w:name="refFrost2024" w:id="44"/>
      <w:r>
        <w:rPr>
          <w:rFonts w:cs="Arial Unicode MS" w:eastAsia="Arial Unicode MS"/>
          <w:b w:val="1"/>
          <w:bCs w:val="1"/>
          <w:rtl w:val="0"/>
          <w:lang w:val="da-DK"/>
        </w:rPr>
        <w:t>Frost DR</w:t>
      </w:r>
      <w:r>
        <w:rPr>
          <w:rFonts w:cs="Arial Unicode MS" w:eastAsia="Arial Unicode MS"/>
          <w:rtl w:val="0"/>
        </w:rPr>
        <w:t xml:space="preserve">. </w:t>
      </w:r>
      <w:r>
        <w:rPr>
          <w:rFonts w:cs="Arial Unicode MS" w:eastAsia="Arial Unicode MS"/>
          <w:b w:val="1"/>
          <w:bCs w:val="1"/>
          <w:rtl w:val="0"/>
          <w:lang w:val="en-US"/>
        </w:rPr>
        <w:t>2024</w:t>
      </w:r>
      <w:r>
        <w:rPr>
          <w:rFonts w:cs="Arial Unicode MS" w:eastAsia="Arial Unicode MS"/>
          <w:rtl w:val="0"/>
        </w:rPr>
        <w:t xml:space="preserve">. </w:t>
      </w:r>
      <w:r>
        <w:rPr>
          <w:rStyle w:val="Hyperlink.2"/>
        </w:rPr>
        <w:fldChar w:fldCharType="begin" w:fldLock="0"/>
      </w:r>
      <w:r>
        <w:rPr>
          <w:rStyle w:val="Hyperlink.2"/>
        </w:rPr>
        <w:instrText xml:space="preserve"> HYPERLINK "https://doi.org/doi.org/10.5531/db.vz.0001"</w:instrText>
      </w:r>
      <w:r>
        <w:rPr>
          <w:rStyle w:val="Hyperlink.2"/>
        </w:rPr>
        <w:fldChar w:fldCharType="separate" w:fldLock="0"/>
      </w:r>
      <w:r>
        <w:rPr>
          <w:rStyle w:val="Hyperlink.2"/>
          <w:rFonts w:cs="Arial Unicode MS" w:eastAsia="Arial Unicode MS"/>
          <w:rtl w:val="0"/>
          <w:lang w:val="en-US"/>
        </w:rPr>
        <w:t>Amphibian species of the world: An online reference. Version 6.2</w:t>
      </w:r>
      <w:r>
        <w:rPr/>
        <w:fldChar w:fldCharType="end" w:fldLock="0"/>
      </w:r>
      <w:r>
        <w:rPr>
          <w:rFonts w:cs="Arial Unicode MS" w:eastAsia="Arial Unicode MS"/>
          <w:rtl w:val="0"/>
        </w:rPr>
        <w:t xml:space="preserve">. </w:t>
      </w:r>
      <w:r>
        <w:rPr>
          <w:rFonts w:cs="Arial Unicode MS" w:eastAsia="Arial Unicode MS"/>
          <w:i w:val="1"/>
          <w:iCs w:val="1"/>
          <w:rtl w:val="0"/>
          <w:lang w:val="en-US"/>
        </w:rPr>
        <w:t>American Museum of Natural History, New York, USA.</w:t>
      </w:r>
      <w:bookmarkEnd w:id="44"/>
    </w:p>
    <w:p>
      <w:pPr>
        <w:pStyle w:val="Body"/>
      </w:pPr>
      <w:bookmarkStart w:name="refGillman2020" w:id="45"/>
      <w:r>
        <w:rPr>
          <w:rFonts w:cs="Arial Unicode MS" w:eastAsia="Arial Unicode MS"/>
          <w:b w:val="1"/>
          <w:bCs w:val="1"/>
          <w:rtl w:val="0"/>
          <w:lang w:val="en-US"/>
        </w:rPr>
        <w:t>Gillman LN &amp; Wright SD</w:t>
      </w:r>
      <w:r>
        <w:rPr>
          <w:rFonts w:cs="Arial Unicode MS" w:eastAsia="Arial Unicode MS"/>
          <w:rtl w:val="0"/>
        </w:rPr>
        <w:t xml:space="preserve">. </w:t>
      </w:r>
      <w:r>
        <w:rPr>
          <w:rFonts w:cs="Arial Unicode MS" w:eastAsia="Arial Unicode MS"/>
          <w:b w:val="1"/>
          <w:bCs w:val="1"/>
          <w:rtl w:val="0"/>
        </w:rPr>
        <w:t>2020</w:t>
      </w:r>
      <w:r>
        <w:rPr>
          <w:rFonts w:cs="Arial Unicode MS" w:eastAsia="Arial Unicode MS"/>
          <w:rtl w:val="0"/>
        </w:rPr>
        <w:t xml:space="preserve">. </w:t>
      </w:r>
      <w:r>
        <w:rPr>
          <w:rStyle w:val="Hyperlink.2"/>
        </w:rPr>
        <w:fldChar w:fldCharType="begin" w:fldLock="0"/>
      </w:r>
      <w:r>
        <w:rPr>
          <w:rStyle w:val="Hyperlink.2"/>
        </w:rPr>
        <w:instrText xml:space="preserve"> HYPERLINK "https://doi.org/10.1038/s42003-020-01344-y"</w:instrText>
      </w:r>
      <w:r>
        <w:rPr>
          <w:rStyle w:val="Hyperlink.2"/>
        </w:rPr>
        <w:fldChar w:fldCharType="separate" w:fldLock="0"/>
      </w:r>
      <w:r>
        <w:rPr>
          <w:rStyle w:val="Hyperlink.2"/>
          <w:rFonts w:cs="Arial Unicode MS" w:eastAsia="Arial Unicode MS"/>
          <w:rtl w:val="0"/>
          <w:lang w:val="en-US"/>
        </w:rPr>
        <w:t>Restoring indigenous names in taxonomy</w:t>
      </w:r>
      <w:r>
        <w:rPr/>
        <w:fldChar w:fldCharType="end" w:fldLock="0"/>
      </w:r>
      <w:r>
        <w:rPr>
          <w:rFonts w:cs="Arial Unicode MS" w:eastAsia="Arial Unicode MS"/>
          <w:rtl w:val="0"/>
        </w:rPr>
        <w:t xml:space="preserve">. </w:t>
      </w:r>
      <w:r>
        <w:rPr>
          <w:rFonts w:cs="Arial Unicode MS" w:eastAsia="Arial Unicode MS"/>
          <w:i w:val="1"/>
          <w:iCs w:val="1"/>
          <w:rtl w:val="0"/>
          <w:lang w:val="en-US"/>
        </w:rPr>
        <w:t>Communications Biology</w:t>
      </w:r>
      <w:r>
        <w:rPr>
          <w:rFonts w:cs="Arial Unicode MS" w:eastAsia="Arial Unicode MS"/>
          <w:rtl w:val="0"/>
        </w:rPr>
        <w:t xml:space="preserve"> </w:t>
      </w:r>
      <w:r>
        <w:rPr>
          <w:rFonts w:cs="Arial Unicode MS" w:eastAsia="Arial Unicode MS"/>
          <w:b w:val="1"/>
          <w:bCs w:val="1"/>
          <w:rtl w:val="0"/>
        </w:rPr>
        <w:t>3</w:t>
      </w:r>
      <w:r>
        <w:rPr>
          <w:rFonts w:cs="Arial Unicode MS" w:eastAsia="Arial Unicode MS"/>
          <w:rtl w:val="0"/>
        </w:rPr>
        <w:t>: 609.</w:t>
      </w:r>
      <w:bookmarkEnd w:id="45"/>
    </w:p>
    <w:p>
      <w:pPr>
        <w:pStyle w:val="Body"/>
      </w:pPr>
      <w:bookmarkStart w:name="refGunther1858" w:id="46"/>
      <w:r>
        <w:rPr>
          <w:rFonts w:cs="Arial Unicode MS" w:eastAsia="Arial Unicode MS"/>
          <w:b w:val="1"/>
          <w:bCs w:val="1"/>
          <w:rtl w:val="0"/>
        </w:rPr>
        <w:t>G</w:t>
      </w:r>
      <w:r>
        <w:rPr>
          <w:rFonts w:cs="Arial Unicode MS" w:eastAsia="Arial Unicode MS" w:hint="default"/>
          <w:b w:val="1"/>
          <w:bCs w:val="1"/>
          <w:rtl w:val="0"/>
        </w:rPr>
        <w:t>ü</w:t>
      </w:r>
      <w:r>
        <w:rPr>
          <w:rFonts w:cs="Arial Unicode MS" w:eastAsia="Arial Unicode MS"/>
          <w:b w:val="1"/>
          <w:bCs w:val="1"/>
          <w:rtl w:val="0"/>
          <w:lang w:val="en-US"/>
        </w:rPr>
        <w:t>nther ACLG</w:t>
      </w:r>
      <w:r>
        <w:rPr>
          <w:rFonts w:cs="Arial Unicode MS" w:eastAsia="Arial Unicode MS"/>
          <w:rtl w:val="0"/>
        </w:rPr>
        <w:t xml:space="preserve">. </w:t>
      </w:r>
      <w:r>
        <w:rPr>
          <w:rFonts w:cs="Arial Unicode MS" w:eastAsia="Arial Unicode MS"/>
          <w:b w:val="1"/>
          <w:bCs w:val="1"/>
          <w:rtl w:val="0"/>
        </w:rPr>
        <w:t>1858</w:t>
      </w:r>
      <w:r>
        <w:rPr>
          <w:rFonts w:cs="Arial Unicode MS" w:eastAsia="Arial Unicode MS"/>
          <w:rtl w:val="0"/>
          <w:lang w:val="en-US"/>
        </w:rPr>
        <w:t xml:space="preserve">. On the systematic arrangement of the tailless batrachians and the structure of </w:t>
      </w:r>
      <w:r>
        <w:rPr>
          <w:rFonts w:cs="Arial Unicode MS" w:eastAsia="Arial Unicode MS"/>
          <w:i w:val="1"/>
          <w:iCs w:val="1"/>
          <w:rtl w:val="0"/>
          <w:lang w:val="de-DE"/>
        </w:rPr>
        <w:t>rhinophrynus dorsalis</w:t>
      </w:r>
      <w:r>
        <w:rPr>
          <w:rFonts w:cs="Arial Unicode MS" w:eastAsia="Arial Unicode MS"/>
          <w:rtl w:val="0"/>
        </w:rPr>
        <w:t xml:space="preserve">. </w:t>
      </w:r>
      <w:r>
        <w:rPr>
          <w:rFonts w:cs="Arial Unicode MS" w:eastAsia="Arial Unicode MS"/>
          <w:i w:val="1"/>
          <w:iCs w:val="1"/>
          <w:rtl w:val="0"/>
          <w:lang w:val="en-US"/>
        </w:rPr>
        <w:t>Proceedings of the Zoological Society of London</w:t>
      </w:r>
      <w:r>
        <w:rPr>
          <w:rFonts w:cs="Arial Unicode MS" w:eastAsia="Arial Unicode MS"/>
          <w:rtl w:val="0"/>
        </w:rPr>
        <w:t>: 339</w:t>
      </w:r>
      <w:r>
        <w:rPr>
          <w:rFonts w:cs="Arial Unicode MS" w:eastAsia="Arial Unicode MS" w:hint="default"/>
          <w:rtl w:val="0"/>
        </w:rPr>
        <w:t>–</w:t>
      </w:r>
      <w:r>
        <w:rPr>
          <w:rFonts w:cs="Arial Unicode MS" w:eastAsia="Arial Unicode MS"/>
          <w:rtl w:val="0"/>
        </w:rPr>
        <w:t>352.</w:t>
      </w:r>
      <w:bookmarkEnd w:id="46"/>
    </w:p>
    <w:p>
      <w:pPr>
        <w:pStyle w:val="Body"/>
      </w:pPr>
      <w:bookmarkStart w:name="refGunther2023" w:id="47"/>
      <w:r>
        <w:rPr>
          <w:rFonts w:cs="Arial Unicode MS" w:eastAsia="Arial Unicode MS"/>
          <w:b w:val="1"/>
          <w:bCs w:val="1"/>
          <w:rtl w:val="0"/>
        </w:rPr>
        <w:t>G</w:t>
      </w:r>
      <w:r>
        <w:rPr>
          <w:rFonts w:cs="Arial Unicode MS" w:eastAsia="Arial Unicode MS" w:hint="default"/>
          <w:b w:val="1"/>
          <w:bCs w:val="1"/>
          <w:rtl w:val="0"/>
        </w:rPr>
        <w:t>ü</w:t>
      </w:r>
      <w:r>
        <w:rPr>
          <w:rFonts w:cs="Arial Unicode MS" w:eastAsia="Arial Unicode MS"/>
          <w:b w:val="1"/>
          <w:bCs w:val="1"/>
          <w:rtl w:val="0"/>
          <w:lang w:val="de-DE"/>
        </w:rPr>
        <w:t>nther R, Iskandar DT &amp; Richards SJ</w:t>
      </w:r>
      <w:r>
        <w:rPr>
          <w:rFonts w:cs="Arial Unicode MS" w:eastAsia="Arial Unicode MS"/>
          <w:rtl w:val="0"/>
        </w:rPr>
        <w:t xml:space="preserve">. </w:t>
      </w:r>
      <w:r>
        <w:rPr>
          <w:rFonts w:cs="Arial Unicode MS" w:eastAsia="Arial Unicode MS"/>
          <w:b w:val="1"/>
          <w:bCs w:val="1"/>
          <w:rtl w:val="0"/>
        </w:rPr>
        <w:t>2023</w:t>
      </w:r>
      <w:r>
        <w:rPr>
          <w:rFonts w:cs="Arial Unicode MS" w:eastAsia="Arial Unicode MS"/>
          <w:rtl w:val="0"/>
        </w:rPr>
        <w:t xml:space="preserve">. </w:t>
      </w:r>
      <w:r>
        <w:rPr>
          <w:rStyle w:val="Hyperlink.2"/>
        </w:rPr>
        <w:fldChar w:fldCharType="begin" w:fldLock="0"/>
      </w:r>
      <w:r>
        <w:rPr>
          <w:rStyle w:val="Hyperlink.2"/>
        </w:rPr>
        <w:instrText xml:space="preserve"> HYPERLINK "https://doi.org/10.3897/vz.73.e94207"</w:instrText>
      </w:r>
      <w:r>
        <w:rPr>
          <w:rStyle w:val="Hyperlink.2"/>
        </w:rPr>
        <w:fldChar w:fldCharType="separate" w:fldLock="0"/>
      </w:r>
      <w:r>
        <w:rPr>
          <w:rStyle w:val="Hyperlink.2"/>
          <w:rFonts w:cs="Arial Unicode MS" w:eastAsia="Arial Unicode MS"/>
          <w:rtl w:val="0"/>
          <w:lang w:val="en-US"/>
        </w:rPr>
        <w:t xml:space="preserve">A new large </w:t>
      </w:r>
      <w:r>
        <w:rPr>
          <w:rStyle w:val="Hyperlink.1"/>
          <w:rFonts w:cs="Arial Unicode MS" w:eastAsia="Arial Unicode MS"/>
          <w:rtl w:val="0"/>
        </w:rPr>
        <w:t>oreophryne</w:t>
      </w:r>
      <w:r>
        <w:rPr>
          <w:rStyle w:val="Hyperlink.2"/>
          <w:rFonts w:cs="Arial Unicode MS" w:eastAsia="Arial Unicode MS"/>
          <w:rtl w:val="0"/>
          <w:lang w:val="en-US"/>
        </w:rPr>
        <w:t xml:space="preserve"> species from the mountains of papua province, indonesian new guinea (amphibia, anura, microhylidae)</w:t>
      </w:r>
      <w:r>
        <w:rPr/>
        <w:fldChar w:fldCharType="end" w:fldLock="0"/>
      </w:r>
      <w:r>
        <w:rPr>
          <w:rFonts w:cs="Arial Unicode MS" w:eastAsia="Arial Unicode MS"/>
          <w:rtl w:val="0"/>
        </w:rPr>
        <w:t xml:space="preserve">. </w:t>
      </w:r>
      <w:r>
        <w:rPr>
          <w:rFonts w:cs="Arial Unicode MS" w:eastAsia="Arial Unicode MS"/>
          <w:i w:val="1"/>
          <w:iCs w:val="1"/>
          <w:rtl w:val="0"/>
          <w:lang w:val="en-US"/>
        </w:rPr>
        <w:t>Vertebrate Zoology</w:t>
      </w:r>
      <w:r>
        <w:rPr>
          <w:rFonts w:cs="Arial Unicode MS" w:eastAsia="Arial Unicode MS"/>
          <w:rtl w:val="0"/>
        </w:rPr>
        <w:t xml:space="preserve"> </w:t>
      </w:r>
      <w:r>
        <w:rPr>
          <w:rFonts w:cs="Arial Unicode MS" w:eastAsia="Arial Unicode MS"/>
          <w:b w:val="1"/>
          <w:bCs w:val="1"/>
          <w:rtl w:val="0"/>
        </w:rPr>
        <w:t>73</w:t>
      </w:r>
      <w:r>
        <w:rPr>
          <w:rFonts w:cs="Arial Unicode MS" w:eastAsia="Arial Unicode MS"/>
          <w:rtl w:val="0"/>
        </w:rPr>
        <w:t>: 153</w:t>
      </w:r>
      <w:r>
        <w:rPr>
          <w:rFonts w:cs="Arial Unicode MS" w:eastAsia="Arial Unicode MS" w:hint="default"/>
          <w:rtl w:val="0"/>
        </w:rPr>
        <w:t>–</w:t>
      </w:r>
      <w:r>
        <w:rPr>
          <w:rFonts w:cs="Arial Unicode MS" w:eastAsia="Arial Unicode MS"/>
          <w:rtl w:val="0"/>
        </w:rPr>
        <w:t>159.</w:t>
      </w:r>
      <w:bookmarkEnd w:id="47"/>
    </w:p>
    <w:p>
      <w:pPr>
        <w:pStyle w:val="Body"/>
      </w:pPr>
      <w:bookmarkStart w:name="refGunther2012" w:id="48"/>
      <w:r>
        <w:rPr>
          <w:rFonts w:cs="Arial Unicode MS" w:eastAsia="Arial Unicode MS"/>
          <w:b w:val="1"/>
          <w:bCs w:val="1"/>
          <w:rtl w:val="0"/>
        </w:rPr>
        <w:t>G</w:t>
      </w:r>
      <w:r>
        <w:rPr>
          <w:rFonts w:cs="Arial Unicode MS" w:eastAsia="Arial Unicode MS" w:hint="default"/>
          <w:b w:val="1"/>
          <w:bCs w:val="1"/>
          <w:rtl w:val="0"/>
        </w:rPr>
        <w:t>ü</w:t>
      </w:r>
      <w:r>
        <w:rPr>
          <w:rFonts w:cs="Arial Unicode MS" w:eastAsia="Arial Unicode MS"/>
          <w:b w:val="1"/>
          <w:bCs w:val="1"/>
          <w:rtl w:val="0"/>
          <w:lang w:val="en-US"/>
        </w:rPr>
        <w:t>nther R &amp; Richards SJ</w:t>
      </w:r>
      <w:r>
        <w:rPr>
          <w:rFonts w:cs="Arial Unicode MS" w:eastAsia="Arial Unicode MS"/>
          <w:rtl w:val="0"/>
        </w:rPr>
        <w:t xml:space="preserve">. </w:t>
      </w:r>
      <w:r>
        <w:rPr>
          <w:rFonts w:cs="Arial Unicode MS" w:eastAsia="Arial Unicode MS"/>
          <w:b w:val="1"/>
          <w:bCs w:val="1"/>
          <w:rtl w:val="0"/>
        </w:rPr>
        <w:t>2012</w:t>
      </w:r>
      <w:r>
        <w:rPr>
          <w:rFonts w:cs="Arial Unicode MS" w:eastAsia="Arial Unicode MS"/>
          <w:rtl w:val="0"/>
          <w:lang w:val="en-US"/>
        </w:rPr>
        <w:t xml:space="preserve">. Five new microhylid frog species from enga province, papua new guinea, and remarks on albericus alpestris (anura, microhylidae). </w:t>
      </w:r>
      <w:r>
        <w:rPr>
          <w:rFonts w:cs="Arial Unicode MS" w:eastAsia="Arial Unicode MS"/>
          <w:i w:val="1"/>
          <w:iCs w:val="1"/>
          <w:rtl w:val="0"/>
          <w:lang w:val="de-DE"/>
        </w:rPr>
        <w:t>VERTEBRATE ZOOLOGY</w:t>
      </w:r>
      <w:r>
        <w:rPr>
          <w:rFonts w:cs="Arial Unicode MS" w:eastAsia="Arial Unicode MS"/>
          <w:rtl w:val="0"/>
        </w:rPr>
        <w:t xml:space="preserve"> </w:t>
      </w:r>
      <w:r>
        <w:rPr>
          <w:rFonts w:cs="Arial Unicode MS" w:eastAsia="Arial Unicode MS"/>
          <w:b w:val="1"/>
          <w:bCs w:val="1"/>
          <w:rtl w:val="0"/>
        </w:rPr>
        <w:t>61</w:t>
      </w:r>
      <w:r>
        <w:rPr>
          <w:rFonts w:cs="Arial Unicode MS" w:eastAsia="Arial Unicode MS"/>
          <w:rtl w:val="0"/>
          <w:lang w:val="ru-RU"/>
        </w:rPr>
        <w:t>: 343</w:t>
      </w:r>
      <w:r>
        <w:rPr>
          <w:rFonts w:cs="Arial Unicode MS" w:eastAsia="Arial Unicode MS" w:hint="default"/>
          <w:rtl w:val="0"/>
        </w:rPr>
        <w:t>–</w:t>
      </w:r>
      <w:r>
        <w:rPr>
          <w:rFonts w:cs="Arial Unicode MS" w:eastAsia="Arial Unicode MS"/>
          <w:rtl w:val="0"/>
        </w:rPr>
        <w:t>372.</w:t>
      </w:r>
      <w:bookmarkEnd w:id="48"/>
    </w:p>
    <w:p>
      <w:pPr>
        <w:pStyle w:val="Body"/>
      </w:pPr>
      <w:bookmarkStart w:name="refGunther2001" w:id="49"/>
      <w:r>
        <w:rPr>
          <w:rFonts w:cs="Arial Unicode MS" w:eastAsia="Arial Unicode MS"/>
          <w:b w:val="1"/>
          <w:bCs w:val="1"/>
          <w:rtl w:val="0"/>
        </w:rPr>
        <w:t>G</w:t>
      </w:r>
      <w:r>
        <w:rPr>
          <w:rFonts w:cs="Arial Unicode MS" w:eastAsia="Arial Unicode MS" w:hint="default"/>
          <w:b w:val="1"/>
          <w:bCs w:val="1"/>
          <w:rtl w:val="0"/>
        </w:rPr>
        <w:t>ü</w:t>
      </w:r>
      <w:r>
        <w:rPr>
          <w:rFonts w:cs="Arial Unicode MS" w:eastAsia="Arial Unicode MS"/>
          <w:b w:val="1"/>
          <w:bCs w:val="1"/>
          <w:rtl w:val="0"/>
          <w:lang w:val="de-DE"/>
        </w:rPr>
        <w:t>nther R, Richards S &amp; Iskandar DT</w:t>
      </w:r>
      <w:r>
        <w:rPr>
          <w:rFonts w:cs="Arial Unicode MS" w:eastAsia="Arial Unicode MS"/>
          <w:rtl w:val="0"/>
        </w:rPr>
        <w:t xml:space="preserve">. </w:t>
      </w:r>
      <w:r>
        <w:rPr>
          <w:rFonts w:cs="Arial Unicode MS" w:eastAsia="Arial Unicode MS"/>
          <w:b w:val="1"/>
          <w:bCs w:val="1"/>
          <w:rtl w:val="0"/>
        </w:rPr>
        <w:t>2001</w:t>
      </w:r>
      <w:r>
        <w:rPr>
          <w:rFonts w:cs="Arial Unicode MS" w:eastAsia="Arial Unicode MS"/>
          <w:rtl w:val="0"/>
          <w:lang w:val="en-US"/>
        </w:rPr>
        <w:t xml:space="preserve">. Two new species of the genus oreophryne from irian jaya, indonesia (amphibia, anura, microhylidae). </w:t>
      </w:r>
      <w:r>
        <w:rPr>
          <w:rFonts w:cs="Arial Unicode MS" w:eastAsia="Arial Unicode MS"/>
          <w:i w:val="1"/>
          <w:iCs w:val="1"/>
          <w:rtl w:val="0"/>
          <w:lang w:val="en-US"/>
        </w:rPr>
        <w:t>Spixiana</w:t>
      </w:r>
      <w:r>
        <w:rPr>
          <w:rFonts w:cs="Arial Unicode MS" w:eastAsia="Arial Unicode MS"/>
          <w:rtl w:val="0"/>
        </w:rPr>
        <w:t xml:space="preserve"> </w:t>
      </w:r>
      <w:r>
        <w:rPr>
          <w:rFonts w:cs="Arial Unicode MS" w:eastAsia="Arial Unicode MS"/>
          <w:b w:val="1"/>
          <w:bCs w:val="1"/>
          <w:rtl w:val="0"/>
        </w:rPr>
        <w:t>24</w:t>
      </w:r>
      <w:r>
        <w:rPr>
          <w:rFonts w:cs="Arial Unicode MS" w:eastAsia="Arial Unicode MS"/>
          <w:rtl w:val="0"/>
        </w:rPr>
        <w:t>: 257</w:t>
      </w:r>
      <w:r>
        <w:rPr>
          <w:rFonts w:cs="Arial Unicode MS" w:eastAsia="Arial Unicode MS" w:hint="default"/>
          <w:rtl w:val="0"/>
        </w:rPr>
        <w:t>–</w:t>
      </w:r>
      <w:r>
        <w:rPr>
          <w:rFonts w:cs="Arial Unicode MS" w:eastAsia="Arial Unicode MS"/>
          <w:rtl w:val="0"/>
        </w:rPr>
        <w:t>274.</w:t>
      </w:r>
      <w:bookmarkEnd w:id="49"/>
    </w:p>
    <w:p>
      <w:pPr>
        <w:pStyle w:val="Body"/>
      </w:pPr>
      <w:bookmarkStart w:name="refHill2022" w:id="50"/>
      <w:r>
        <w:rPr>
          <w:rFonts w:cs="Arial Unicode MS" w:eastAsia="Arial Unicode MS"/>
          <w:b w:val="1"/>
          <w:bCs w:val="1"/>
          <w:rtl w:val="0"/>
          <w:lang w:val="de-DE"/>
        </w:rPr>
        <w:t>Hill EC, Fraser CJ, Gao DF, Jarman MJ, Henry ER, Iova B, Allison A &amp; Butler MA</w:t>
      </w:r>
      <w:r>
        <w:rPr>
          <w:rFonts w:cs="Arial Unicode MS" w:eastAsia="Arial Unicode MS"/>
          <w:rtl w:val="0"/>
        </w:rPr>
        <w:t xml:space="preserve">. </w:t>
      </w:r>
      <w:r>
        <w:rPr>
          <w:rFonts w:cs="Arial Unicode MS" w:eastAsia="Arial Unicode MS"/>
          <w:b w:val="1"/>
          <w:bCs w:val="1"/>
          <w:rtl w:val="0"/>
        </w:rPr>
        <w:t>2022</w:t>
      </w:r>
      <w:r>
        <w:rPr>
          <w:rFonts w:cs="Arial Unicode MS" w:eastAsia="Arial Unicode MS"/>
          <w:rtl w:val="0"/>
        </w:rPr>
        <w:t xml:space="preserve">. </w:t>
      </w:r>
      <w:r>
        <w:rPr>
          <w:rStyle w:val="Hyperlink.2"/>
        </w:rPr>
        <w:fldChar w:fldCharType="begin" w:fldLock="0"/>
      </w:r>
      <w:r>
        <w:rPr>
          <w:rStyle w:val="Hyperlink.2"/>
        </w:rPr>
        <w:instrText xml:space="preserve"> HYPERLINK "https://doi.org/10.1016/j.ympev.2022.107618"</w:instrText>
      </w:r>
      <w:r>
        <w:rPr>
          <w:rStyle w:val="Hyperlink.2"/>
        </w:rPr>
        <w:fldChar w:fldCharType="separate" w:fldLock="0"/>
      </w:r>
      <w:r>
        <w:rPr>
          <w:rStyle w:val="Hyperlink.2"/>
          <w:rFonts w:cs="Arial Unicode MS" w:eastAsia="Arial Unicode MS"/>
          <w:rtl w:val="0"/>
          <w:lang w:val="en-US"/>
        </w:rPr>
        <w:t>Resolving the deep phylogeny: Implications for early adaptive radiation, cryptic, and present-day ecological diversity of papuan microhylid frogs</w:t>
      </w:r>
      <w:r>
        <w:rPr/>
        <w:fldChar w:fldCharType="end" w:fldLock="0"/>
      </w:r>
      <w:r>
        <w:rPr>
          <w:rFonts w:cs="Arial Unicode MS" w:eastAsia="Arial Unicode MS"/>
          <w:rtl w:val="0"/>
        </w:rPr>
        <w:t xml:space="preserve">. </w:t>
      </w:r>
      <w:r>
        <w:rPr>
          <w:rFonts w:cs="Arial Unicode MS" w:eastAsia="Arial Unicode MS"/>
          <w:i w:val="1"/>
          <w:iCs w:val="1"/>
          <w:rtl w:val="0"/>
          <w:lang w:val="en-US"/>
        </w:rPr>
        <w:t>Molecular Phylogenetics and Evolution</w:t>
      </w:r>
      <w:r>
        <w:rPr>
          <w:rFonts w:cs="Arial Unicode MS" w:eastAsia="Arial Unicode MS"/>
          <w:rtl w:val="0"/>
        </w:rPr>
        <w:t xml:space="preserve"> </w:t>
      </w:r>
      <w:r>
        <w:rPr>
          <w:rFonts w:cs="Arial Unicode MS" w:eastAsia="Arial Unicode MS"/>
          <w:b w:val="1"/>
          <w:bCs w:val="1"/>
          <w:rtl w:val="0"/>
        </w:rPr>
        <w:t>177</w:t>
      </w:r>
      <w:r>
        <w:rPr>
          <w:rFonts w:cs="Arial Unicode MS" w:eastAsia="Arial Unicode MS"/>
          <w:rtl w:val="0"/>
        </w:rPr>
        <w:t>.</w:t>
      </w:r>
      <w:bookmarkEnd w:id="50"/>
    </w:p>
    <w:p>
      <w:pPr>
        <w:pStyle w:val="Body"/>
      </w:pPr>
      <w:bookmarkStart w:name="refHill2023" w:id="51"/>
      <w:r>
        <w:rPr>
          <w:rFonts w:cs="Arial Unicode MS" w:eastAsia="Arial Unicode MS"/>
          <w:b w:val="1"/>
          <w:bCs w:val="1"/>
          <w:rtl w:val="0"/>
          <w:lang w:val="de-DE"/>
        </w:rPr>
        <w:t>Hill EC, Jarman MJ, Fraser CJ, Gao DF, Henry ER, Fisher AR, Iova B, Allison A &amp; Butler MA</w:t>
      </w:r>
      <w:r>
        <w:rPr>
          <w:rFonts w:cs="Arial Unicode MS" w:eastAsia="Arial Unicode MS"/>
          <w:rtl w:val="0"/>
        </w:rPr>
        <w:t xml:space="preserve">. </w:t>
      </w:r>
      <w:r>
        <w:rPr>
          <w:rFonts w:cs="Arial Unicode MS" w:eastAsia="Arial Unicode MS"/>
          <w:b w:val="1"/>
          <w:bCs w:val="1"/>
          <w:rtl w:val="0"/>
        </w:rPr>
        <w:t>2023B</w:t>
      </w:r>
      <w:r>
        <w:rPr>
          <w:rFonts w:cs="Arial Unicode MS" w:eastAsia="Arial Unicode MS"/>
          <w:rtl w:val="0"/>
        </w:rPr>
        <w:t xml:space="preserve">. </w:t>
      </w:r>
      <w:r>
        <w:rPr>
          <w:rStyle w:val="Hyperlink.2"/>
        </w:rPr>
        <w:fldChar w:fldCharType="begin" w:fldLock="0"/>
      </w:r>
      <w:r>
        <w:rPr>
          <w:rStyle w:val="Hyperlink.2"/>
        </w:rPr>
        <w:instrText xml:space="preserve"> HYPERLINK "https://doi.org/10.1016/j.dib.2023.108987"</w:instrText>
      </w:r>
      <w:r>
        <w:rPr>
          <w:rStyle w:val="Hyperlink.2"/>
        </w:rPr>
        <w:fldChar w:fldCharType="separate" w:fldLock="0"/>
      </w:r>
      <w:r>
        <w:rPr>
          <w:rStyle w:val="Hyperlink.2"/>
          <w:rFonts w:cs="Arial Unicode MS" w:eastAsia="Arial Unicode MS"/>
          <w:rtl w:val="0"/>
          <w:lang w:val="en-US"/>
        </w:rPr>
        <w:t>Molecular and phylogenetic datasets for the asterophryinae frogs of new guinea with additional data on lifestyle, geography, and elevation</w:t>
      </w:r>
      <w:r>
        <w:rPr/>
        <w:fldChar w:fldCharType="end" w:fldLock="0"/>
      </w:r>
      <w:r>
        <w:rPr>
          <w:rFonts w:cs="Arial Unicode MS" w:eastAsia="Arial Unicode MS"/>
          <w:rtl w:val="0"/>
        </w:rPr>
        <w:t xml:space="preserve">. </w:t>
      </w:r>
      <w:r>
        <w:rPr>
          <w:rFonts w:cs="Arial Unicode MS" w:eastAsia="Arial Unicode MS"/>
          <w:i w:val="1"/>
          <w:iCs w:val="1"/>
          <w:rtl w:val="0"/>
          <w:lang w:val="de-DE"/>
        </w:rPr>
        <w:t>Data in Brief</w:t>
      </w:r>
      <w:r>
        <w:rPr>
          <w:rFonts w:cs="Arial Unicode MS" w:eastAsia="Arial Unicode MS"/>
          <w:rtl w:val="0"/>
        </w:rPr>
        <w:t xml:space="preserve"> </w:t>
      </w:r>
      <w:r>
        <w:rPr>
          <w:rFonts w:cs="Arial Unicode MS" w:eastAsia="Arial Unicode MS"/>
          <w:b w:val="1"/>
          <w:bCs w:val="1"/>
          <w:rtl w:val="0"/>
        </w:rPr>
        <w:t>47</w:t>
      </w:r>
      <w:r>
        <w:rPr>
          <w:rFonts w:cs="Arial Unicode MS" w:eastAsia="Arial Unicode MS"/>
          <w:rtl w:val="0"/>
        </w:rPr>
        <w:t>: 108987.</w:t>
      </w:r>
      <w:bookmarkEnd w:id="51"/>
    </w:p>
    <w:p>
      <w:pPr>
        <w:pStyle w:val="Body"/>
      </w:pPr>
      <w:bookmarkStart w:name="refHill2023a" w:id="52"/>
      <w:r>
        <w:rPr>
          <w:rFonts w:cs="Arial Unicode MS" w:eastAsia="Arial Unicode MS"/>
          <w:b w:val="1"/>
          <w:bCs w:val="1"/>
          <w:rtl w:val="0"/>
        </w:rPr>
        <w:t>Hill EC, Gao DF, Polhemus DA, Fraser CJ, Iova B, Allison A &amp; Butler MA</w:t>
      </w:r>
      <w:r>
        <w:rPr>
          <w:rFonts w:cs="Arial Unicode MS" w:eastAsia="Arial Unicode MS"/>
          <w:rtl w:val="0"/>
        </w:rPr>
        <w:t xml:space="preserve">. </w:t>
      </w:r>
      <w:r>
        <w:rPr>
          <w:rFonts w:cs="Arial Unicode MS" w:eastAsia="Arial Unicode MS"/>
          <w:b w:val="1"/>
          <w:bCs w:val="1"/>
          <w:rtl w:val="0"/>
        </w:rPr>
        <w:t>2023A</w:t>
      </w:r>
      <w:r>
        <w:rPr>
          <w:rFonts w:cs="Arial Unicode MS" w:eastAsia="Arial Unicode MS"/>
          <w:rtl w:val="0"/>
          <w:lang w:val="en-US"/>
        </w:rPr>
        <w:t xml:space="preserve">. Testing geology with biology: Plate tectonics and the diversification of microhylid frogs in the papuan region. </w:t>
      </w:r>
      <w:r>
        <w:rPr>
          <w:rFonts w:cs="Arial Unicode MS" w:eastAsia="Arial Unicode MS"/>
          <w:i w:val="1"/>
          <w:iCs w:val="1"/>
          <w:rtl w:val="0"/>
          <w:lang w:val="en-US"/>
        </w:rPr>
        <w:t>Integrative Organismal Biology</w:t>
      </w:r>
      <w:r>
        <w:rPr>
          <w:rFonts w:cs="Arial Unicode MS" w:eastAsia="Arial Unicode MS"/>
          <w:rtl w:val="0"/>
        </w:rPr>
        <w:t>.</w:t>
      </w:r>
      <w:bookmarkEnd w:id="52"/>
    </w:p>
    <w:p>
      <w:pPr>
        <w:pStyle w:val="Body"/>
      </w:pPr>
      <w:bookmarkStart w:name="refIUCN2025" w:id="53"/>
      <w:r>
        <w:rPr>
          <w:rFonts w:cs="Arial Unicode MS" w:eastAsia="Arial Unicode MS"/>
          <w:b w:val="1"/>
          <w:bCs w:val="1"/>
          <w:rtl w:val="0"/>
          <w:lang w:val="es-ES_tradnl"/>
        </w:rPr>
        <w:t>IUCN</w:t>
      </w:r>
      <w:r>
        <w:rPr>
          <w:rFonts w:cs="Arial Unicode MS" w:eastAsia="Arial Unicode MS"/>
          <w:rtl w:val="0"/>
        </w:rPr>
        <w:t xml:space="preserve">. </w:t>
      </w:r>
      <w:r>
        <w:rPr>
          <w:rFonts w:cs="Arial Unicode MS" w:eastAsia="Arial Unicode MS"/>
          <w:b w:val="1"/>
          <w:bCs w:val="1"/>
          <w:rtl w:val="0"/>
        </w:rPr>
        <w:t>2025</w:t>
      </w:r>
      <w:r>
        <w:rPr>
          <w:rFonts w:cs="Arial Unicode MS" w:eastAsia="Arial Unicode MS"/>
          <w:rtl w:val="0"/>
        </w:rPr>
        <w:t xml:space="preserve">. </w:t>
      </w:r>
      <w:r>
        <w:rPr>
          <w:rStyle w:val="Hyperlink.2"/>
        </w:rPr>
        <w:fldChar w:fldCharType="begin" w:fldLock="0"/>
      </w:r>
      <w:r>
        <w:rPr>
          <w:rStyle w:val="Hyperlink.2"/>
        </w:rPr>
        <w:instrText xml:space="preserve"> HYPERLINK "https://www.iucnredlist.org/"</w:instrText>
      </w:r>
      <w:r>
        <w:rPr>
          <w:rStyle w:val="Hyperlink.2"/>
        </w:rPr>
        <w:fldChar w:fldCharType="separate" w:fldLock="0"/>
      </w:r>
      <w:r>
        <w:rPr>
          <w:rStyle w:val="Hyperlink.2"/>
          <w:rFonts w:cs="Arial Unicode MS" w:eastAsia="Arial Unicode MS"/>
          <w:rtl w:val="0"/>
          <w:lang w:val="en-US"/>
        </w:rPr>
        <w:t>Asterophryinae (spatial data). The IUCN Red List of Threatened Species. Version 2025-1</w:t>
      </w:r>
      <w:r>
        <w:rPr/>
        <w:fldChar w:fldCharType="end" w:fldLock="0"/>
      </w:r>
      <w:r>
        <w:rPr>
          <w:rFonts w:cs="Arial Unicode MS" w:eastAsia="Arial Unicode MS"/>
          <w:rtl w:val="0"/>
        </w:rPr>
        <w:t xml:space="preserve">. </w:t>
      </w:r>
      <w:r>
        <w:rPr>
          <w:rFonts w:cs="Arial Unicode MS" w:eastAsia="Arial Unicode MS"/>
          <w:i w:val="1"/>
          <w:iCs w:val="1"/>
          <w:rtl w:val="0"/>
          <w:lang w:val="en-US"/>
        </w:rPr>
        <w:t>International Union for Conservation of Nature</w:t>
      </w:r>
      <w:r>
        <w:rPr>
          <w:rFonts w:cs="Arial Unicode MS" w:eastAsia="Arial Unicode MS"/>
          <w:rtl w:val="0"/>
        </w:rPr>
        <w:t>.</w:t>
      </w:r>
      <w:bookmarkEnd w:id="53"/>
    </w:p>
    <w:p>
      <w:pPr>
        <w:pStyle w:val="Body"/>
      </w:pPr>
      <w:bookmarkStart w:name="refVanKampen1923" w:id="54"/>
      <w:r>
        <w:rPr>
          <w:rFonts w:cs="Arial Unicode MS" w:eastAsia="Arial Unicode MS"/>
          <w:b w:val="1"/>
          <w:bCs w:val="1"/>
          <w:rtl w:val="0"/>
          <w:lang w:val="nl-NL"/>
        </w:rPr>
        <w:t>Kampen PN van</w:t>
      </w:r>
      <w:r>
        <w:rPr>
          <w:rFonts w:cs="Arial Unicode MS" w:eastAsia="Arial Unicode MS"/>
          <w:rtl w:val="0"/>
        </w:rPr>
        <w:t xml:space="preserve">. </w:t>
      </w:r>
      <w:r>
        <w:rPr>
          <w:rFonts w:cs="Arial Unicode MS" w:eastAsia="Arial Unicode MS"/>
          <w:b w:val="1"/>
          <w:bCs w:val="1"/>
          <w:rtl w:val="0"/>
        </w:rPr>
        <w:t>1923</w:t>
      </w:r>
      <w:r>
        <w:rPr>
          <w:rFonts w:cs="Arial Unicode MS" w:eastAsia="Arial Unicode MS"/>
          <w:rtl w:val="0"/>
        </w:rPr>
        <w:t xml:space="preserve">. </w:t>
      </w:r>
      <w:r>
        <w:rPr>
          <w:rStyle w:val="Hyperlink.1"/>
        </w:rPr>
        <w:fldChar w:fldCharType="begin" w:fldLock="0"/>
      </w:r>
      <w:r>
        <w:rPr>
          <w:rStyle w:val="Hyperlink.1"/>
        </w:rPr>
        <w:instrText xml:space="preserve"> HYPERLINK "https://www.biodiversitylibrary.org/part/118043"</w:instrText>
      </w:r>
      <w:r>
        <w:rPr>
          <w:rStyle w:val="Hyperlink.1"/>
        </w:rPr>
        <w:fldChar w:fldCharType="separate" w:fldLock="0"/>
      </w:r>
      <w:r>
        <w:rPr>
          <w:rStyle w:val="Hyperlink.1"/>
          <w:rFonts w:cs="Arial Unicode MS" w:eastAsia="Arial Unicode MS"/>
          <w:rtl w:val="0"/>
          <w:lang w:val="en-US"/>
        </w:rPr>
        <w:t>The amphibia of the indo-australian archipelago</w:t>
      </w:r>
      <w:r>
        <w:rPr/>
        <w:fldChar w:fldCharType="end" w:fldLock="0"/>
      </w:r>
      <w:r>
        <w:rPr>
          <w:rFonts w:cs="Arial Unicode MS" w:eastAsia="Arial Unicode MS"/>
          <w:rtl w:val="0"/>
          <w:lang w:val="de-DE"/>
        </w:rPr>
        <w:t>. Leiden: E. J. Brill, ltd.</w:t>
      </w:r>
      <w:bookmarkEnd w:id="54"/>
    </w:p>
    <w:p>
      <w:pPr>
        <w:pStyle w:val="Body"/>
      </w:pPr>
      <w:bookmarkStart w:name="refKoehler2008" w:id="55"/>
      <w:r>
        <w:rPr>
          <w:rFonts w:cs="Arial Unicode MS" w:eastAsia="Arial Unicode MS"/>
          <w:b w:val="1"/>
          <w:bCs w:val="1"/>
          <w:rtl w:val="0"/>
        </w:rPr>
        <w:t>K</w:t>
      </w:r>
      <w:r>
        <w:rPr>
          <w:rFonts w:cs="Arial Unicode MS" w:eastAsia="Arial Unicode MS" w:hint="default"/>
          <w:b w:val="1"/>
          <w:bCs w:val="1"/>
          <w:rtl w:val="0"/>
          <w:lang w:val="sv-SE"/>
        </w:rPr>
        <w:t>ö</w:t>
      </w:r>
      <w:r>
        <w:rPr>
          <w:rFonts w:cs="Arial Unicode MS" w:eastAsia="Arial Unicode MS"/>
          <w:b w:val="1"/>
          <w:bCs w:val="1"/>
          <w:rtl w:val="0"/>
          <w:lang w:val="de-DE"/>
        </w:rPr>
        <w:t>hler F &amp; G</w:t>
      </w:r>
      <w:r>
        <w:rPr>
          <w:rFonts w:cs="Arial Unicode MS" w:eastAsia="Arial Unicode MS" w:hint="default"/>
          <w:b w:val="1"/>
          <w:bCs w:val="1"/>
          <w:rtl w:val="0"/>
        </w:rPr>
        <w:t>ü</w:t>
      </w:r>
      <w:r>
        <w:rPr>
          <w:rFonts w:cs="Arial Unicode MS" w:eastAsia="Arial Unicode MS"/>
          <w:b w:val="1"/>
          <w:bCs w:val="1"/>
          <w:rtl w:val="0"/>
          <w:lang w:val="en-US"/>
        </w:rPr>
        <w:t>nther R</w:t>
      </w:r>
      <w:r>
        <w:rPr>
          <w:rFonts w:cs="Arial Unicode MS" w:eastAsia="Arial Unicode MS"/>
          <w:rtl w:val="0"/>
        </w:rPr>
        <w:t xml:space="preserve">. </w:t>
      </w:r>
      <w:r>
        <w:rPr>
          <w:rFonts w:cs="Arial Unicode MS" w:eastAsia="Arial Unicode MS"/>
          <w:b w:val="1"/>
          <w:bCs w:val="1"/>
          <w:rtl w:val="0"/>
        </w:rPr>
        <w:t>2008</w:t>
      </w:r>
      <w:r>
        <w:rPr>
          <w:rFonts w:cs="Arial Unicode MS" w:eastAsia="Arial Unicode MS"/>
          <w:rtl w:val="0"/>
        </w:rPr>
        <w:t xml:space="preserve">. </w:t>
      </w:r>
      <w:r>
        <w:rPr>
          <w:rStyle w:val="Hyperlink.2"/>
        </w:rPr>
        <w:fldChar w:fldCharType="begin" w:fldLock="0"/>
      </w:r>
      <w:r>
        <w:rPr>
          <w:rStyle w:val="Hyperlink.2"/>
        </w:rPr>
        <w:instrText xml:space="preserve"> HYPERLINK "https://doi.org/DOI%252010.1016/j.ympev.2007.11.032"</w:instrText>
      </w:r>
      <w:r>
        <w:rPr>
          <w:rStyle w:val="Hyperlink.2"/>
        </w:rPr>
        <w:fldChar w:fldCharType="separate" w:fldLock="0"/>
      </w:r>
      <w:r>
        <w:rPr>
          <w:rStyle w:val="Hyperlink.2"/>
          <w:rFonts w:cs="Arial Unicode MS" w:eastAsia="Arial Unicode MS"/>
          <w:rtl w:val="0"/>
          <w:lang w:val="en-US"/>
        </w:rPr>
        <w:t>The radiation of microhylid frogs (amphibia : Anura) on new guinea: A mitochondrial phylogeny reveals parallel evolution of morphological and life history traits and disproves the current morphology-based classification</w:t>
      </w:r>
      <w:r>
        <w:rPr/>
        <w:fldChar w:fldCharType="end" w:fldLock="0"/>
      </w:r>
      <w:r>
        <w:rPr>
          <w:rFonts w:cs="Arial Unicode MS" w:eastAsia="Arial Unicode MS"/>
          <w:rtl w:val="0"/>
        </w:rPr>
        <w:t xml:space="preserve">. </w:t>
      </w:r>
      <w:r>
        <w:rPr>
          <w:rFonts w:cs="Arial Unicode MS" w:eastAsia="Arial Unicode MS"/>
          <w:i w:val="1"/>
          <w:iCs w:val="1"/>
          <w:rtl w:val="0"/>
          <w:lang w:val="en-US"/>
        </w:rPr>
        <w:t>Molecular Phylogenetics and Evolution</w:t>
      </w:r>
      <w:r>
        <w:rPr>
          <w:rFonts w:cs="Arial Unicode MS" w:eastAsia="Arial Unicode MS"/>
          <w:rtl w:val="0"/>
        </w:rPr>
        <w:t xml:space="preserve"> </w:t>
      </w:r>
      <w:r>
        <w:rPr>
          <w:rFonts w:cs="Arial Unicode MS" w:eastAsia="Arial Unicode MS"/>
          <w:b w:val="1"/>
          <w:bCs w:val="1"/>
          <w:rtl w:val="0"/>
        </w:rPr>
        <w:t>47</w:t>
      </w:r>
      <w:r>
        <w:rPr>
          <w:rFonts w:cs="Arial Unicode MS" w:eastAsia="Arial Unicode MS"/>
          <w:rtl w:val="0"/>
        </w:rPr>
        <w:t>: 353</w:t>
      </w:r>
      <w:r>
        <w:rPr>
          <w:rFonts w:cs="Arial Unicode MS" w:eastAsia="Arial Unicode MS" w:hint="default"/>
          <w:rtl w:val="0"/>
        </w:rPr>
        <w:t>–</w:t>
      </w:r>
      <w:r>
        <w:rPr>
          <w:rFonts w:cs="Arial Unicode MS" w:eastAsia="Arial Unicode MS"/>
          <w:rtl w:val="0"/>
        </w:rPr>
        <w:t>365.</w:t>
      </w:r>
      <w:bookmarkEnd w:id="55"/>
    </w:p>
    <w:p>
      <w:pPr>
        <w:pStyle w:val="Body"/>
      </w:pPr>
      <w:bookmarkStart w:name="refKraus2010" w:id="56"/>
      <w:r>
        <w:rPr>
          <w:rFonts w:cs="Arial Unicode MS" w:eastAsia="Arial Unicode MS"/>
          <w:b w:val="1"/>
          <w:bCs w:val="1"/>
          <w:rtl w:val="0"/>
          <w:lang w:val="de-DE"/>
        </w:rPr>
        <w:t>Kraus F</w:t>
      </w:r>
      <w:r>
        <w:rPr>
          <w:rFonts w:cs="Arial Unicode MS" w:eastAsia="Arial Unicode MS"/>
          <w:rtl w:val="0"/>
        </w:rPr>
        <w:t xml:space="preserve">. </w:t>
      </w:r>
      <w:r>
        <w:rPr>
          <w:rFonts w:cs="Arial Unicode MS" w:eastAsia="Arial Unicode MS"/>
          <w:b w:val="1"/>
          <w:bCs w:val="1"/>
          <w:rtl w:val="0"/>
        </w:rPr>
        <w:t>2010</w:t>
      </w:r>
      <w:r>
        <w:rPr>
          <w:rFonts w:cs="Arial Unicode MS" w:eastAsia="Arial Unicode MS"/>
          <w:rtl w:val="0"/>
        </w:rPr>
        <w:t xml:space="preserve">. </w:t>
      </w:r>
      <w:r>
        <w:rPr>
          <w:rStyle w:val="Hyperlink.2"/>
        </w:rPr>
        <w:fldChar w:fldCharType="begin" w:fldLock="0"/>
      </w:r>
      <w:r>
        <w:rPr>
          <w:rStyle w:val="Hyperlink.2"/>
        </w:rPr>
        <w:instrText xml:space="preserve"> HYPERLINK "https://doi.org/10.3897/zookeys.48.446"</w:instrText>
      </w:r>
      <w:r>
        <w:rPr>
          <w:rStyle w:val="Hyperlink.2"/>
        </w:rPr>
        <w:fldChar w:fldCharType="separate" w:fldLock="0"/>
      </w:r>
      <w:r>
        <w:rPr>
          <w:rStyle w:val="Hyperlink.2"/>
          <w:rFonts w:cs="Arial Unicode MS" w:eastAsia="Arial Unicode MS"/>
          <w:rtl w:val="0"/>
          <w:lang w:val="en-US"/>
        </w:rPr>
        <w:t>New genus of diminutive microhylid frogs from papua new guinea</w:t>
      </w:r>
      <w:r>
        <w:rPr/>
        <w:fldChar w:fldCharType="end" w:fldLock="0"/>
      </w:r>
      <w:r>
        <w:rPr>
          <w:rFonts w:cs="Arial Unicode MS" w:eastAsia="Arial Unicode MS"/>
          <w:rtl w:val="0"/>
        </w:rPr>
        <w:t xml:space="preserve">. </w:t>
      </w:r>
      <w:r>
        <w:rPr>
          <w:rFonts w:cs="Arial Unicode MS" w:eastAsia="Arial Unicode MS"/>
          <w:i w:val="1"/>
          <w:iCs w:val="1"/>
          <w:rtl w:val="0"/>
        </w:rPr>
        <w:t>ZOOKEYS</w:t>
      </w:r>
      <w:r>
        <w:rPr>
          <w:rFonts w:cs="Arial Unicode MS" w:eastAsia="Arial Unicode MS"/>
          <w:rtl w:val="0"/>
        </w:rPr>
        <w:t>: 39</w:t>
      </w:r>
      <w:r>
        <w:rPr>
          <w:rFonts w:cs="Arial Unicode MS" w:eastAsia="Arial Unicode MS" w:hint="default"/>
          <w:rtl w:val="0"/>
        </w:rPr>
        <w:t>–</w:t>
      </w:r>
      <w:r>
        <w:rPr>
          <w:rFonts w:cs="Arial Unicode MS" w:eastAsia="Arial Unicode MS"/>
          <w:rtl w:val="0"/>
        </w:rPr>
        <w:t>59.</w:t>
      </w:r>
      <w:bookmarkEnd w:id="56"/>
    </w:p>
    <w:p>
      <w:pPr>
        <w:pStyle w:val="Body"/>
      </w:pPr>
      <w:bookmarkStart w:name="refKraus2013" w:id="57"/>
      <w:r>
        <w:rPr>
          <w:rFonts w:cs="Arial Unicode MS" w:eastAsia="Arial Unicode MS"/>
          <w:b w:val="1"/>
          <w:bCs w:val="1"/>
          <w:rtl w:val="0"/>
          <w:lang w:val="de-DE"/>
        </w:rPr>
        <w:t>Kraus F</w:t>
      </w:r>
      <w:r>
        <w:rPr>
          <w:rFonts w:cs="Arial Unicode MS" w:eastAsia="Arial Unicode MS"/>
          <w:rtl w:val="0"/>
        </w:rPr>
        <w:t xml:space="preserve">. </w:t>
      </w:r>
      <w:r>
        <w:rPr>
          <w:rFonts w:cs="Arial Unicode MS" w:eastAsia="Arial Unicode MS"/>
          <w:b w:val="1"/>
          <w:bCs w:val="1"/>
          <w:rtl w:val="0"/>
        </w:rPr>
        <w:t>2013</w:t>
      </w:r>
      <w:r>
        <w:rPr>
          <w:rFonts w:cs="Arial Unicode MS" w:eastAsia="Arial Unicode MS"/>
          <w:rtl w:val="0"/>
        </w:rPr>
        <w:t xml:space="preserve">. </w:t>
      </w:r>
      <w:r>
        <w:rPr>
          <w:rStyle w:val="Hyperlink.2"/>
        </w:rPr>
        <w:fldChar w:fldCharType="begin" w:fldLock="0"/>
      </w:r>
      <w:r>
        <w:rPr>
          <w:rStyle w:val="Hyperlink.2"/>
        </w:rPr>
        <w:instrText xml:space="preserve"> HYPERLINK "https://doi.org/10.3897/zookeys.330.5795"</w:instrText>
      </w:r>
      <w:r>
        <w:rPr>
          <w:rStyle w:val="Hyperlink.2"/>
        </w:rPr>
        <w:fldChar w:fldCharType="separate" w:fldLock="0"/>
      </w:r>
      <w:r>
        <w:rPr>
          <w:rStyle w:val="Hyperlink.2"/>
          <w:rFonts w:cs="Arial Unicode MS" w:eastAsia="Arial Unicode MS"/>
          <w:rtl w:val="0"/>
          <w:lang w:val="en-US"/>
        </w:rPr>
        <w:t>Three new species of &lt;i&gt;oreophryne&lt;/i&gt; (anura, microhylidae) from papua new guinea</w:t>
      </w:r>
      <w:r>
        <w:rPr/>
        <w:fldChar w:fldCharType="end" w:fldLock="0"/>
      </w:r>
      <w:r>
        <w:rPr>
          <w:rFonts w:cs="Arial Unicode MS" w:eastAsia="Arial Unicode MS"/>
          <w:rtl w:val="0"/>
        </w:rPr>
        <w:t xml:space="preserve">. </w:t>
      </w:r>
      <w:r>
        <w:rPr>
          <w:rFonts w:cs="Arial Unicode MS" w:eastAsia="Arial Unicode MS"/>
          <w:i w:val="1"/>
          <w:iCs w:val="1"/>
          <w:rtl w:val="0"/>
        </w:rPr>
        <w:t>ZOOKEYS</w:t>
      </w:r>
      <w:r>
        <w:rPr>
          <w:rFonts w:cs="Arial Unicode MS" w:eastAsia="Arial Unicode MS"/>
          <w:rtl w:val="0"/>
        </w:rPr>
        <w:t>: 93</w:t>
      </w:r>
      <w:r>
        <w:rPr>
          <w:rFonts w:cs="Arial Unicode MS" w:eastAsia="Arial Unicode MS" w:hint="default"/>
          <w:rtl w:val="0"/>
        </w:rPr>
        <w:t>–</w:t>
      </w:r>
      <w:r>
        <w:rPr>
          <w:rFonts w:cs="Arial Unicode MS" w:eastAsia="Arial Unicode MS"/>
          <w:rtl w:val="0"/>
        </w:rPr>
        <w:t>121.</w:t>
      </w:r>
      <w:bookmarkEnd w:id="57"/>
    </w:p>
    <w:p>
      <w:pPr>
        <w:pStyle w:val="Body"/>
      </w:pPr>
      <w:bookmarkStart w:name="refKraus2016" w:id="58"/>
      <w:r>
        <w:rPr>
          <w:rFonts w:cs="Arial Unicode MS" w:eastAsia="Arial Unicode MS"/>
          <w:b w:val="1"/>
          <w:bCs w:val="1"/>
          <w:rtl w:val="0"/>
          <w:lang w:val="de-DE"/>
        </w:rPr>
        <w:t>Kraus F</w:t>
      </w:r>
      <w:r>
        <w:rPr>
          <w:rFonts w:cs="Arial Unicode MS" w:eastAsia="Arial Unicode MS"/>
          <w:rtl w:val="0"/>
        </w:rPr>
        <w:t xml:space="preserve">. </w:t>
      </w:r>
      <w:r>
        <w:rPr>
          <w:rFonts w:cs="Arial Unicode MS" w:eastAsia="Arial Unicode MS"/>
          <w:b w:val="1"/>
          <w:bCs w:val="1"/>
          <w:rtl w:val="0"/>
        </w:rPr>
        <w:t>2016</w:t>
      </w:r>
      <w:r>
        <w:rPr>
          <w:rFonts w:cs="Arial Unicode MS" w:eastAsia="Arial Unicode MS"/>
          <w:rtl w:val="0"/>
        </w:rPr>
        <w:t xml:space="preserve">. </w:t>
      </w:r>
      <w:r>
        <w:rPr>
          <w:rStyle w:val="Hyperlink.2"/>
        </w:rPr>
        <w:fldChar w:fldCharType="begin" w:fldLock="0"/>
      </w:r>
      <w:r>
        <w:rPr>
          <w:rStyle w:val="Hyperlink.2"/>
        </w:rPr>
        <w:instrText xml:space="preserve"> HYPERLINK "https://doi.org/10.11646/zootaxa.4195.1.1"</w:instrText>
      </w:r>
      <w:r>
        <w:rPr>
          <w:rStyle w:val="Hyperlink.2"/>
        </w:rPr>
        <w:fldChar w:fldCharType="separate" w:fldLock="0"/>
      </w:r>
      <w:r>
        <w:rPr>
          <w:rStyle w:val="Hyperlink.2"/>
          <w:rFonts w:cs="Arial Unicode MS" w:eastAsia="Arial Unicode MS"/>
          <w:rtl w:val="0"/>
          <w:lang w:val="en-US"/>
        </w:rPr>
        <w:t>Ten new species of oreophryne (anura, microhylidae) from papua new guinea</w:t>
      </w:r>
      <w:r>
        <w:rPr/>
        <w:fldChar w:fldCharType="end" w:fldLock="0"/>
      </w:r>
      <w:r>
        <w:rPr>
          <w:rFonts w:cs="Arial Unicode MS" w:eastAsia="Arial Unicode MS"/>
          <w:rtl w:val="0"/>
        </w:rPr>
        <w:t xml:space="preserve">. </w:t>
      </w:r>
      <w:r>
        <w:rPr>
          <w:rFonts w:cs="Arial Unicode MS" w:eastAsia="Arial Unicode MS"/>
          <w:i w:val="1"/>
          <w:iCs w:val="1"/>
          <w:rtl w:val="0"/>
          <w:lang w:val="pt-PT"/>
        </w:rPr>
        <w:t>Zootaxa</w:t>
      </w:r>
      <w:r>
        <w:rPr>
          <w:rFonts w:cs="Arial Unicode MS" w:eastAsia="Arial Unicode MS"/>
          <w:rtl w:val="0"/>
        </w:rPr>
        <w:t xml:space="preserve"> </w:t>
      </w:r>
      <w:r>
        <w:rPr>
          <w:rFonts w:cs="Arial Unicode MS" w:eastAsia="Arial Unicode MS"/>
          <w:b w:val="1"/>
          <w:bCs w:val="1"/>
          <w:rtl w:val="0"/>
        </w:rPr>
        <w:t>4195</w:t>
      </w:r>
      <w:r>
        <w:rPr>
          <w:rFonts w:cs="Arial Unicode MS" w:eastAsia="Arial Unicode MS"/>
          <w:rtl w:val="0"/>
        </w:rPr>
        <w:t>: 1</w:t>
      </w:r>
      <w:r>
        <w:rPr>
          <w:rFonts w:cs="Arial Unicode MS" w:eastAsia="Arial Unicode MS" w:hint="default"/>
          <w:rtl w:val="0"/>
        </w:rPr>
        <w:t>–</w:t>
      </w:r>
      <w:r>
        <w:rPr>
          <w:rFonts w:cs="Arial Unicode MS" w:eastAsia="Arial Unicode MS"/>
          <w:rtl w:val="0"/>
        </w:rPr>
        <w:t>68.</w:t>
      </w:r>
      <w:bookmarkEnd w:id="58"/>
    </w:p>
    <w:p>
      <w:pPr>
        <w:pStyle w:val="Body"/>
      </w:pPr>
      <w:bookmarkStart w:name="refKraus2017" w:id="59"/>
      <w:r>
        <w:rPr>
          <w:rFonts w:cs="Arial Unicode MS" w:eastAsia="Arial Unicode MS"/>
          <w:b w:val="1"/>
          <w:bCs w:val="1"/>
          <w:rtl w:val="0"/>
          <w:lang w:val="de-DE"/>
        </w:rPr>
        <w:t>Kraus F</w:t>
      </w:r>
      <w:r>
        <w:rPr>
          <w:rFonts w:cs="Arial Unicode MS" w:eastAsia="Arial Unicode MS"/>
          <w:rtl w:val="0"/>
        </w:rPr>
        <w:t xml:space="preserve">. </w:t>
      </w:r>
      <w:r>
        <w:rPr>
          <w:rFonts w:cs="Arial Unicode MS" w:eastAsia="Arial Unicode MS"/>
          <w:b w:val="1"/>
          <w:bCs w:val="1"/>
          <w:rtl w:val="0"/>
        </w:rPr>
        <w:t>2017</w:t>
      </w:r>
      <w:r>
        <w:rPr>
          <w:rFonts w:cs="Arial Unicode MS" w:eastAsia="Arial Unicode MS"/>
          <w:rtl w:val="0"/>
        </w:rPr>
        <w:t xml:space="preserve">. </w:t>
      </w:r>
      <w:r>
        <w:rPr>
          <w:rStyle w:val="Hyperlink.2"/>
        </w:rPr>
        <w:fldChar w:fldCharType="begin" w:fldLock="0"/>
      </w:r>
      <w:r>
        <w:rPr>
          <w:rStyle w:val="Hyperlink.2"/>
        </w:rPr>
        <w:instrText xml:space="preserve"> HYPERLINK "https://doi.org/10.1670/17-002"</w:instrText>
      </w:r>
      <w:r>
        <w:rPr>
          <w:rStyle w:val="Hyperlink.2"/>
        </w:rPr>
        <w:fldChar w:fldCharType="separate" w:fldLock="0"/>
      </w:r>
      <w:r>
        <w:rPr>
          <w:rStyle w:val="Hyperlink.2"/>
          <w:rFonts w:cs="Arial Unicode MS" w:eastAsia="Arial Unicode MS"/>
          <w:rtl w:val="0"/>
          <w:lang w:val="en-US"/>
        </w:rPr>
        <w:t>A new insular species of oreophryne (anura, microhylidae) from papua new guinea</w:t>
      </w:r>
      <w:r>
        <w:rPr/>
        <w:fldChar w:fldCharType="end" w:fldLock="0"/>
      </w:r>
      <w:r>
        <w:rPr>
          <w:rFonts w:cs="Arial Unicode MS" w:eastAsia="Arial Unicode MS"/>
          <w:rtl w:val="0"/>
        </w:rPr>
        <w:t xml:space="preserve">. </w:t>
      </w:r>
      <w:r>
        <w:rPr>
          <w:rFonts w:cs="Arial Unicode MS" w:eastAsia="Arial Unicode MS"/>
          <w:i w:val="1"/>
          <w:iCs w:val="1"/>
          <w:rtl w:val="0"/>
          <w:lang w:val="en-US"/>
        </w:rPr>
        <w:t>Journal of Herpetology</w:t>
      </w:r>
      <w:r>
        <w:rPr>
          <w:rFonts w:cs="Arial Unicode MS" w:eastAsia="Arial Unicode MS"/>
          <w:rtl w:val="0"/>
        </w:rPr>
        <w:t xml:space="preserve"> </w:t>
      </w:r>
      <w:r>
        <w:rPr>
          <w:rFonts w:cs="Arial Unicode MS" w:eastAsia="Arial Unicode MS"/>
          <w:b w:val="1"/>
          <w:bCs w:val="1"/>
          <w:rtl w:val="0"/>
        </w:rPr>
        <w:t>51</w:t>
      </w:r>
      <w:r>
        <w:rPr>
          <w:rFonts w:cs="Arial Unicode MS" w:eastAsia="Arial Unicode MS"/>
          <w:rtl w:val="0"/>
        </w:rPr>
        <w:t>: 552</w:t>
      </w:r>
      <w:r>
        <w:rPr>
          <w:rFonts w:cs="Arial Unicode MS" w:eastAsia="Arial Unicode MS" w:hint="default"/>
          <w:rtl w:val="0"/>
        </w:rPr>
        <w:t>–</w:t>
      </w:r>
      <w:r>
        <w:rPr>
          <w:rFonts w:cs="Arial Unicode MS" w:eastAsia="Arial Unicode MS"/>
          <w:rtl w:val="0"/>
        </w:rPr>
        <w:t>558.</w:t>
      </w:r>
      <w:bookmarkEnd w:id="59"/>
    </w:p>
    <w:p>
      <w:pPr>
        <w:pStyle w:val="Body"/>
      </w:pPr>
      <w:bookmarkStart w:name="refKraus2004" w:id="60"/>
      <w:r>
        <w:rPr>
          <w:rFonts w:cs="Arial Unicode MS" w:eastAsia="Arial Unicode MS"/>
          <w:b w:val="1"/>
          <w:bCs w:val="1"/>
          <w:rtl w:val="0"/>
        </w:rPr>
        <w:t>Kraus F &amp; Allison A</w:t>
      </w:r>
      <w:r>
        <w:rPr>
          <w:rFonts w:cs="Arial Unicode MS" w:eastAsia="Arial Unicode MS"/>
          <w:rtl w:val="0"/>
        </w:rPr>
        <w:t xml:space="preserve">. </w:t>
      </w:r>
      <w:r>
        <w:rPr>
          <w:rFonts w:cs="Arial Unicode MS" w:eastAsia="Arial Unicode MS"/>
          <w:b w:val="1"/>
          <w:bCs w:val="1"/>
          <w:rtl w:val="0"/>
        </w:rPr>
        <w:t>2004</w:t>
      </w:r>
      <w:r>
        <w:rPr>
          <w:rFonts w:cs="Arial Unicode MS" w:eastAsia="Arial Unicode MS"/>
          <w:rtl w:val="0"/>
          <w:lang w:val="en-US"/>
        </w:rPr>
        <w:t>. Notes on poorly known new guinea frogs. I. Microhylids from the d</w:t>
      </w:r>
      <w:r>
        <w:rPr>
          <w:rFonts w:cs="Arial Unicode MS" w:eastAsia="Arial Unicode MS" w:hint="default"/>
          <w:rtl w:val="1"/>
        </w:rPr>
        <w:t>’</w:t>
      </w:r>
      <w:r>
        <w:rPr>
          <w:rFonts w:cs="Arial Unicode MS" w:eastAsia="Arial Unicode MS"/>
          <w:rtl w:val="0"/>
          <w:lang w:val="fr-FR"/>
        </w:rPr>
        <w:t xml:space="preserve">entrecasteaux islands. </w:t>
      </w:r>
      <w:r>
        <w:rPr>
          <w:rFonts w:cs="Arial Unicode MS" w:eastAsia="Arial Unicode MS"/>
          <w:i w:val="1"/>
          <w:iCs w:val="1"/>
          <w:rtl w:val="0"/>
          <w:lang w:val="de-DE"/>
        </w:rPr>
        <w:t>HERPETOFAUNA-SYDNEY-</w:t>
      </w:r>
      <w:r>
        <w:rPr>
          <w:rFonts w:cs="Arial Unicode MS" w:eastAsia="Arial Unicode MS"/>
          <w:rtl w:val="0"/>
        </w:rPr>
        <w:t xml:space="preserve"> </w:t>
      </w:r>
      <w:r>
        <w:rPr>
          <w:rFonts w:cs="Arial Unicode MS" w:eastAsia="Arial Unicode MS"/>
          <w:b w:val="1"/>
          <w:bCs w:val="1"/>
          <w:rtl w:val="0"/>
          <w:lang w:val="ru-RU"/>
        </w:rPr>
        <w:t>34</w:t>
      </w:r>
      <w:r>
        <w:rPr>
          <w:rFonts w:cs="Arial Unicode MS" w:eastAsia="Arial Unicode MS"/>
          <w:rtl w:val="0"/>
        </w:rPr>
        <w:t>: 26</w:t>
      </w:r>
      <w:r>
        <w:rPr>
          <w:rFonts w:cs="Arial Unicode MS" w:eastAsia="Arial Unicode MS" w:hint="default"/>
          <w:rtl w:val="0"/>
        </w:rPr>
        <w:t>–</w:t>
      </w:r>
      <w:r>
        <w:rPr>
          <w:rFonts w:cs="Arial Unicode MS" w:eastAsia="Arial Unicode MS"/>
          <w:rtl w:val="0"/>
        </w:rPr>
        <w:t>39.</w:t>
      </w:r>
      <w:bookmarkEnd w:id="60"/>
    </w:p>
    <w:p>
      <w:pPr>
        <w:pStyle w:val="Body"/>
      </w:pPr>
      <w:bookmarkStart w:name="refKraus2009" w:id="61"/>
      <w:r>
        <w:rPr>
          <w:rFonts w:cs="Arial Unicode MS" w:eastAsia="Arial Unicode MS"/>
          <w:b w:val="1"/>
          <w:bCs w:val="1"/>
          <w:rtl w:val="0"/>
        </w:rPr>
        <w:t>Kraus F &amp; Allison A</w:t>
      </w:r>
      <w:r>
        <w:rPr>
          <w:rFonts w:cs="Arial Unicode MS" w:eastAsia="Arial Unicode MS"/>
          <w:rtl w:val="0"/>
        </w:rPr>
        <w:t xml:space="preserve">. </w:t>
      </w:r>
      <w:r>
        <w:rPr>
          <w:rFonts w:cs="Arial Unicode MS" w:eastAsia="Arial Unicode MS"/>
          <w:b w:val="1"/>
          <w:bCs w:val="1"/>
          <w:rtl w:val="0"/>
        </w:rPr>
        <w:t>2009</w:t>
      </w:r>
      <w:r>
        <w:rPr>
          <w:rFonts w:cs="Arial Unicode MS" w:eastAsia="Arial Unicode MS"/>
          <w:rtl w:val="0"/>
        </w:rPr>
        <w:t xml:space="preserve">. </w:t>
      </w:r>
      <w:r>
        <w:rPr>
          <w:rStyle w:val="Hyperlink.2"/>
        </w:rPr>
        <w:fldChar w:fldCharType="begin" w:fldLock="0"/>
      </w:r>
      <w:r>
        <w:rPr>
          <w:rStyle w:val="Hyperlink.2"/>
        </w:rPr>
        <w:instrText xml:space="preserve"> HYPERLINK "https://doi.org/10.3897/zookeys.26.258"</w:instrText>
      </w:r>
      <w:r>
        <w:rPr>
          <w:rStyle w:val="Hyperlink.2"/>
        </w:rPr>
        <w:fldChar w:fldCharType="separate" w:fldLock="0"/>
      </w:r>
      <w:r>
        <w:rPr>
          <w:rStyle w:val="Hyperlink.2"/>
          <w:rFonts w:cs="Arial Unicode MS" w:eastAsia="Arial Unicode MS"/>
          <w:rtl w:val="0"/>
          <w:lang w:val="en-US"/>
        </w:rPr>
        <w:t>New microhylid frogs from the muller range, papua new guinea</w:t>
      </w:r>
      <w:r>
        <w:rPr/>
        <w:fldChar w:fldCharType="end" w:fldLock="0"/>
      </w:r>
      <w:r>
        <w:rPr>
          <w:rFonts w:cs="Arial Unicode MS" w:eastAsia="Arial Unicode MS"/>
          <w:rtl w:val="0"/>
        </w:rPr>
        <w:t xml:space="preserve">. </w:t>
      </w:r>
      <w:r>
        <w:rPr>
          <w:rFonts w:cs="Arial Unicode MS" w:eastAsia="Arial Unicode MS"/>
          <w:i w:val="1"/>
          <w:iCs w:val="1"/>
          <w:rtl w:val="0"/>
          <w:lang w:val="en-US"/>
        </w:rPr>
        <w:t>ZooKeys</w:t>
      </w:r>
      <w:r>
        <w:rPr>
          <w:rFonts w:cs="Arial Unicode MS" w:eastAsia="Arial Unicode MS"/>
          <w:rtl w:val="0"/>
        </w:rPr>
        <w:t xml:space="preserve"> </w:t>
      </w:r>
      <w:r>
        <w:rPr>
          <w:rFonts w:cs="Arial Unicode MS" w:eastAsia="Arial Unicode MS"/>
          <w:b w:val="1"/>
          <w:bCs w:val="1"/>
          <w:rtl w:val="0"/>
        </w:rPr>
        <w:t>26</w:t>
      </w:r>
      <w:r>
        <w:rPr>
          <w:rFonts w:cs="Arial Unicode MS" w:eastAsia="Arial Unicode MS"/>
          <w:rtl w:val="0"/>
        </w:rPr>
        <w:t>: 53</w:t>
      </w:r>
      <w:r>
        <w:rPr>
          <w:rFonts w:cs="Arial Unicode MS" w:eastAsia="Arial Unicode MS" w:hint="default"/>
          <w:rtl w:val="0"/>
        </w:rPr>
        <w:t>–</w:t>
      </w:r>
      <w:r>
        <w:rPr>
          <w:rFonts w:cs="Arial Unicode MS" w:eastAsia="Arial Unicode MS"/>
          <w:rtl w:val="0"/>
        </w:rPr>
        <w:t>76.</w:t>
      </w:r>
      <w:bookmarkEnd w:id="61"/>
    </w:p>
    <w:p>
      <w:pPr>
        <w:pStyle w:val="Body"/>
      </w:pPr>
      <w:bookmarkStart w:name="refLanfear2012" w:id="62"/>
      <w:r>
        <w:rPr>
          <w:rFonts w:cs="Arial Unicode MS" w:eastAsia="Arial Unicode MS"/>
          <w:b w:val="1"/>
          <w:bCs w:val="1"/>
          <w:rtl w:val="0"/>
          <w:lang w:val="it-IT"/>
        </w:rPr>
        <w:t>Lanfear R, Calcott B, Ho SYW &amp; Guindon S</w:t>
      </w:r>
      <w:r>
        <w:rPr>
          <w:rFonts w:cs="Arial Unicode MS" w:eastAsia="Arial Unicode MS"/>
          <w:rtl w:val="0"/>
        </w:rPr>
        <w:t xml:space="preserve">. </w:t>
      </w:r>
      <w:r>
        <w:rPr>
          <w:rFonts w:cs="Arial Unicode MS" w:eastAsia="Arial Unicode MS"/>
          <w:b w:val="1"/>
          <w:bCs w:val="1"/>
          <w:rtl w:val="0"/>
        </w:rPr>
        <w:t>2012</w:t>
      </w:r>
      <w:r>
        <w:rPr>
          <w:rFonts w:cs="Arial Unicode MS" w:eastAsia="Arial Unicode MS"/>
          <w:rtl w:val="0"/>
        </w:rPr>
        <w:t xml:space="preserve">. </w:t>
      </w:r>
      <w:r>
        <w:rPr>
          <w:rStyle w:val="Hyperlink.2"/>
        </w:rPr>
        <w:fldChar w:fldCharType="begin" w:fldLock="0"/>
      </w:r>
      <w:r>
        <w:rPr>
          <w:rStyle w:val="Hyperlink.2"/>
        </w:rPr>
        <w:instrText xml:space="preserve"> HYPERLINK "https://doi.org/10.1093/molbev/mss020"</w:instrText>
      </w:r>
      <w:r>
        <w:rPr>
          <w:rStyle w:val="Hyperlink.2"/>
        </w:rPr>
        <w:fldChar w:fldCharType="separate" w:fldLock="0"/>
      </w:r>
      <w:r>
        <w:rPr>
          <w:rStyle w:val="Hyperlink.2"/>
          <w:rFonts w:cs="Arial Unicode MS" w:eastAsia="Arial Unicode MS"/>
          <w:rtl w:val="0"/>
          <w:lang w:val="en-US"/>
        </w:rPr>
        <w:t>PartitionFinder: Combined Selection of Partitioning Schemes and Substitution Models for Phylogenetic Analyses</w:t>
      </w:r>
      <w:r>
        <w:rPr/>
        <w:fldChar w:fldCharType="end" w:fldLock="0"/>
      </w:r>
      <w:r>
        <w:rPr>
          <w:rFonts w:cs="Arial Unicode MS" w:eastAsia="Arial Unicode MS"/>
          <w:rtl w:val="0"/>
        </w:rPr>
        <w:t xml:space="preserve">. </w:t>
      </w:r>
      <w:r>
        <w:rPr>
          <w:rFonts w:cs="Arial Unicode MS" w:eastAsia="Arial Unicode MS"/>
          <w:i w:val="1"/>
          <w:iCs w:val="1"/>
          <w:rtl w:val="0"/>
          <w:lang w:val="en-US"/>
        </w:rPr>
        <w:t>Molecular Biology and Evolution</w:t>
      </w:r>
      <w:r>
        <w:rPr>
          <w:rFonts w:cs="Arial Unicode MS" w:eastAsia="Arial Unicode MS"/>
          <w:rtl w:val="0"/>
        </w:rPr>
        <w:t xml:space="preserve"> </w:t>
      </w:r>
      <w:r>
        <w:rPr>
          <w:rFonts w:cs="Arial Unicode MS" w:eastAsia="Arial Unicode MS"/>
          <w:b w:val="1"/>
          <w:bCs w:val="1"/>
          <w:rtl w:val="0"/>
        </w:rPr>
        <w:t>29</w:t>
      </w:r>
      <w:r>
        <w:rPr>
          <w:rFonts w:cs="Arial Unicode MS" w:eastAsia="Arial Unicode MS"/>
          <w:rtl w:val="0"/>
        </w:rPr>
        <w:t>: 1695</w:t>
      </w:r>
      <w:r>
        <w:rPr>
          <w:rFonts w:cs="Arial Unicode MS" w:eastAsia="Arial Unicode MS" w:hint="default"/>
          <w:rtl w:val="0"/>
        </w:rPr>
        <w:t>–</w:t>
      </w:r>
      <w:r>
        <w:rPr>
          <w:rFonts w:cs="Arial Unicode MS" w:eastAsia="Arial Unicode MS"/>
          <w:rtl w:val="0"/>
        </w:rPr>
        <w:t>1701.</w:t>
      </w:r>
      <w:bookmarkEnd w:id="62"/>
    </w:p>
    <w:p>
      <w:pPr>
        <w:pStyle w:val="Body"/>
      </w:pPr>
      <w:bookmarkStart w:name="refLoveridge1955" w:id="63"/>
      <w:r>
        <w:rPr>
          <w:rFonts w:cs="Arial Unicode MS" w:eastAsia="Arial Unicode MS"/>
          <w:b w:val="1"/>
          <w:bCs w:val="1"/>
          <w:rtl w:val="0"/>
          <w:lang w:val="en-US"/>
        </w:rPr>
        <w:t>Loveridge A</w:t>
      </w:r>
      <w:r>
        <w:rPr>
          <w:rFonts w:cs="Arial Unicode MS" w:eastAsia="Arial Unicode MS"/>
          <w:rtl w:val="0"/>
        </w:rPr>
        <w:t xml:space="preserve">. </w:t>
      </w:r>
      <w:r>
        <w:rPr>
          <w:rFonts w:cs="Arial Unicode MS" w:eastAsia="Arial Unicode MS"/>
          <w:b w:val="1"/>
          <w:bCs w:val="1"/>
          <w:rtl w:val="0"/>
        </w:rPr>
        <w:t>1955</w:t>
      </w:r>
      <w:r>
        <w:rPr>
          <w:rFonts w:cs="Arial Unicode MS" w:eastAsia="Arial Unicode MS"/>
          <w:rtl w:val="0"/>
          <w:lang w:val="en-US"/>
        </w:rPr>
        <w:t xml:space="preserve">. New frogs of the genera asterophrys and oreophryne from new guinea. </w:t>
      </w:r>
      <w:r>
        <w:rPr>
          <w:rFonts w:cs="Arial Unicode MS" w:eastAsia="Arial Unicode MS"/>
          <w:i w:val="1"/>
          <w:iCs w:val="1"/>
          <w:rtl w:val="0"/>
          <w:lang w:val="en-US"/>
        </w:rPr>
        <w:t>Breviora. Museum of Comparative Zoology, Cambridge, Massachusetts</w:t>
      </w:r>
      <w:r>
        <w:rPr>
          <w:rFonts w:cs="Arial Unicode MS" w:eastAsia="Arial Unicode MS"/>
          <w:rtl w:val="0"/>
        </w:rPr>
        <w:t xml:space="preserve"> </w:t>
      </w:r>
      <w:r>
        <w:rPr>
          <w:rFonts w:cs="Arial Unicode MS" w:eastAsia="Arial Unicode MS"/>
          <w:b w:val="1"/>
          <w:bCs w:val="1"/>
          <w:rtl w:val="0"/>
        </w:rPr>
        <w:t>50</w:t>
      </w:r>
      <w:r>
        <w:rPr>
          <w:rFonts w:cs="Arial Unicode MS" w:eastAsia="Arial Unicode MS"/>
          <w:rtl w:val="0"/>
        </w:rPr>
        <w:t>: 1</w:t>
      </w:r>
      <w:r>
        <w:rPr>
          <w:rFonts w:cs="Arial Unicode MS" w:eastAsia="Arial Unicode MS" w:hint="default"/>
          <w:rtl w:val="0"/>
        </w:rPr>
        <w:t>–</w:t>
      </w:r>
      <w:r>
        <w:rPr>
          <w:rFonts w:cs="Arial Unicode MS" w:eastAsia="Arial Unicode MS"/>
          <w:rtl w:val="0"/>
        </w:rPr>
        <w:t>5.</w:t>
      </w:r>
      <w:bookmarkEnd w:id="63"/>
    </w:p>
    <w:p>
      <w:pPr>
        <w:pStyle w:val="Body"/>
      </w:pPr>
      <w:bookmarkStart w:name="refMaddison2023" w:id="64"/>
      <w:r>
        <w:rPr>
          <w:rFonts w:cs="Arial Unicode MS" w:eastAsia="Arial Unicode MS"/>
          <w:b w:val="1"/>
          <w:bCs w:val="1"/>
          <w:rtl w:val="0"/>
          <w:lang w:val="en-US"/>
        </w:rPr>
        <w:t>Maddison WP &amp; Maddison DR</w:t>
      </w:r>
      <w:r>
        <w:rPr>
          <w:rFonts w:cs="Arial Unicode MS" w:eastAsia="Arial Unicode MS"/>
          <w:rtl w:val="0"/>
        </w:rPr>
        <w:t xml:space="preserve">. </w:t>
      </w:r>
      <w:r>
        <w:rPr>
          <w:rFonts w:cs="Arial Unicode MS" w:eastAsia="Arial Unicode MS"/>
          <w:b w:val="1"/>
          <w:bCs w:val="1"/>
          <w:rtl w:val="0"/>
        </w:rPr>
        <w:t>2023</w:t>
      </w:r>
      <w:r>
        <w:rPr>
          <w:rFonts w:cs="Arial Unicode MS" w:eastAsia="Arial Unicode MS"/>
          <w:rtl w:val="0"/>
        </w:rPr>
        <w:t xml:space="preserve">. </w:t>
      </w:r>
      <w:r>
        <w:rPr>
          <w:rStyle w:val="Hyperlink.2"/>
        </w:rPr>
        <w:fldChar w:fldCharType="begin" w:fldLock="0"/>
      </w:r>
      <w:r>
        <w:rPr>
          <w:rStyle w:val="Hyperlink.2"/>
        </w:rPr>
        <w:instrText xml:space="preserve"> HYPERLINK "http://www.mesquiteproject.org"</w:instrText>
      </w:r>
      <w:r>
        <w:rPr>
          <w:rStyle w:val="Hyperlink.2"/>
        </w:rPr>
        <w:fldChar w:fldCharType="separate" w:fldLock="0"/>
      </w:r>
      <w:r>
        <w:rPr>
          <w:rStyle w:val="Hyperlink.2"/>
          <w:rFonts w:cs="Arial Unicode MS" w:eastAsia="Arial Unicode MS"/>
          <w:rtl w:val="0"/>
          <w:lang w:val="en-US"/>
        </w:rPr>
        <w:t>Mesquite: A modular system for evolutionary analysis</w:t>
      </w:r>
      <w:r>
        <w:rPr/>
        <w:fldChar w:fldCharType="end" w:fldLock="0"/>
      </w:r>
      <w:r>
        <w:rPr>
          <w:rFonts w:cs="Arial Unicode MS" w:eastAsia="Arial Unicode MS"/>
          <w:rtl w:val="0"/>
        </w:rPr>
        <w:t>.</w:t>
      </w:r>
      <w:bookmarkEnd w:id="64"/>
    </w:p>
    <w:p>
      <w:pPr>
        <w:pStyle w:val="Body"/>
      </w:pPr>
      <w:bookmarkStart w:name="refMassicotte2023" w:id="65"/>
      <w:r>
        <w:rPr>
          <w:rFonts w:cs="Arial Unicode MS" w:eastAsia="Arial Unicode MS"/>
          <w:b w:val="1"/>
          <w:bCs w:val="1"/>
          <w:rtl w:val="0"/>
          <w:lang w:val="it-IT"/>
        </w:rPr>
        <w:t>Massicotte P &amp; South A</w:t>
      </w:r>
      <w:r>
        <w:rPr>
          <w:rFonts w:cs="Arial Unicode MS" w:eastAsia="Arial Unicode MS"/>
          <w:rtl w:val="0"/>
        </w:rPr>
        <w:t xml:space="preserve">. </w:t>
      </w:r>
      <w:r>
        <w:rPr>
          <w:rFonts w:cs="Arial Unicode MS" w:eastAsia="Arial Unicode MS"/>
          <w:b w:val="1"/>
          <w:bCs w:val="1"/>
          <w:rtl w:val="0"/>
        </w:rPr>
        <w:t>2023</w:t>
      </w:r>
      <w:r>
        <w:rPr>
          <w:rFonts w:cs="Arial Unicode MS" w:eastAsia="Arial Unicode MS"/>
          <w:rtl w:val="0"/>
        </w:rPr>
        <w:t xml:space="preserve">. </w:t>
      </w:r>
      <w:r>
        <w:rPr>
          <w:rStyle w:val="Hyperlink.1"/>
        </w:rPr>
        <w:fldChar w:fldCharType="begin" w:fldLock="0"/>
      </w:r>
      <w:r>
        <w:rPr>
          <w:rStyle w:val="Hyperlink.1"/>
        </w:rPr>
        <w:instrText xml:space="preserve"> HYPERLINK "https://CRAN.R-project.org/package=rnaturalearth"</w:instrText>
      </w:r>
      <w:r>
        <w:rPr>
          <w:rStyle w:val="Hyperlink.1"/>
        </w:rPr>
        <w:fldChar w:fldCharType="separate" w:fldLock="0"/>
      </w:r>
      <w:r>
        <w:rPr>
          <w:rStyle w:val="Hyperlink.1"/>
          <w:rFonts w:cs="Arial Unicode MS" w:eastAsia="Arial Unicode MS"/>
          <w:rtl w:val="0"/>
          <w:lang w:val="en-US"/>
        </w:rPr>
        <w:t>Rnaturalearth: World map data from natural earth</w:t>
      </w:r>
      <w:r>
        <w:rPr/>
        <w:fldChar w:fldCharType="end" w:fldLock="0"/>
      </w:r>
      <w:r>
        <w:rPr>
          <w:rFonts w:cs="Arial Unicode MS" w:eastAsia="Arial Unicode MS"/>
          <w:rtl w:val="0"/>
        </w:rPr>
        <w:t>.</w:t>
      </w:r>
      <w:bookmarkEnd w:id="65"/>
    </w:p>
    <w:p>
      <w:pPr>
        <w:pStyle w:val="Body"/>
      </w:pPr>
      <w:bookmarkStart w:name="refMehely1897" w:id="66"/>
      <w:r>
        <w:rPr>
          <w:rFonts w:cs="Arial Unicode MS" w:eastAsia="Arial Unicode MS"/>
          <w:b w:val="1"/>
          <w:bCs w:val="1"/>
          <w:rtl w:val="0"/>
        </w:rPr>
        <w:t>M</w:t>
      </w:r>
      <w:r>
        <w:rPr>
          <w:rFonts w:cs="Arial Unicode MS" w:eastAsia="Arial Unicode MS" w:hint="default"/>
          <w:b w:val="1"/>
          <w:bCs w:val="1"/>
          <w:rtl w:val="0"/>
          <w:lang w:val="fr-FR"/>
        </w:rPr>
        <w:t>é</w:t>
      </w:r>
      <w:r>
        <w:rPr>
          <w:rFonts w:cs="Arial Unicode MS" w:eastAsia="Arial Unicode MS"/>
          <w:b w:val="1"/>
          <w:bCs w:val="1"/>
          <w:rtl w:val="0"/>
        </w:rPr>
        <w:t>hely L</w:t>
      </w:r>
      <w:r>
        <w:rPr>
          <w:rFonts w:cs="Arial Unicode MS" w:eastAsia="Arial Unicode MS"/>
          <w:rtl w:val="0"/>
        </w:rPr>
        <w:t xml:space="preserve">. </w:t>
      </w:r>
      <w:r>
        <w:rPr>
          <w:rFonts w:cs="Arial Unicode MS" w:eastAsia="Arial Unicode MS"/>
          <w:b w:val="1"/>
          <w:bCs w:val="1"/>
          <w:rtl w:val="0"/>
        </w:rPr>
        <w:t>1897</w:t>
      </w:r>
      <w:r>
        <w:rPr>
          <w:rFonts w:cs="Arial Unicode MS" w:eastAsia="Arial Unicode MS"/>
          <w:rtl w:val="0"/>
          <w:lang w:val="en-US"/>
        </w:rPr>
        <w:t xml:space="preserve">. Further contributions to the herpetology of new-guinea. </w:t>
      </w:r>
      <w:r>
        <w:rPr>
          <w:rFonts w:cs="Arial Unicode MS" w:eastAsia="Arial Unicode MS"/>
          <w:i w:val="1"/>
          <w:iCs w:val="1"/>
          <w:rtl w:val="0"/>
          <w:lang w:val="it-IT"/>
        </w:rPr>
        <w:t>Term</w:t>
      </w:r>
      <w:r>
        <w:rPr>
          <w:rFonts w:cs="Arial Unicode MS" w:eastAsia="Arial Unicode MS" w:hint="default"/>
          <w:i w:val="1"/>
          <w:iCs w:val="1"/>
          <w:rtl w:val="0"/>
          <w:lang w:val="fr-FR"/>
        </w:rPr>
        <w:t>é</w:t>
      </w:r>
      <w:r>
        <w:rPr>
          <w:rFonts w:cs="Arial Unicode MS" w:eastAsia="Arial Unicode MS"/>
          <w:i w:val="1"/>
          <w:iCs w:val="1"/>
          <w:rtl w:val="0"/>
        </w:rPr>
        <w:t>szetrajzi F</w:t>
      </w:r>
      <w:r>
        <w:rPr>
          <w:rFonts w:cs="Arial Unicode MS" w:eastAsia="Arial Unicode MS" w:hint="default"/>
          <w:i w:val="1"/>
          <w:iCs w:val="1"/>
          <w:rtl w:val="0"/>
        </w:rPr>
        <w:t>ü</w:t>
      </w:r>
      <w:r>
        <w:rPr>
          <w:rFonts w:cs="Arial Unicode MS" w:eastAsia="Arial Unicode MS"/>
          <w:i w:val="1"/>
          <w:iCs w:val="1"/>
          <w:rtl w:val="0"/>
        </w:rPr>
        <w:t>zetek</w:t>
      </w:r>
      <w:r>
        <w:rPr>
          <w:rFonts w:cs="Arial Unicode MS" w:eastAsia="Arial Unicode MS"/>
          <w:rtl w:val="0"/>
        </w:rPr>
        <w:t xml:space="preserve"> </w:t>
      </w:r>
      <w:r>
        <w:rPr>
          <w:rFonts w:cs="Arial Unicode MS" w:eastAsia="Arial Unicode MS"/>
          <w:b w:val="1"/>
          <w:bCs w:val="1"/>
          <w:rtl w:val="0"/>
        </w:rPr>
        <w:t>20</w:t>
      </w:r>
      <w:r>
        <w:rPr>
          <w:rFonts w:cs="Arial Unicode MS" w:eastAsia="Arial Unicode MS"/>
          <w:rtl w:val="0"/>
        </w:rPr>
        <w:t>: 398</w:t>
      </w:r>
      <w:r>
        <w:rPr>
          <w:rFonts w:cs="Arial Unicode MS" w:eastAsia="Arial Unicode MS" w:hint="default"/>
          <w:rtl w:val="0"/>
        </w:rPr>
        <w:t>–</w:t>
      </w:r>
      <w:r>
        <w:rPr>
          <w:rFonts w:cs="Arial Unicode MS" w:eastAsia="Arial Unicode MS"/>
          <w:rtl w:val="0"/>
        </w:rPr>
        <w:t>419.</w:t>
      </w:r>
      <w:bookmarkEnd w:id="66"/>
    </w:p>
    <w:p>
      <w:pPr>
        <w:pStyle w:val="Body"/>
      </w:pPr>
      <w:bookmarkStart w:name="refMenzies2006" w:id="67"/>
      <w:r>
        <w:rPr>
          <w:rFonts w:cs="Arial Unicode MS" w:eastAsia="Arial Unicode MS"/>
          <w:b w:val="1"/>
          <w:bCs w:val="1"/>
          <w:rtl w:val="0"/>
          <w:lang w:val="de-DE"/>
        </w:rPr>
        <w:t>Menzies J</w:t>
      </w:r>
      <w:r>
        <w:rPr>
          <w:rFonts w:cs="Arial Unicode MS" w:eastAsia="Arial Unicode MS"/>
          <w:rtl w:val="0"/>
        </w:rPr>
        <w:t xml:space="preserve">. </w:t>
      </w:r>
      <w:r>
        <w:rPr>
          <w:rFonts w:cs="Arial Unicode MS" w:eastAsia="Arial Unicode MS"/>
          <w:b w:val="1"/>
          <w:bCs w:val="1"/>
          <w:rtl w:val="0"/>
        </w:rPr>
        <w:t>2006</w:t>
      </w:r>
      <w:r>
        <w:rPr>
          <w:rFonts w:cs="Arial Unicode MS" w:eastAsia="Arial Unicode MS"/>
          <w:rtl w:val="0"/>
        </w:rPr>
        <w:t xml:space="preserve">. </w:t>
      </w:r>
      <w:r>
        <w:rPr>
          <w:rFonts w:cs="Arial Unicode MS" w:eastAsia="Arial Unicode MS"/>
          <w:i w:val="1"/>
          <w:iCs w:val="1"/>
          <w:rtl w:val="0"/>
          <w:lang w:val="en-US"/>
        </w:rPr>
        <w:t>The frogs of new guinea and the solomon islands</w:t>
      </w:r>
      <w:r>
        <w:rPr>
          <w:rFonts w:cs="Arial Unicode MS" w:eastAsia="Arial Unicode MS"/>
          <w:rtl w:val="0"/>
          <w:lang w:val="en-US"/>
        </w:rPr>
        <w:t>. Pensoft Publishers.</w:t>
      </w:r>
      <w:bookmarkEnd w:id="67"/>
    </w:p>
    <w:p>
      <w:pPr>
        <w:pStyle w:val="Body"/>
      </w:pPr>
      <w:bookmarkStart w:name="refMinh2020" w:id="68"/>
      <w:r>
        <w:rPr>
          <w:rFonts w:cs="Arial Unicode MS" w:eastAsia="Arial Unicode MS"/>
          <w:b w:val="1"/>
          <w:bCs w:val="1"/>
          <w:rtl w:val="0"/>
          <w:lang w:val="de-DE"/>
        </w:rPr>
        <w:t>Minh BQ, Schmidt HA, Chernomor O, Schrempf D, Woodhams MD, Haeseler A von &amp; Lanfear R</w:t>
      </w:r>
      <w:r>
        <w:rPr>
          <w:rFonts w:cs="Arial Unicode MS" w:eastAsia="Arial Unicode MS"/>
          <w:rtl w:val="0"/>
        </w:rPr>
        <w:t xml:space="preserve">. </w:t>
      </w:r>
      <w:r>
        <w:rPr>
          <w:rFonts w:cs="Arial Unicode MS" w:eastAsia="Arial Unicode MS"/>
          <w:b w:val="1"/>
          <w:bCs w:val="1"/>
          <w:rtl w:val="0"/>
        </w:rPr>
        <w:t>2020</w:t>
      </w:r>
      <w:r>
        <w:rPr>
          <w:rFonts w:cs="Arial Unicode MS" w:eastAsia="Arial Unicode MS"/>
          <w:rtl w:val="0"/>
        </w:rPr>
        <w:t xml:space="preserve">. </w:t>
      </w:r>
      <w:r>
        <w:rPr>
          <w:rStyle w:val="Hyperlink.2"/>
        </w:rPr>
        <w:fldChar w:fldCharType="begin" w:fldLock="0"/>
      </w:r>
      <w:r>
        <w:rPr>
          <w:rStyle w:val="Hyperlink.2"/>
        </w:rPr>
        <w:instrText xml:space="preserve"> HYPERLINK "https://doi.org/10.1093/molbev/msaa015"</w:instrText>
      </w:r>
      <w:r>
        <w:rPr>
          <w:rStyle w:val="Hyperlink.2"/>
        </w:rPr>
        <w:fldChar w:fldCharType="separate" w:fldLock="0"/>
      </w:r>
      <w:r>
        <w:rPr>
          <w:rStyle w:val="Hyperlink.2"/>
          <w:rFonts w:cs="Arial Unicode MS" w:eastAsia="Arial Unicode MS"/>
          <w:rtl w:val="0"/>
          <w:lang w:val="en-US"/>
        </w:rPr>
        <w:t>IQ-TREE 2: New models and efficient methods for phylogenetic inference in the genomic era</w:t>
      </w:r>
      <w:r>
        <w:rPr/>
        <w:fldChar w:fldCharType="end" w:fldLock="0"/>
      </w:r>
      <w:r>
        <w:rPr>
          <w:rFonts w:cs="Arial Unicode MS" w:eastAsia="Arial Unicode MS"/>
          <w:rtl w:val="0"/>
        </w:rPr>
        <w:t xml:space="preserve">. </w:t>
      </w:r>
      <w:r>
        <w:rPr>
          <w:rFonts w:cs="Arial Unicode MS" w:eastAsia="Arial Unicode MS"/>
          <w:i w:val="1"/>
          <w:iCs w:val="1"/>
          <w:rtl w:val="0"/>
          <w:lang w:val="en-US"/>
        </w:rPr>
        <w:t>Molecular Biology and Evolution</w:t>
      </w:r>
      <w:r>
        <w:rPr>
          <w:rFonts w:cs="Arial Unicode MS" w:eastAsia="Arial Unicode MS"/>
          <w:rtl w:val="0"/>
        </w:rPr>
        <w:t xml:space="preserve"> </w:t>
      </w:r>
      <w:r>
        <w:rPr>
          <w:rFonts w:cs="Arial Unicode MS" w:eastAsia="Arial Unicode MS"/>
          <w:b w:val="1"/>
          <w:bCs w:val="1"/>
          <w:rtl w:val="0"/>
        </w:rPr>
        <w:t>37</w:t>
      </w:r>
      <w:r>
        <w:rPr>
          <w:rFonts w:cs="Arial Unicode MS" w:eastAsia="Arial Unicode MS"/>
          <w:rtl w:val="0"/>
        </w:rPr>
        <w:t>: 1530</w:t>
      </w:r>
      <w:r>
        <w:rPr>
          <w:rFonts w:cs="Arial Unicode MS" w:eastAsia="Arial Unicode MS" w:hint="default"/>
          <w:rtl w:val="0"/>
        </w:rPr>
        <w:t>–</w:t>
      </w:r>
      <w:r>
        <w:rPr>
          <w:rFonts w:cs="Arial Unicode MS" w:eastAsia="Arial Unicode MS"/>
          <w:rtl w:val="0"/>
        </w:rPr>
        <w:t>1534.</w:t>
      </w:r>
      <w:bookmarkEnd w:id="68"/>
    </w:p>
    <w:p>
      <w:pPr>
        <w:pStyle w:val="Body"/>
      </w:pPr>
      <w:bookmarkStart w:name="refMuller1894" w:id="69"/>
      <w:r>
        <w:rPr>
          <w:rFonts w:cs="Arial Unicode MS" w:eastAsia="Arial Unicode MS"/>
          <w:b w:val="1"/>
          <w:bCs w:val="1"/>
          <w:rtl w:val="0"/>
        </w:rPr>
        <w:t>M</w:t>
      </w:r>
      <w:r>
        <w:rPr>
          <w:rFonts w:cs="Arial Unicode MS" w:eastAsia="Arial Unicode MS" w:hint="default"/>
          <w:b w:val="1"/>
          <w:bCs w:val="1"/>
          <w:rtl w:val="0"/>
        </w:rPr>
        <w:t>ü</w:t>
      </w:r>
      <w:r>
        <w:rPr>
          <w:rFonts w:cs="Arial Unicode MS" w:eastAsia="Arial Unicode MS"/>
          <w:b w:val="1"/>
          <w:bCs w:val="1"/>
          <w:rtl w:val="0"/>
          <w:lang w:val="de-DE"/>
        </w:rPr>
        <w:t>ller F</w:t>
      </w:r>
      <w:r>
        <w:rPr>
          <w:rFonts w:cs="Arial Unicode MS" w:eastAsia="Arial Unicode MS"/>
          <w:rtl w:val="0"/>
        </w:rPr>
        <w:t xml:space="preserve">. </w:t>
      </w:r>
      <w:r>
        <w:rPr>
          <w:rFonts w:cs="Arial Unicode MS" w:eastAsia="Arial Unicode MS"/>
          <w:b w:val="1"/>
          <w:bCs w:val="1"/>
          <w:rtl w:val="0"/>
        </w:rPr>
        <w:t>1894</w:t>
      </w:r>
      <w:r>
        <w:rPr>
          <w:rFonts w:cs="Arial Unicode MS" w:eastAsia="Arial Unicode MS"/>
          <w:rtl w:val="0"/>
          <w:lang w:val="de-DE"/>
        </w:rPr>
        <w:t xml:space="preserve">. Reptilien und amphibien aus celebes. </w:t>
      </w:r>
      <w:r>
        <w:rPr>
          <w:rFonts w:cs="Arial Unicode MS" w:eastAsia="Arial Unicode MS"/>
          <w:i w:val="1"/>
          <w:iCs w:val="1"/>
          <w:rtl w:val="0"/>
          <w:lang w:val="de-DE"/>
        </w:rPr>
        <w:t>Verhandlungen der Naturforschenden Gesellschaft in Basel</w:t>
      </w:r>
      <w:r>
        <w:rPr>
          <w:rFonts w:cs="Arial Unicode MS" w:eastAsia="Arial Unicode MS"/>
          <w:rtl w:val="0"/>
        </w:rPr>
        <w:t xml:space="preserve"> </w:t>
      </w:r>
      <w:r>
        <w:rPr>
          <w:rFonts w:cs="Arial Unicode MS" w:eastAsia="Arial Unicode MS"/>
          <w:b w:val="1"/>
          <w:bCs w:val="1"/>
          <w:rtl w:val="0"/>
        </w:rPr>
        <w:t>10</w:t>
      </w:r>
      <w:r>
        <w:rPr>
          <w:rFonts w:cs="Arial Unicode MS" w:eastAsia="Arial Unicode MS"/>
          <w:rtl w:val="0"/>
        </w:rPr>
        <w:t>: 825</w:t>
      </w:r>
      <w:r>
        <w:rPr>
          <w:rFonts w:cs="Arial Unicode MS" w:eastAsia="Arial Unicode MS" w:hint="default"/>
          <w:rtl w:val="0"/>
        </w:rPr>
        <w:t>–</w:t>
      </w:r>
      <w:r>
        <w:rPr>
          <w:rFonts w:cs="Arial Unicode MS" w:eastAsia="Arial Unicode MS"/>
          <w:rtl w:val="0"/>
        </w:rPr>
        <w:t>843.</w:t>
      </w:r>
      <w:bookmarkEnd w:id="69"/>
    </w:p>
    <w:p>
      <w:pPr>
        <w:pStyle w:val="Body"/>
      </w:pPr>
      <w:bookmarkStart w:name="refNieden1926" w:id="70"/>
      <w:r>
        <w:rPr>
          <w:rFonts w:cs="Arial Unicode MS" w:eastAsia="Arial Unicode MS"/>
          <w:b w:val="1"/>
          <w:bCs w:val="1"/>
          <w:rtl w:val="0"/>
          <w:lang w:val="de-DE"/>
        </w:rPr>
        <w:t>Nieden F</w:t>
      </w:r>
      <w:r>
        <w:rPr>
          <w:rFonts w:cs="Arial Unicode MS" w:eastAsia="Arial Unicode MS"/>
          <w:rtl w:val="0"/>
        </w:rPr>
        <w:t xml:space="preserve">. </w:t>
      </w:r>
      <w:r>
        <w:rPr>
          <w:rFonts w:cs="Arial Unicode MS" w:eastAsia="Arial Unicode MS"/>
          <w:b w:val="1"/>
          <w:bCs w:val="1"/>
          <w:rtl w:val="0"/>
        </w:rPr>
        <w:t>1926</w:t>
      </w:r>
      <w:r>
        <w:rPr>
          <w:rFonts w:cs="Arial Unicode MS" w:eastAsia="Arial Unicode MS"/>
          <w:rtl w:val="0"/>
        </w:rPr>
        <w:t xml:space="preserve">. Anura II. engystomatidae. </w:t>
      </w:r>
      <w:r>
        <w:rPr>
          <w:rFonts w:cs="Arial Unicode MS" w:eastAsia="Arial Unicode MS"/>
          <w:i w:val="1"/>
          <w:iCs w:val="1"/>
          <w:rtl w:val="0"/>
          <w:lang w:val="de-DE"/>
        </w:rPr>
        <w:t>Das Tierreich</w:t>
      </w:r>
      <w:r>
        <w:rPr>
          <w:rFonts w:cs="Arial Unicode MS" w:eastAsia="Arial Unicode MS"/>
          <w:rtl w:val="0"/>
        </w:rPr>
        <w:t xml:space="preserve"> </w:t>
      </w:r>
      <w:r>
        <w:rPr>
          <w:rFonts w:cs="Arial Unicode MS" w:eastAsia="Arial Unicode MS"/>
          <w:b w:val="1"/>
          <w:bCs w:val="1"/>
          <w:rtl w:val="0"/>
        </w:rPr>
        <w:t>49</w:t>
      </w:r>
      <w:r>
        <w:rPr>
          <w:rFonts w:cs="Arial Unicode MS" w:eastAsia="Arial Unicode MS"/>
          <w:rtl w:val="0"/>
        </w:rPr>
        <w:t>: 1</w:t>
      </w:r>
      <w:r>
        <w:rPr>
          <w:rFonts w:cs="Arial Unicode MS" w:eastAsia="Arial Unicode MS" w:hint="default"/>
          <w:rtl w:val="0"/>
        </w:rPr>
        <w:t>–</w:t>
      </w:r>
      <w:r>
        <w:rPr>
          <w:rFonts w:cs="Arial Unicode MS" w:eastAsia="Arial Unicode MS"/>
          <w:rtl w:val="0"/>
        </w:rPr>
        <w:t>110.</w:t>
      </w:r>
      <w:bookmarkEnd w:id="70"/>
    </w:p>
    <w:p>
      <w:pPr>
        <w:pStyle w:val="Body"/>
      </w:pPr>
      <w:bookmarkStart w:name="refParker1934" w:id="71"/>
      <w:r>
        <w:rPr>
          <w:rFonts w:cs="Arial Unicode MS" w:eastAsia="Arial Unicode MS"/>
          <w:b w:val="1"/>
          <w:bCs w:val="1"/>
          <w:rtl w:val="0"/>
        </w:rPr>
        <w:t>Parker HW</w:t>
      </w:r>
      <w:r>
        <w:rPr>
          <w:rFonts w:cs="Arial Unicode MS" w:eastAsia="Arial Unicode MS"/>
          <w:rtl w:val="0"/>
        </w:rPr>
        <w:t xml:space="preserve">. </w:t>
      </w:r>
      <w:r>
        <w:rPr>
          <w:rFonts w:cs="Arial Unicode MS" w:eastAsia="Arial Unicode MS"/>
          <w:b w:val="1"/>
          <w:bCs w:val="1"/>
          <w:rtl w:val="0"/>
        </w:rPr>
        <w:t>1934</w:t>
      </w:r>
      <w:r>
        <w:rPr>
          <w:rFonts w:cs="Arial Unicode MS" w:eastAsia="Arial Unicode MS"/>
          <w:rtl w:val="0"/>
          <w:lang w:val="en-US"/>
        </w:rPr>
        <w:t xml:space="preserve">. A monograph of the frogs of the family microhylidae. </w:t>
      </w:r>
      <w:r>
        <w:rPr>
          <w:rFonts w:cs="Arial Unicode MS" w:eastAsia="Arial Unicode MS"/>
          <w:i w:val="1"/>
          <w:iCs w:val="1"/>
          <w:rtl w:val="0"/>
          <w:lang w:val="en-US"/>
        </w:rPr>
        <w:t>London: Trustees of the British Museum</w:t>
      </w:r>
      <w:r>
        <w:rPr>
          <w:rFonts w:cs="Arial Unicode MS" w:eastAsia="Arial Unicode MS"/>
          <w:rtl w:val="0"/>
        </w:rPr>
        <w:t>.</w:t>
      </w:r>
      <w:bookmarkEnd w:id="71"/>
    </w:p>
    <w:p>
      <w:pPr>
        <w:pStyle w:val="Body"/>
      </w:pPr>
      <w:bookmarkStart w:name="refPebesma2018" w:id="72"/>
      <w:r>
        <w:rPr>
          <w:rFonts w:cs="Arial Unicode MS" w:eastAsia="Arial Unicode MS"/>
          <w:b w:val="1"/>
          <w:bCs w:val="1"/>
          <w:rtl w:val="0"/>
        </w:rPr>
        <w:t>Pebesma E</w:t>
      </w:r>
      <w:r>
        <w:rPr>
          <w:rFonts w:cs="Arial Unicode MS" w:eastAsia="Arial Unicode MS"/>
          <w:rtl w:val="0"/>
        </w:rPr>
        <w:t xml:space="preserve">. </w:t>
      </w:r>
      <w:r>
        <w:rPr>
          <w:rFonts w:cs="Arial Unicode MS" w:eastAsia="Arial Unicode MS"/>
          <w:b w:val="1"/>
          <w:bCs w:val="1"/>
          <w:rtl w:val="0"/>
        </w:rPr>
        <w:t>2018</w:t>
      </w:r>
      <w:r>
        <w:rPr>
          <w:rFonts w:cs="Arial Unicode MS" w:eastAsia="Arial Unicode MS"/>
          <w:rtl w:val="0"/>
        </w:rPr>
        <w:t xml:space="preserve">. </w:t>
      </w:r>
      <w:r>
        <w:rPr>
          <w:rStyle w:val="Hyperlink.2"/>
        </w:rPr>
        <w:fldChar w:fldCharType="begin" w:fldLock="0"/>
      </w:r>
      <w:r>
        <w:rPr>
          <w:rStyle w:val="Hyperlink.2"/>
        </w:rPr>
        <w:instrText xml:space="preserve"> HYPERLINK "https://doi.org/10.32614/RJ-2018-009"</w:instrText>
      </w:r>
      <w:r>
        <w:rPr>
          <w:rStyle w:val="Hyperlink.2"/>
        </w:rPr>
        <w:fldChar w:fldCharType="separate" w:fldLock="0"/>
      </w:r>
      <w:r>
        <w:rPr>
          <w:rStyle w:val="Hyperlink.2"/>
          <w:rFonts w:cs="Arial Unicode MS" w:eastAsia="Arial Unicode MS"/>
          <w:rtl w:val="0"/>
          <w:lang w:val="en-US"/>
        </w:rPr>
        <w:t>Simple Features for R: Standardized Support for Spatial Vector Data</w:t>
      </w:r>
      <w:r>
        <w:rPr/>
        <w:fldChar w:fldCharType="end" w:fldLock="0"/>
      </w:r>
      <w:r>
        <w:rPr>
          <w:rFonts w:cs="Arial Unicode MS" w:eastAsia="Arial Unicode MS"/>
          <w:rtl w:val="0"/>
        </w:rPr>
        <w:t xml:space="preserve">. </w:t>
      </w:r>
      <w:r>
        <w:rPr>
          <w:rFonts w:cs="Arial Unicode MS" w:eastAsia="Arial Unicode MS"/>
          <w:i w:val="1"/>
          <w:iCs w:val="1"/>
          <w:rtl w:val="0"/>
          <w:lang w:val="en-US"/>
        </w:rPr>
        <w:t>The R Journal</w:t>
      </w:r>
      <w:r>
        <w:rPr>
          <w:rFonts w:cs="Arial Unicode MS" w:eastAsia="Arial Unicode MS"/>
          <w:rtl w:val="0"/>
        </w:rPr>
        <w:t xml:space="preserve"> </w:t>
      </w:r>
      <w:r>
        <w:rPr>
          <w:rFonts w:cs="Arial Unicode MS" w:eastAsia="Arial Unicode MS"/>
          <w:b w:val="1"/>
          <w:bCs w:val="1"/>
          <w:rtl w:val="0"/>
        </w:rPr>
        <w:t>10</w:t>
      </w:r>
      <w:r>
        <w:rPr>
          <w:rFonts w:cs="Arial Unicode MS" w:eastAsia="Arial Unicode MS"/>
          <w:rtl w:val="0"/>
        </w:rPr>
        <w:t>: 439</w:t>
      </w:r>
      <w:r>
        <w:rPr>
          <w:rFonts w:cs="Arial Unicode MS" w:eastAsia="Arial Unicode MS" w:hint="default"/>
          <w:rtl w:val="0"/>
        </w:rPr>
        <w:t>–</w:t>
      </w:r>
      <w:r>
        <w:rPr>
          <w:rFonts w:cs="Arial Unicode MS" w:eastAsia="Arial Unicode MS"/>
          <w:rtl w:val="0"/>
        </w:rPr>
        <w:t>446.</w:t>
      </w:r>
      <w:bookmarkEnd w:id="72"/>
    </w:p>
    <w:p>
      <w:pPr>
        <w:pStyle w:val="Body"/>
      </w:pPr>
      <w:bookmarkStart w:name="refPeters1878" w:id="73"/>
      <w:r>
        <w:rPr>
          <w:rFonts w:cs="Arial Unicode MS" w:eastAsia="Arial Unicode MS"/>
          <w:b w:val="1"/>
          <w:bCs w:val="1"/>
          <w:rtl w:val="0"/>
          <w:lang w:val="en-US"/>
        </w:rPr>
        <w:t>Peters WCH &amp; Doria G</w:t>
      </w:r>
      <w:r>
        <w:rPr>
          <w:rFonts w:cs="Arial Unicode MS" w:eastAsia="Arial Unicode MS"/>
          <w:rtl w:val="0"/>
        </w:rPr>
        <w:t xml:space="preserve">. </w:t>
      </w:r>
      <w:r>
        <w:rPr>
          <w:rFonts w:cs="Arial Unicode MS" w:eastAsia="Arial Unicode MS"/>
          <w:b w:val="1"/>
          <w:bCs w:val="1"/>
          <w:rtl w:val="0"/>
        </w:rPr>
        <w:t>1878</w:t>
      </w:r>
      <w:r>
        <w:rPr>
          <w:rFonts w:cs="Arial Unicode MS" w:eastAsia="Arial Unicode MS"/>
          <w:rtl w:val="0"/>
          <w:lang w:val="it-IT"/>
        </w:rPr>
        <w:t>. Catalogo dei rettili e dei batraci raccolti da o. Beccari, l.m. D</w:t>
      </w:r>
      <w:r>
        <w:rPr>
          <w:rFonts w:cs="Arial Unicode MS" w:eastAsia="Arial Unicode MS" w:hint="default"/>
          <w:rtl w:val="1"/>
        </w:rPr>
        <w:t>’</w:t>
      </w:r>
      <w:r>
        <w:rPr>
          <w:rFonts w:cs="Arial Unicode MS" w:eastAsia="Arial Unicode MS"/>
          <w:rtl w:val="0"/>
          <w:lang w:val="it-IT"/>
        </w:rPr>
        <w:t xml:space="preserve">albertis a.a. Bruijn nella sotto-regione austro-malese. </w:t>
      </w:r>
      <w:r>
        <w:rPr>
          <w:rFonts w:cs="Arial Unicode MS" w:eastAsia="Arial Unicode MS"/>
          <w:i w:val="1"/>
          <w:iCs w:val="1"/>
          <w:rtl w:val="0"/>
          <w:lang w:val="it-IT"/>
        </w:rPr>
        <w:t>Annali del Museo civico di storia naturale di Genova</w:t>
      </w:r>
      <w:r>
        <w:rPr>
          <w:rFonts w:cs="Arial Unicode MS" w:eastAsia="Arial Unicode MS"/>
          <w:rtl w:val="0"/>
        </w:rPr>
        <w:t xml:space="preserve"> </w:t>
      </w:r>
      <w:r>
        <w:rPr>
          <w:rFonts w:cs="Arial Unicode MS" w:eastAsia="Arial Unicode MS"/>
          <w:b w:val="1"/>
          <w:bCs w:val="1"/>
          <w:rtl w:val="0"/>
        </w:rPr>
        <w:t>13</w:t>
      </w:r>
      <w:r>
        <w:rPr>
          <w:rFonts w:cs="Arial Unicode MS" w:eastAsia="Arial Unicode MS"/>
          <w:rtl w:val="0"/>
        </w:rPr>
        <w:t>: 323</w:t>
      </w:r>
      <w:r>
        <w:rPr>
          <w:rFonts w:cs="Arial Unicode MS" w:eastAsia="Arial Unicode MS" w:hint="default"/>
          <w:rtl w:val="0"/>
        </w:rPr>
        <w:t>–</w:t>
      </w:r>
      <w:r>
        <w:rPr>
          <w:rFonts w:cs="Arial Unicode MS" w:eastAsia="Arial Unicode MS"/>
          <w:rtl w:val="0"/>
        </w:rPr>
        <w:t>450.</w:t>
      </w:r>
      <w:bookmarkEnd w:id="73"/>
    </w:p>
    <w:p>
      <w:pPr>
        <w:pStyle w:val="Body"/>
      </w:pPr>
      <w:bookmarkStart w:name="refPutri2023" w:id="74"/>
      <w:r>
        <w:rPr>
          <w:rFonts w:cs="Arial Unicode MS" w:eastAsia="Arial Unicode MS"/>
          <w:b w:val="1"/>
          <w:bCs w:val="1"/>
          <w:rtl w:val="0"/>
        </w:rPr>
        <w:t>Putri A, TRILAKSONO W, KURNIATI H, Hitch A, Jr A, Widayati K, Farajallah A &amp; Hamidy A</w:t>
      </w:r>
      <w:r>
        <w:rPr>
          <w:rFonts w:cs="Arial Unicode MS" w:eastAsia="Arial Unicode MS"/>
          <w:rtl w:val="0"/>
        </w:rPr>
        <w:t xml:space="preserve">. </w:t>
      </w:r>
      <w:r>
        <w:rPr>
          <w:rFonts w:cs="Arial Unicode MS" w:eastAsia="Arial Unicode MS"/>
          <w:b w:val="1"/>
          <w:bCs w:val="1"/>
          <w:rtl w:val="0"/>
        </w:rPr>
        <w:t>2023</w:t>
      </w:r>
      <w:r>
        <w:rPr>
          <w:rFonts w:cs="Arial Unicode MS" w:eastAsia="Arial Unicode MS"/>
          <w:rtl w:val="0"/>
        </w:rPr>
        <w:t xml:space="preserve">. </w:t>
      </w:r>
      <w:r>
        <w:rPr>
          <w:rStyle w:val="Hyperlink.2"/>
        </w:rPr>
        <w:fldChar w:fldCharType="begin" w:fldLock="0"/>
      </w:r>
      <w:r>
        <w:rPr>
          <w:rStyle w:val="Hyperlink.2"/>
        </w:rPr>
        <w:instrText xml:space="preserve"> HYPERLINK "https://doi.org/10.11646/zootaxa.5353.5.4"</w:instrText>
      </w:r>
      <w:r>
        <w:rPr>
          <w:rStyle w:val="Hyperlink.2"/>
        </w:rPr>
        <w:fldChar w:fldCharType="separate" w:fldLock="0"/>
      </w:r>
      <w:r>
        <w:rPr>
          <w:rStyle w:val="Hyperlink.2"/>
          <w:rFonts w:cs="Arial Unicode MS" w:eastAsia="Arial Unicode MS"/>
          <w:rtl w:val="0"/>
          <w:lang w:val="en-US"/>
        </w:rPr>
        <w:t>A new high elevation species of oreophryne boettger (anura: Microhylidae) from sulawesi, indonesia</w:t>
      </w:r>
      <w:r>
        <w:rPr/>
        <w:fldChar w:fldCharType="end" w:fldLock="0"/>
      </w:r>
      <w:r>
        <w:rPr>
          <w:rFonts w:cs="Arial Unicode MS" w:eastAsia="Arial Unicode MS"/>
          <w:rtl w:val="0"/>
        </w:rPr>
        <w:t xml:space="preserve">. </w:t>
      </w:r>
      <w:r>
        <w:rPr>
          <w:rFonts w:cs="Arial Unicode MS" w:eastAsia="Arial Unicode MS"/>
          <w:i w:val="1"/>
          <w:iCs w:val="1"/>
          <w:rtl w:val="0"/>
          <w:lang w:val="pt-PT"/>
        </w:rPr>
        <w:t>Zootaxa</w:t>
      </w:r>
      <w:r>
        <w:rPr>
          <w:rFonts w:cs="Arial Unicode MS" w:eastAsia="Arial Unicode MS"/>
          <w:rtl w:val="0"/>
        </w:rPr>
        <w:t xml:space="preserve"> </w:t>
      </w:r>
      <w:r>
        <w:rPr>
          <w:rFonts w:cs="Arial Unicode MS" w:eastAsia="Arial Unicode MS"/>
          <w:b w:val="1"/>
          <w:bCs w:val="1"/>
          <w:rtl w:val="0"/>
        </w:rPr>
        <w:t>5353</w:t>
      </w:r>
      <w:r>
        <w:rPr>
          <w:rFonts w:cs="Arial Unicode MS" w:eastAsia="Arial Unicode MS"/>
          <w:rtl w:val="0"/>
        </w:rPr>
        <w:t>: 455</w:t>
      </w:r>
      <w:r>
        <w:rPr>
          <w:rFonts w:cs="Arial Unicode MS" w:eastAsia="Arial Unicode MS" w:hint="default"/>
          <w:rtl w:val="0"/>
        </w:rPr>
        <w:t>–</w:t>
      </w:r>
      <w:r>
        <w:rPr>
          <w:rFonts w:cs="Arial Unicode MS" w:eastAsia="Arial Unicode MS"/>
          <w:rtl w:val="0"/>
        </w:rPr>
        <w:t>467.</w:t>
      </w:r>
      <w:bookmarkEnd w:id="74"/>
    </w:p>
    <w:p>
      <w:pPr>
        <w:pStyle w:val="Body"/>
      </w:pPr>
      <w:bookmarkStart w:name="refR2024" w:id="75"/>
      <w:r>
        <w:rPr>
          <w:rFonts w:cs="Arial Unicode MS" w:eastAsia="Arial Unicode MS"/>
          <w:b w:val="1"/>
          <w:bCs w:val="1"/>
          <w:rtl w:val="0"/>
          <w:lang w:val="de-DE"/>
        </w:rPr>
        <w:t>R Core Team</w:t>
      </w:r>
      <w:r>
        <w:rPr>
          <w:rFonts w:cs="Arial Unicode MS" w:eastAsia="Arial Unicode MS"/>
          <w:rtl w:val="0"/>
        </w:rPr>
        <w:t xml:space="preserve">. </w:t>
      </w:r>
      <w:r>
        <w:rPr>
          <w:rFonts w:cs="Arial Unicode MS" w:eastAsia="Arial Unicode MS"/>
          <w:b w:val="1"/>
          <w:bCs w:val="1"/>
          <w:rtl w:val="0"/>
          <w:lang w:val="en-US"/>
        </w:rPr>
        <w:t>2024</w:t>
      </w:r>
      <w:r>
        <w:rPr>
          <w:rFonts w:cs="Arial Unicode MS" w:eastAsia="Arial Unicode MS"/>
          <w:rtl w:val="0"/>
        </w:rPr>
        <w:t xml:space="preserve">. </w:t>
      </w:r>
      <w:r>
        <w:rPr>
          <w:rStyle w:val="Hyperlink.1"/>
        </w:rPr>
        <w:fldChar w:fldCharType="begin" w:fldLock="0"/>
      </w:r>
      <w:r>
        <w:rPr>
          <w:rStyle w:val="Hyperlink.1"/>
        </w:rPr>
        <w:instrText xml:space="preserve"> HYPERLINK "https://www.R-project.org/"</w:instrText>
      </w:r>
      <w:r>
        <w:rPr>
          <w:rStyle w:val="Hyperlink.1"/>
        </w:rPr>
        <w:fldChar w:fldCharType="separate" w:fldLock="0"/>
      </w:r>
      <w:r>
        <w:rPr>
          <w:rStyle w:val="Hyperlink.1"/>
          <w:rFonts w:cs="Arial Unicode MS" w:eastAsia="Arial Unicode MS"/>
          <w:rtl w:val="0"/>
          <w:lang w:val="en-US"/>
        </w:rPr>
        <w:t>R: A language and environment for statistical computing</w:t>
      </w:r>
      <w:r>
        <w:rPr/>
        <w:fldChar w:fldCharType="end" w:fldLock="0"/>
      </w:r>
      <w:r>
        <w:rPr>
          <w:rFonts w:cs="Arial Unicode MS" w:eastAsia="Arial Unicode MS"/>
          <w:rtl w:val="0"/>
          <w:lang w:val="en-US"/>
        </w:rPr>
        <w:t>. Vienna, Austria: R Foundation for Statistical Computing.</w:t>
      </w:r>
      <w:bookmarkEnd w:id="75"/>
    </w:p>
    <w:p>
      <w:pPr>
        <w:pStyle w:val="Body"/>
      </w:pPr>
      <w:bookmarkStart w:name="refRivera2017" w:id="76"/>
      <w:r>
        <w:rPr>
          <w:rFonts w:cs="Arial Unicode MS" w:eastAsia="Arial Unicode MS"/>
          <w:b w:val="1"/>
          <w:bCs w:val="1"/>
          <w:rtl w:val="0"/>
          <w:lang w:val="en-US"/>
        </w:rPr>
        <w:t>Rivera JA, Kraus F, Allison A &amp; Butler MA</w:t>
      </w:r>
      <w:r>
        <w:rPr>
          <w:rFonts w:cs="Arial Unicode MS" w:eastAsia="Arial Unicode MS"/>
          <w:rtl w:val="0"/>
        </w:rPr>
        <w:t xml:space="preserve">. </w:t>
      </w:r>
      <w:r>
        <w:rPr>
          <w:rFonts w:cs="Arial Unicode MS" w:eastAsia="Arial Unicode MS"/>
          <w:b w:val="1"/>
          <w:bCs w:val="1"/>
          <w:rtl w:val="0"/>
        </w:rPr>
        <w:t>2017</w:t>
      </w:r>
      <w:r>
        <w:rPr>
          <w:rFonts w:cs="Arial Unicode MS" w:eastAsia="Arial Unicode MS"/>
          <w:rtl w:val="0"/>
        </w:rPr>
        <w:t xml:space="preserve">. </w:t>
      </w:r>
      <w:r>
        <w:rPr>
          <w:rStyle w:val="Hyperlink.2"/>
        </w:rPr>
        <w:fldChar w:fldCharType="begin" w:fldLock="0"/>
      </w:r>
      <w:r>
        <w:rPr>
          <w:rStyle w:val="Hyperlink.2"/>
        </w:rPr>
        <w:instrText xml:space="preserve"> HYPERLINK "https://doi.org/10.1016/j.ympev.2017.04.008"</w:instrText>
      </w:r>
      <w:r>
        <w:rPr>
          <w:rStyle w:val="Hyperlink.2"/>
        </w:rPr>
        <w:fldChar w:fldCharType="separate" w:fldLock="0"/>
      </w:r>
      <w:r>
        <w:rPr>
          <w:rStyle w:val="Hyperlink.2"/>
          <w:rFonts w:cs="Arial Unicode MS" w:eastAsia="Arial Unicode MS"/>
          <w:rtl w:val="0"/>
          <w:lang w:val="en-US"/>
        </w:rPr>
        <w:t>Molecular phylogenetics and dating of the problematic new guinea microhylid frogs (amphibia: Anura) reveals elevated speciation rates and need for taxonomic reclassification</w:t>
      </w:r>
      <w:r>
        <w:rPr/>
        <w:fldChar w:fldCharType="end" w:fldLock="0"/>
      </w:r>
      <w:r>
        <w:rPr>
          <w:rFonts w:cs="Arial Unicode MS" w:eastAsia="Arial Unicode MS"/>
          <w:rtl w:val="0"/>
        </w:rPr>
        <w:t xml:space="preserve">. </w:t>
      </w:r>
      <w:r>
        <w:rPr>
          <w:rFonts w:cs="Arial Unicode MS" w:eastAsia="Arial Unicode MS"/>
          <w:i w:val="1"/>
          <w:iCs w:val="1"/>
          <w:rtl w:val="0"/>
          <w:lang w:val="en-US"/>
        </w:rPr>
        <w:t>Molecular Phylogenetics and Evolution</w:t>
      </w:r>
      <w:r>
        <w:rPr>
          <w:rFonts w:cs="Arial Unicode MS" w:eastAsia="Arial Unicode MS"/>
          <w:rtl w:val="0"/>
        </w:rPr>
        <w:t xml:space="preserve"> </w:t>
      </w:r>
      <w:r>
        <w:rPr>
          <w:rFonts w:cs="Arial Unicode MS" w:eastAsia="Arial Unicode MS"/>
          <w:b w:val="1"/>
          <w:bCs w:val="1"/>
          <w:rtl w:val="0"/>
        </w:rPr>
        <w:t>112</w:t>
      </w:r>
      <w:r>
        <w:rPr>
          <w:rFonts w:cs="Arial Unicode MS" w:eastAsia="Arial Unicode MS"/>
          <w:rtl w:val="0"/>
        </w:rPr>
        <w:t>: 1</w:t>
      </w:r>
      <w:r>
        <w:rPr>
          <w:rFonts w:cs="Arial Unicode MS" w:eastAsia="Arial Unicode MS" w:hint="default"/>
          <w:rtl w:val="0"/>
        </w:rPr>
        <w:t>–</w:t>
      </w:r>
      <w:r>
        <w:rPr>
          <w:rFonts w:cs="Arial Unicode MS" w:eastAsia="Arial Unicode MS"/>
          <w:rtl w:val="0"/>
        </w:rPr>
        <w:t>11.</w:t>
      </w:r>
      <w:bookmarkEnd w:id="76"/>
    </w:p>
    <w:p>
      <w:pPr>
        <w:pStyle w:val="Body"/>
      </w:pPr>
      <w:bookmarkStart w:name="refSetiadi2010" w:id="77"/>
      <w:r>
        <w:rPr>
          <w:rFonts w:cs="Arial Unicode MS" w:eastAsia="Arial Unicode MS"/>
          <w:b w:val="1"/>
          <w:bCs w:val="1"/>
          <w:rtl w:val="0"/>
          <w:lang w:val="it-IT"/>
        </w:rPr>
        <w:t>Setiadi MI, Hamidy A, Abidin Z, Susanto D, Brown RM, Peterson AT, Li X &amp; Evans BJ</w:t>
      </w:r>
      <w:r>
        <w:rPr>
          <w:rFonts w:cs="Arial Unicode MS" w:eastAsia="Arial Unicode MS"/>
          <w:rtl w:val="0"/>
        </w:rPr>
        <w:t xml:space="preserve">. </w:t>
      </w:r>
      <w:r>
        <w:rPr>
          <w:rFonts w:cs="Arial Unicode MS" w:eastAsia="Arial Unicode MS"/>
          <w:b w:val="1"/>
          <w:bCs w:val="1"/>
          <w:rtl w:val="0"/>
        </w:rPr>
        <w:t>2010</w:t>
      </w:r>
      <w:r>
        <w:rPr>
          <w:rFonts w:cs="Arial Unicode MS" w:eastAsia="Arial Unicode MS"/>
          <w:rtl w:val="0"/>
        </w:rPr>
        <w:t xml:space="preserve">. </w:t>
      </w:r>
      <w:r>
        <w:rPr>
          <w:rStyle w:val="Hyperlink.2"/>
        </w:rPr>
        <w:fldChar w:fldCharType="begin" w:fldLock="0"/>
      </w:r>
      <w:r>
        <w:rPr>
          <w:rStyle w:val="Hyperlink.2"/>
        </w:rPr>
        <w:instrText xml:space="preserve"> HYPERLINK "https://doi.org/10.1111/j.1523-1739.2009.01384.x"</w:instrText>
      </w:r>
      <w:r>
        <w:rPr>
          <w:rStyle w:val="Hyperlink.2"/>
        </w:rPr>
        <w:fldChar w:fldCharType="separate" w:fldLock="0"/>
      </w:r>
      <w:r>
        <w:rPr>
          <w:rStyle w:val="Hyperlink.2"/>
          <w:rFonts w:cs="Arial Unicode MS" w:eastAsia="Arial Unicode MS"/>
          <w:rtl w:val="0"/>
          <w:lang w:val="en-US"/>
        </w:rPr>
        <w:t>Genetic structure of herpetofauna on halmahera island, indonesia: Implications for aketajawe-lolobata national park</w:t>
      </w:r>
      <w:r>
        <w:rPr/>
        <w:fldChar w:fldCharType="end" w:fldLock="0"/>
      </w:r>
      <w:r>
        <w:rPr>
          <w:rFonts w:cs="Arial Unicode MS" w:eastAsia="Arial Unicode MS"/>
          <w:rtl w:val="0"/>
        </w:rPr>
        <w:t xml:space="preserve">. </w:t>
      </w:r>
      <w:r>
        <w:rPr>
          <w:rFonts w:cs="Arial Unicode MS" w:eastAsia="Arial Unicode MS"/>
          <w:i w:val="1"/>
          <w:iCs w:val="1"/>
          <w:rtl w:val="0"/>
          <w:lang w:val="en-US"/>
        </w:rPr>
        <w:t>Conservation Biology</w:t>
      </w:r>
      <w:r>
        <w:rPr>
          <w:rFonts w:cs="Arial Unicode MS" w:eastAsia="Arial Unicode MS"/>
          <w:rtl w:val="0"/>
        </w:rPr>
        <w:t xml:space="preserve"> </w:t>
      </w:r>
      <w:r>
        <w:rPr>
          <w:rFonts w:cs="Arial Unicode MS" w:eastAsia="Arial Unicode MS"/>
          <w:b w:val="1"/>
          <w:bCs w:val="1"/>
          <w:rtl w:val="0"/>
        </w:rPr>
        <w:t>24</w:t>
      </w:r>
      <w:r>
        <w:rPr>
          <w:rFonts w:cs="Arial Unicode MS" w:eastAsia="Arial Unicode MS"/>
          <w:rtl w:val="0"/>
        </w:rPr>
        <w:t>: 553</w:t>
      </w:r>
      <w:r>
        <w:rPr>
          <w:rFonts w:cs="Arial Unicode MS" w:eastAsia="Arial Unicode MS" w:hint="default"/>
          <w:rtl w:val="0"/>
        </w:rPr>
        <w:t>–</w:t>
      </w:r>
      <w:r>
        <w:rPr>
          <w:rFonts w:cs="Arial Unicode MS" w:eastAsia="Arial Unicode MS"/>
          <w:rtl w:val="0"/>
        </w:rPr>
        <w:t>562.</w:t>
      </w:r>
      <w:bookmarkEnd w:id="77"/>
    </w:p>
    <w:p>
      <w:pPr>
        <w:pStyle w:val="Body"/>
      </w:pPr>
      <w:bookmarkStart w:name="refSoliz2025" w:id="78"/>
      <w:r>
        <w:rPr>
          <w:rFonts w:cs="Arial Unicode MS" w:eastAsia="Arial Unicode MS"/>
          <w:b w:val="1"/>
          <w:bCs w:val="1"/>
          <w:rtl w:val="0"/>
        </w:rPr>
        <w:t>Soliz MC, Abdala V &amp; Tulli MJ</w:t>
      </w:r>
      <w:r>
        <w:rPr>
          <w:rFonts w:cs="Arial Unicode MS" w:eastAsia="Arial Unicode MS"/>
          <w:rtl w:val="0"/>
        </w:rPr>
        <w:t xml:space="preserve">. </w:t>
      </w:r>
      <w:r>
        <w:rPr>
          <w:rFonts w:cs="Arial Unicode MS" w:eastAsia="Arial Unicode MS"/>
          <w:b w:val="1"/>
          <w:bCs w:val="1"/>
          <w:rtl w:val="0"/>
        </w:rPr>
        <w:t>2025</w:t>
      </w:r>
      <w:r>
        <w:rPr>
          <w:rFonts w:cs="Arial Unicode MS" w:eastAsia="Arial Unicode MS"/>
          <w:rtl w:val="0"/>
        </w:rPr>
        <w:t xml:space="preserve">. </w:t>
      </w:r>
      <w:r>
        <w:rPr>
          <w:rStyle w:val="Hyperlink.2"/>
        </w:rPr>
        <w:fldChar w:fldCharType="begin" w:fldLock="0"/>
      </w:r>
      <w:r>
        <w:rPr>
          <w:rStyle w:val="Hyperlink.2"/>
        </w:rPr>
        <w:instrText xml:space="preserve"> HYPERLINK "https://doi.org/10.1111/azo.12494"</w:instrText>
      </w:r>
      <w:r>
        <w:rPr>
          <w:rStyle w:val="Hyperlink.2"/>
        </w:rPr>
        <w:fldChar w:fldCharType="separate" w:fldLock="0"/>
      </w:r>
      <w:r>
        <w:rPr>
          <w:rStyle w:val="Hyperlink.2"/>
          <w:rFonts w:cs="Arial Unicode MS" w:eastAsia="Arial Unicode MS"/>
          <w:rtl w:val="0"/>
          <w:lang w:val="en-US"/>
        </w:rPr>
        <w:t>The ecological drivers of variation in pectoral girdle anatomy in frogs</w:t>
      </w:r>
      <w:r>
        <w:rPr/>
        <w:fldChar w:fldCharType="end" w:fldLock="0"/>
      </w:r>
      <w:r>
        <w:rPr>
          <w:rFonts w:cs="Arial Unicode MS" w:eastAsia="Arial Unicode MS"/>
          <w:rtl w:val="0"/>
        </w:rPr>
        <w:t xml:space="preserve">. </w:t>
      </w:r>
      <w:r>
        <w:rPr>
          <w:rFonts w:cs="Arial Unicode MS" w:eastAsia="Arial Unicode MS"/>
          <w:i w:val="1"/>
          <w:iCs w:val="1"/>
          <w:rtl w:val="0"/>
          <w:lang w:val="pt-PT"/>
        </w:rPr>
        <w:t>Acta Zoologica</w:t>
      </w:r>
      <w:r>
        <w:rPr>
          <w:rFonts w:cs="Arial Unicode MS" w:eastAsia="Arial Unicode MS"/>
          <w:rtl w:val="0"/>
        </w:rPr>
        <w:t xml:space="preserve"> </w:t>
      </w:r>
      <w:r>
        <w:rPr>
          <w:rFonts w:cs="Arial Unicode MS" w:eastAsia="Arial Unicode MS"/>
          <w:b w:val="1"/>
          <w:bCs w:val="1"/>
          <w:rtl w:val="0"/>
        </w:rPr>
        <w:t>106</w:t>
      </w:r>
      <w:r>
        <w:rPr>
          <w:rFonts w:cs="Arial Unicode MS" w:eastAsia="Arial Unicode MS"/>
          <w:rtl w:val="0"/>
        </w:rPr>
        <w:t>: 38</w:t>
      </w:r>
      <w:r>
        <w:rPr>
          <w:rFonts w:cs="Arial Unicode MS" w:eastAsia="Arial Unicode MS" w:hint="default"/>
          <w:rtl w:val="0"/>
        </w:rPr>
        <w:t>–</w:t>
      </w:r>
      <w:r>
        <w:rPr>
          <w:rFonts w:cs="Arial Unicode MS" w:eastAsia="Arial Unicode MS"/>
          <w:rtl w:val="0"/>
        </w:rPr>
        <w:t>54.</w:t>
      </w:r>
      <w:bookmarkEnd w:id="78"/>
    </w:p>
    <w:p>
      <w:pPr>
        <w:pStyle w:val="Body"/>
      </w:pPr>
      <w:bookmarkStart w:name="refStejneger1908" w:id="79"/>
      <w:r>
        <w:rPr>
          <w:rFonts w:cs="Arial Unicode MS" w:eastAsia="Arial Unicode MS"/>
          <w:b w:val="1"/>
          <w:bCs w:val="1"/>
          <w:rtl w:val="0"/>
        </w:rPr>
        <w:t>Stejneger L</w:t>
      </w:r>
      <w:r>
        <w:rPr>
          <w:rFonts w:cs="Arial Unicode MS" w:eastAsia="Arial Unicode MS"/>
          <w:rtl w:val="0"/>
        </w:rPr>
        <w:t xml:space="preserve">. </w:t>
      </w:r>
      <w:r>
        <w:rPr>
          <w:rFonts w:cs="Arial Unicode MS" w:eastAsia="Arial Unicode MS"/>
          <w:b w:val="1"/>
          <w:bCs w:val="1"/>
          <w:rtl w:val="0"/>
        </w:rPr>
        <w:t>1908</w:t>
      </w:r>
      <w:r>
        <w:rPr>
          <w:rFonts w:cs="Arial Unicode MS" w:eastAsia="Arial Unicode MS"/>
          <w:rtl w:val="0"/>
          <w:lang w:val="en-US"/>
        </w:rPr>
        <w:t xml:space="preserve">. Two new species of toads from the philippines. </w:t>
      </w:r>
      <w:r>
        <w:rPr>
          <w:rFonts w:cs="Arial Unicode MS" w:eastAsia="Arial Unicode MS"/>
          <w:i w:val="1"/>
          <w:iCs w:val="1"/>
          <w:rtl w:val="0"/>
          <w:lang w:val="en-US"/>
        </w:rPr>
        <w:t>Proceedings of the United States National Museum</w:t>
      </w:r>
      <w:r>
        <w:rPr>
          <w:rFonts w:cs="Arial Unicode MS" w:eastAsia="Arial Unicode MS"/>
          <w:rtl w:val="0"/>
        </w:rPr>
        <w:t xml:space="preserve"> </w:t>
      </w:r>
      <w:r>
        <w:rPr>
          <w:rFonts w:cs="Arial Unicode MS" w:eastAsia="Arial Unicode MS"/>
          <w:b w:val="1"/>
          <w:bCs w:val="1"/>
          <w:rtl w:val="0"/>
        </w:rPr>
        <w:t>33</w:t>
      </w:r>
      <w:r>
        <w:rPr>
          <w:rFonts w:cs="Arial Unicode MS" w:eastAsia="Arial Unicode MS"/>
          <w:rtl w:val="0"/>
        </w:rPr>
        <w:t>: 573</w:t>
      </w:r>
      <w:r>
        <w:rPr>
          <w:rFonts w:cs="Arial Unicode MS" w:eastAsia="Arial Unicode MS" w:hint="default"/>
          <w:rtl w:val="0"/>
        </w:rPr>
        <w:t>–</w:t>
      </w:r>
      <w:r>
        <w:rPr>
          <w:rFonts w:cs="Arial Unicode MS" w:eastAsia="Arial Unicode MS"/>
          <w:rtl w:val="0"/>
        </w:rPr>
        <w:t>576.</w:t>
      </w:r>
      <w:bookmarkEnd w:id="79"/>
    </w:p>
    <w:p>
      <w:pPr>
        <w:pStyle w:val="Body"/>
      </w:pPr>
      <w:bookmarkStart w:name="refTu2018" w:id="80"/>
      <w:r>
        <w:rPr>
          <w:rFonts w:cs="Arial Unicode MS" w:eastAsia="Arial Unicode MS"/>
          <w:b w:val="1"/>
          <w:bCs w:val="1"/>
          <w:rtl w:val="0"/>
        </w:rPr>
        <w:t>Tu N, Yang M, Liang D &amp; Zhang P</w:t>
      </w:r>
      <w:r>
        <w:rPr>
          <w:rFonts w:cs="Arial Unicode MS" w:eastAsia="Arial Unicode MS"/>
          <w:rtl w:val="0"/>
        </w:rPr>
        <w:t xml:space="preserve">. </w:t>
      </w:r>
      <w:r>
        <w:rPr>
          <w:rFonts w:cs="Arial Unicode MS" w:eastAsia="Arial Unicode MS"/>
          <w:b w:val="1"/>
          <w:bCs w:val="1"/>
          <w:rtl w:val="0"/>
        </w:rPr>
        <w:t>2018</w:t>
      </w:r>
      <w:r>
        <w:rPr>
          <w:rFonts w:cs="Arial Unicode MS" w:eastAsia="Arial Unicode MS"/>
          <w:rtl w:val="0"/>
        </w:rPr>
        <w:t xml:space="preserve">. </w:t>
      </w:r>
      <w:r>
        <w:rPr>
          <w:rStyle w:val="Hyperlink.2"/>
        </w:rPr>
        <w:fldChar w:fldCharType="begin" w:fldLock="0"/>
      </w:r>
      <w:r>
        <w:rPr>
          <w:rStyle w:val="Hyperlink.2"/>
        </w:rPr>
        <w:instrText xml:space="preserve"> HYPERLINK "https://doi.org/10.1016/j.ympev.2018.03.036"</w:instrText>
      </w:r>
      <w:r>
        <w:rPr>
          <w:rStyle w:val="Hyperlink.2"/>
        </w:rPr>
        <w:fldChar w:fldCharType="separate" w:fldLock="0"/>
      </w:r>
      <w:r>
        <w:rPr>
          <w:rStyle w:val="Hyperlink.2"/>
          <w:rFonts w:cs="Arial Unicode MS" w:eastAsia="Arial Unicode MS"/>
          <w:rtl w:val="0"/>
          <w:lang w:val="en-US"/>
        </w:rPr>
        <w:t>A large-scale phylogeny of microhylidae inferred from a combined dataset of 121 genes and 427 taxa</w:t>
      </w:r>
      <w:r>
        <w:rPr/>
        <w:fldChar w:fldCharType="end" w:fldLock="0"/>
      </w:r>
      <w:r>
        <w:rPr>
          <w:rFonts w:cs="Arial Unicode MS" w:eastAsia="Arial Unicode MS"/>
          <w:rtl w:val="0"/>
        </w:rPr>
        <w:t xml:space="preserve">. </w:t>
      </w:r>
      <w:r>
        <w:rPr>
          <w:rFonts w:cs="Arial Unicode MS" w:eastAsia="Arial Unicode MS"/>
          <w:i w:val="1"/>
          <w:iCs w:val="1"/>
          <w:rtl w:val="0"/>
          <w:lang w:val="da-DK"/>
        </w:rPr>
        <w:t>Mol Phylogenet Evol</w:t>
      </w:r>
      <w:r>
        <w:rPr>
          <w:rFonts w:cs="Arial Unicode MS" w:eastAsia="Arial Unicode MS"/>
          <w:rtl w:val="0"/>
        </w:rPr>
        <w:t xml:space="preserve"> </w:t>
      </w:r>
      <w:r>
        <w:rPr>
          <w:rFonts w:cs="Arial Unicode MS" w:eastAsia="Arial Unicode MS"/>
          <w:b w:val="1"/>
          <w:bCs w:val="1"/>
          <w:rtl w:val="0"/>
        </w:rPr>
        <w:t>126</w:t>
      </w:r>
      <w:r>
        <w:rPr>
          <w:rFonts w:cs="Arial Unicode MS" w:eastAsia="Arial Unicode MS"/>
          <w:rtl w:val="0"/>
        </w:rPr>
        <w:t>: 85</w:t>
      </w:r>
      <w:r>
        <w:rPr>
          <w:rFonts w:cs="Arial Unicode MS" w:eastAsia="Arial Unicode MS" w:hint="default"/>
          <w:rtl w:val="0"/>
        </w:rPr>
        <w:t>–</w:t>
      </w:r>
      <w:r>
        <w:rPr>
          <w:rFonts w:cs="Arial Unicode MS" w:eastAsia="Arial Unicode MS"/>
          <w:rtl w:val="0"/>
        </w:rPr>
        <w:t>91.</w:t>
      </w:r>
      <w:bookmarkEnd w:id="80"/>
    </w:p>
    <w:p>
      <w:pPr>
        <w:pStyle w:val="Body"/>
      </w:pPr>
      <w:bookmarkStart w:name="refWandolleck1911" w:id="81"/>
      <w:r>
        <w:rPr>
          <w:rFonts w:cs="Arial Unicode MS" w:eastAsia="Arial Unicode MS"/>
          <w:b w:val="1"/>
          <w:bCs w:val="1"/>
          <w:rtl w:val="0"/>
          <w:lang w:val="en-US"/>
        </w:rPr>
        <w:t>Wandolleck Benno</w:t>
      </w:r>
      <w:r>
        <w:rPr>
          <w:rFonts w:cs="Arial Unicode MS" w:eastAsia="Arial Unicode MS"/>
          <w:rtl w:val="0"/>
        </w:rPr>
        <w:t xml:space="preserve">. </w:t>
      </w:r>
      <w:r>
        <w:rPr>
          <w:rFonts w:cs="Arial Unicode MS" w:eastAsia="Arial Unicode MS"/>
          <w:b w:val="1"/>
          <w:bCs w:val="1"/>
          <w:rtl w:val="0"/>
        </w:rPr>
        <w:t>1911</w:t>
      </w:r>
      <w:r>
        <w:rPr>
          <w:rFonts w:cs="Arial Unicode MS" w:eastAsia="Arial Unicode MS"/>
          <w:rtl w:val="0"/>
        </w:rPr>
        <w:t xml:space="preserve">. </w:t>
      </w:r>
      <w:r>
        <w:rPr>
          <w:rStyle w:val="Hyperlink.2"/>
        </w:rPr>
        <w:fldChar w:fldCharType="begin" w:fldLock="0"/>
      </w:r>
      <w:r>
        <w:rPr>
          <w:rStyle w:val="Hyperlink.2"/>
        </w:rPr>
        <w:instrText xml:space="preserve"> HYPERLINK "https://www.biodiversitylibrary.org/part/263989"</w:instrText>
      </w:r>
      <w:r>
        <w:rPr>
          <w:rStyle w:val="Hyperlink.2"/>
        </w:rPr>
        <w:fldChar w:fldCharType="separate" w:fldLock="0"/>
      </w:r>
      <w:r>
        <w:rPr>
          <w:rStyle w:val="Hyperlink.2"/>
          <w:rFonts w:cs="Arial Unicode MS" w:eastAsia="Arial Unicode MS"/>
          <w:rtl w:val="0"/>
          <w:lang w:val="de-DE"/>
        </w:rPr>
        <w:t>Die amphibien und reptilien der papuanischen ausbeute dr. schlaginhaufens</w:t>
      </w:r>
      <w:r>
        <w:rPr/>
        <w:fldChar w:fldCharType="end" w:fldLock="0"/>
      </w:r>
      <w:r>
        <w:rPr>
          <w:rFonts w:cs="Arial Unicode MS" w:eastAsia="Arial Unicode MS"/>
          <w:rtl w:val="0"/>
        </w:rPr>
        <w:t xml:space="preserve">. </w:t>
      </w:r>
      <w:r>
        <w:rPr>
          <w:rFonts w:cs="Arial Unicode MS" w:eastAsia="Arial Unicode MS"/>
          <w:i w:val="1"/>
          <w:iCs w:val="1"/>
          <w:rtl w:val="0"/>
          <w:lang w:val="de-DE"/>
        </w:rPr>
        <w:t>Abhandlungen und Berichte des K</w:t>
      </w:r>
      <w:r>
        <w:rPr>
          <w:rFonts w:cs="Arial Unicode MS" w:eastAsia="Arial Unicode MS" w:hint="default"/>
          <w:i w:val="1"/>
          <w:iCs w:val="1"/>
          <w:rtl w:val="0"/>
          <w:lang w:val="sv-SE"/>
        </w:rPr>
        <w:t>ö</w:t>
      </w:r>
      <w:r>
        <w:rPr>
          <w:rFonts w:cs="Arial Unicode MS" w:eastAsia="Arial Unicode MS"/>
          <w:i w:val="1"/>
          <w:iCs w:val="1"/>
          <w:rtl w:val="0"/>
          <w:lang w:val="de-DE"/>
        </w:rPr>
        <w:t>nigl. Zoologischen und Anthropologisch-Etnographischen Museums zu Dresden</w:t>
      </w:r>
      <w:r>
        <w:rPr>
          <w:rFonts w:cs="Arial Unicode MS" w:eastAsia="Arial Unicode MS"/>
          <w:rtl w:val="0"/>
        </w:rPr>
        <w:t xml:space="preserve"> </w:t>
      </w:r>
      <w:r>
        <w:rPr>
          <w:rFonts w:cs="Arial Unicode MS" w:eastAsia="Arial Unicode MS"/>
          <w:b w:val="1"/>
          <w:bCs w:val="1"/>
          <w:rtl w:val="0"/>
        </w:rPr>
        <w:t>13</w:t>
      </w:r>
      <w:r>
        <w:rPr>
          <w:rFonts w:cs="Arial Unicode MS" w:eastAsia="Arial Unicode MS"/>
          <w:rtl w:val="0"/>
        </w:rPr>
        <w:t>: 1</w:t>
      </w:r>
      <w:r>
        <w:rPr>
          <w:rFonts w:cs="Arial Unicode MS" w:eastAsia="Arial Unicode MS" w:hint="default"/>
          <w:rtl w:val="0"/>
        </w:rPr>
        <w:t>–</w:t>
      </w:r>
      <w:r>
        <w:rPr>
          <w:rFonts w:cs="Arial Unicode MS" w:eastAsia="Arial Unicode MS"/>
          <w:rtl w:val="0"/>
        </w:rPr>
        <w:t>15.</w:t>
      </w:r>
      <w:bookmarkEnd w:id="81"/>
    </w:p>
    <w:p>
      <w:pPr>
        <w:pStyle w:val="Body"/>
      </w:pPr>
      <w:bookmarkStart w:name="refWerner1898" w:id="82"/>
      <w:r>
        <w:rPr>
          <w:rFonts w:cs="Arial Unicode MS" w:eastAsia="Arial Unicode MS"/>
          <w:b w:val="1"/>
          <w:bCs w:val="1"/>
          <w:rtl w:val="0"/>
          <w:lang w:val="de-DE"/>
        </w:rPr>
        <w:t>Werner Franz</w:t>
      </w:r>
      <w:r>
        <w:rPr>
          <w:rFonts w:cs="Arial Unicode MS" w:eastAsia="Arial Unicode MS"/>
          <w:rtl w:val="0"/>
        </w:rPr>
        <w:t xml:space="preserve">. </w:t>
      </w:r>
      <w:r>
        <w:rPr>
          <w:rFonts w:cs="Arial Unicode MS" w:eastAsia="Arial Unicode MS"/>
          <w:b w:val="1"/>
          <w:bCs w:val="1"/>
          <w:rtl w:val="0"/>
        </w:rPr>
        <w:t>1898</w:t>
      </w:r>
      <w:r>
        <w:rPr>
          <w:rFonts w:cs="Arial Unicode MS" w:eastAsia="Arial Unicode MS"/>
          <w:rtl w:val="0"/>
        </w:rPr>
        <w:t xml:space="preserve">. </w:t>
      </w:r>
      <w:r>
        <w:rPr>
          <w:rStyle w:val="Hyperlink.2"/>
        </w:rPr>
        <w:fldChar w:fldCharType="begin" w:fldLock="0"/>
      </w:r>
      <w:r>
        <w:rPr>
          <w:rStyle w:val="Hyperlink.2"/>
        </w:rPr>
        <w:instrText xml:space="preserve"> HYPERLINK "https://www.biodiversitylibrary.org/part/28256"</w:instrText>
      </w:r>
      <w:r>
        <w:rPr>
          <w:rStyle w:val="Hyperlink.2"/>
        </w:rPr>
        <w:fldChar w:fldCharType="separate" w:fldLock="0"/>
      </w:r>
      <w:r>
        <w:rPr>
          <w:rStyle w:val="Hyperlink.2"/>
          <w:rFonts w:cs="Arial Unicode MS" w:eastAsia="Arial Unicode MS"/>
          <w:rtl w:val="0"/>
          <w:lang w:val="de-DE"/>
        </w:rPr>
        <w:t>Vorl</w:t>
      </w:r>
      <w:r>
        <w:rPr>
          <w:rStyle w:val="Hyperlink.2"/>
          <w:rFonts w:cs="Arial Unicode MS" w:eastAsia="Arial Unicode MS" w:hint="default"/>
          <w:rtl w:val="0"/>
        </w:rPr>
        <w:t>ä</w:t>
      </w:r>
      <w:r>
        <w:rPr>
          <w:rStyle w:val="Hyperlink.2"/>
          <w:rFonts w:cs="Arial Unicode MS" w:eastAsia="Arial Unicode MS"/>
          <w:rtl w:val="0"/>
          <w:lang w:val="de-DE"/>
        </w:rPr>
        <w:t xml:space="preserve">ufige mitteilung </w:t>
      </w:r>
      <w:r>
        <w:rPr>
          <w:rStyle w:val="Hyperlink.2"/>
          <w:rFonts w:cs="Arial Unicode MS" w:eastAsia="Arial Unicode MS" w:hint="default"/>
          <w:rtl w:val="0"/>
        </w:rPr>
        <w:t>ü</w:t>
      </w:r>
      <w:r>
        <w:rPr>
          <w:rStyle w:val="Hyperlink.2"/>
          <w:rFonts w:cs="Arial Unicode MS" w:eastAsia="Arial Unicode MS"/>
          <w:rtl w:val="0"/>
          <w:lang w:val="de-DE"/>
        </w:rPr>
        <w:t>ber die von herrn prof. F. Dahl im bismarck-archipel gesammelten reptilien und batrachier</w:t>
      </w:r>
      <w:r>
        <w:rPr/>
        <w:fldChar w:fldCharType="end" w:fldLock="0"/>
      </w:r>
      <w:r>
        <w:rPr>
          <w:rFonts w:cs="Arial Unicode MS" w:eastAsia="Arial Unicode MS"/>
          <w:rtl w:val="0"/>
        </w:rPr>
        <w:t xml:space="preserve">. </w:t>
      </w:r>
      <w:r>
        <w:rPr>
          <w:rFonts w:cs="Arial Unicode MS" w:eastAsia="Arial Unicode MS"/>
          <w:i w:val="1"/>
          <w:iCs w:val="1"/>
          <w:rtl w:val="0"/>
          <w:lang w:val="de-DE"/>
        </w:rPr>
        <w:t>Zoologischer Anzeiger</w:t>
      </w:r>
      <w:r>
        <w:rPr>
          <w:rFonts w:cs="Arial Unicode MS" w:eastAsia="Arial Unicode MS"/>
          <w:rtl w:val="0"/>
        </w:rPr>
        <w:t xml:space="preserve"> </w:t>
      </w:r>
      <w:r>
        <w:rPr>
          <w:rFonts w:cs="Arial Unicode MS" w:eastAsia="Arial Unicode MS"/>
          <w:b w:val="1"/>
          <w:bCs w:val="1"/>
          <w:rtl w:val="0"/>
        </w:rPr>
        <w:t>21</w:t>
      </w:r>
      <w:r>
        <w:rPr>
          <w:rFonts w:cs="Arial Unicode MS" w:eastAsia="Arial Unicode MS"/>
          <w:rtl w:val="0"/>
        </w:rPr>
        <w:t>: 552</w:t>
      </w:r>
      <w:r>
        <w:rPr>
          <w:rFonts w:cs="Arial Unicode MS" w:eastAsia="Arial Unicode MS" w:hint="default"/>
          <w:rtl w:val="0"/>
        </w:rPr>
        <w:t>–</w:t>
      </w:r>
      <w:r>
        <w:rPr>
          <w:rFonts w:cs="Arial Unicode MS" w:eastAsia="Arial Unicode MS"/>
          <w:rtl w:val="0"/>
        </w:rPr>
        <w:t>556.</w:t>
      </w:r>
      <w:bookmarkEnd w:id="82"/>
    </w:p>
    <w:p>
      <w:pPr>
        <w:pStyle w:val="Body"/>
      </w:pPr>
      <w:bookmarkStart w:name="refWickham2016" w:id="83"/>
      <w:r>
        <w:rPr>
          <w:rFonts w:cs="Arial Unicode MS" w:eastAsia="Arial Unicode MS"/>
          <w:b w:val="1"/>
          <w:bCs w:val="1"/>
          <w:rtl w:val="0"/>
          <w:lang w:val="da-DK"/>
        </w:rPr>
        <w:t>Wickham H</w:t>
      </w:r>
      <w:r>
        <w:rPr>
          <w:rFonts w:cs="Arial Unicode MS" w:eastAsia="Arial Unicode MS"/>
          <w:rtl w:val="0"/>
        </w:rPr>
        <w:t xml:space="preserve">. </w:t>
      </w:r>
      <w:r>
        <w:rPr>
          <w:rFonts w:cs="Arial Unicode MS" w:eastAsia="Arial Unicode MS"/>
          <w:b w:val="1"/>
          <w:bCs w:val="1"/>
          <w:rtl w:val="0"/>
        </w:rPr>
        <w:t>2016</w:t>
      </w:r>
      <w:r>
        <w:rPr>
          <w:rFonts w:cs="Arial Unicode MS" w:eastAsia="Arial Unicode MS"/>
          <w:rtl w:val="0"/>
        </w:rPr>
        <w:t xml:space="preserve">. </w:t>
      </w:r>
      <w:r>
        <w:rPr>
          <w:rStyle w:val="Hyperlink.1"/>
        </w:rPr>
        <w:fldChar w:fldCharType="begin" w:fldLock="0"/>
      </w:r>
      <w:r>
        <w:rPr>
          <w:rStyle w:val="Hyperlink.1"/>
        </w:rPr>
        <w:instrText xml:space="preserve"> HYPERLINK "https://ggplot2.tidyverse.org"</w:instrText>
      </w:r>
      <w:r>
        <w:rPr>
          <w:rStyle w:val="Hyperlink.1"/>
        </w:rPr>
        <w:fldChar w:fldCharType="separate" w:fldLock="0"/>
      </w:r>
      <w:r>
        <w:rPr>
          <w:rStyle w:val="Hyperlink.1"/>
          <w:rFonts w:cs="Arial Unicode MS" w:eastAsia="Arial Unicode MS"/>
          <w:rtl w:val="0"/>
          <w:lang w:val="en-US"/>
        </w:rPr>
        <w:t>ggplot2: Elegant graphics for data analysis</w:t>
      </w:r>
      <w:r>
        <w:rPr/>
        <w:fldChar w:fldCharType="end" w:fldLock="0"/>
      </w:r>
      <w:r>
        <w:rPr>
          <w:rFonts w:cs="Arial Unicode MS" w:eastAsia="Arial Unicode MS"/>
          <w:rtl w:val="0"/>
          <w:lang w:val="de-DE"/>
        </w:rPr>
        <w:t>. Springer-Verlag New York.</w:t>
      </w:r>
      <w:bookmarkEnd w:id="83"/>
    </w:p>
    <w:p>
      <w:pPr>
        <w:pStyle w:val="Body"/>
      </w:pPr>
      <w:bookmarkStart w:name="refYe2012" w:id="84"/>
      <w:r>
        <w:rPr>
          <w:rFonts w:cs="Arial Unicode MS" w:eastAsia="Arial Unicode MS"/>
          <w:b w:val="1"/>
          <w:bCs w:val="1"/>
          <w:rtl w:val="0"/>
        </w:rPr>
        <w:t>Ye J, Coulouris G, Zaretskaya I, Cutcutache I, Rozen S &amp; Madden TL</w:t>
      </w:r>
      <w:r>
        <w:rPr>
          <w:rFonts w:cs="Arial Unicode MS" w:eastAsia="Arial Unicode MS"/>
          <w:rtl w:val="0"/>
        </w:rPr>
        <w:t xml:space="preserve">. </w:t>
      </w:r>
      <w:r>
        <w:rPr>
          <w:rFonts w:cs="Arial Unicode MS" w:eastAsia="Arial Unicode MS"/>
          <w:b w:val="1"/>
          <w:bCs w:val="1"/>
          <w:rtl w:val="0"/>
        </w:rPr>
        <w:t>2012</w:t>
      </w:r>
      <w:r>
        <w:rPr>
          <w:rFonts w:cs="Arial Unicode MS" w:eastAsia="Arial Unicode MS"/>
          <w:rtl w:val="0"/>
        </w:rPr>
        <w:t xml:space="preserve">. </w:t>
      </w:r>
      <w:r>
        <w:rPr>
          <w:rStyle w:val="Hyperlink.2"/>
        </w:rPr>
        <w:fldChar w:fldCharType="begin" w:fldLock="0"/>
      </w:r>
      <w:r>
        <w:rPr>
          <w:rStyle w:val="Hyperlink.2"/>
        </w:rPr>
        <w:instrText xml:space="preserve"> HYPERLINK "https://doi.org/10.1186/1471-2105-13-134"</w:instrText>
      </w:r>
      <w:r>
        <w:rPr>
          <w:rStyle w:val="Hyperlink.2"/>
        </w:rPr>
        <w:fldChar w:fldCharType="separate" w:fldLock="0"/>
      </w:r>
      <w:r>
        <w:rPr>
          <w:rStyle w:val="Hyperlink.2"/>
          <w:rFonts w:cs="Arial Unicode MS" w:eastAsia="Arial Unicode MS"/>
          <w:rtl w:val="0"/>
          <w:lang w:val="en-US"/>
        </w:rPr>
        <w:t>Primer-BLAST: A tool to design target-specific primers for polymerase chain reaction</w:t>
      </w:r>
      <w:r>
        <w:rPr/>
        <w:fldChar w:fldCharType="end" w:fldLock="0"/>
      </w:r>
      <w:r>
        <w:rPr>
          <w:rFonts w:cs="Arial Unicode MS" w:eastAsia="Arial Unicode MS"/>
          <w:rtl w:val="0"/>
        </w:rPr>
        <w:t xml:space="preserve">. </w:t>
      </w:r>
      <w:r>
        <w:rPr>
          <w:rFonts w:cs="Arial Unicode MS" w:eastAsia="Arial Unicode MS"/>
          <w:i w:val="1"/>
          <w:iCs w:val="1"/>
          <w:rtl w:val="0"/>
        </w:rPr>
        <w:t>BMC Bioinformatics</w:t>
      </w:r>
      <w:r>
        <w:rPr>
          <w:rFonts w:cs="Arial Unicode MS" w:eastAsia="Arial Unicode MS"/>
          <w:rtl w:val="0"/>
        </w:rPr>
        <w:t xml:space="preserve"> </w:t>
      </w:r>
      <w:r>
        <w:rPr>
          <w:rFonts w:cs="Arial Unicode MS" w:eastAsia="Arial Unicode MS"/>
          <w:b w:val="1"/>
          <w:bCs w:val="1"/>
          <w:rtl w:val="0"/>
        </w:rPr>
        <w:t>13</w:t>
      </w:r>
      <w:r>
        <w:rPr>
          <w:rFonts w:cs="Arial Unicode MS" w:eastAsia="Arial Unicode MS"/>
          <w:rtl w:val="0"/>
        </w:rPr>
        <w:t>: 134.</w:t>
      </w:r>
      <w:bookmarkEnd w:id="84"/>
    </w:p>
    <w:p>
      <w:pPr>
        <w:pStyle w:val="Body"/>
      </w:pPr>
      <w:bookmarkStart w:name="refYu2017" w:id="85"/>
      <w:r>
        <w:rPr>
          <w:rFonts w:cs="Arial Unicode MS" w:eastAsia="Arial Unicode MS"/>
          <w:b w:val="1"/>
          <w:bCs w:val="1"/>
          <w:rtl w:val="0"/>
          <w:lang w:val="en-US"/>
        </w:rPr>
        <w:t>Yu G, Smith D, Zhu H, Guan Y &amp; Lam TTY</w:t>
      </w:r>
      <w:r>
        <w:rPr>
          <w:rFonts w:cs="Arial Unicode MS" w:eastAsia="Arial Unicode MS"/>
          <w:rtl w:val="0"/>
        </w:rPr>
        <w:t xml:space="preserve">. </w:t>
      </w:r>
      <w:r>
        <w:rPr>
          <w:rFonts w:cs="Arial Unicode MS" w:eastAsia="Arial Unicode MS"/>
          <w:b w:val="1"/>
          <w:bCs w:val="1"/>
          <w:rtl w:val="0"/>
        </w:rPr>
        <w:t>2017</w:t>
      </w:r>
      <w:r>
        <w:rPr>
          <w:rFonts w:cs="Arial Unicode MS" w:eastAsia="Arial Unicode MS"/>
          <w:rtl w:val="0"/>
        </w:rPr>
        <w:t xml:space="preserve">. </w:t>
      </w:r>
      <w:r>
        <w:rPr>
          <w:rStyle w:val="Hyperlink.2"/>
        </w:rPr>
        <w:fldChar w:fldCharType="begin" w:fldLock="0"/>
      </w:r>
      <w:r>
        <w:rPr>
          <w:rStyle w:val="Hyperlink.2"/>
        </w:rPr>
        <w:instrText xml:space="preserve"> HYPERLINK "https://doi.org/10.1111/2041-210X.12628"</w:instrText>
      </w:r>
      <w:r>
        <w:rPr>
          <w:rStyle w:val="Hyperlink.2"/>
        </w:rPr>
        <w:fldChar w:fldCharType="separate" w:fldLock="0"/>
      </w:r>
      <w:r>
        <w:rPr>
          <w:rStyle w:val="Hyperlink.2"/>
          <w:rFonts w:cs="Arial Unicode MS" w:eastAsia="Arial Unicode MS"/>
          <w:rtl w:val="0"/>
          <w:lang w:val="en-US"/>
        </w:rPr>
        <w:t>Ggtree: An r package for visualization and annotation of phylogenetic trees with their covariates and other associated data.</w:t>
      </w:r>
      <w:r>
        <w:rPr/>
        <w:fldChar w:fldCharType="end" w:fldLock="0"/>
      </w:r>
      <w:r>
        <w:rPr>
          <w:rFonts w:cs="Arial Unicode MS" w:eastAsia="Arial Unicode MS"/>
          <w:rtl w:val="0"/>
        </w:rPr>
        <w:t xml:space="preserve"> </w:t>
      </w:r>
      <w:r>
        <w:rPr>
          <w:rFonts w:cs="Arial Unicode MS" w:eastAsia="Arial Unicode MS"/>
          <w:i w:val="1"/>
          <w:iCs w:val="1"/>
          <w:rtl w:val="0"/>
          <w:lang w:val="en-US"/>
        </w:rPr>
        <w:t>Methods in Ecology and Evolution</w:t>
      </w:r>
      <w:r>
        <w:rPr>
          <w:rFonts w:cs="Arial Unicode MS" w:eastAsia="Arial Unicode MS"/>
          <w:rtl w:val="0"/>
        </w:rPr>
        <w:t xml:space="preserve"> </w:t>
      </w:r>
      <w:r>
        <w:rPr>
          <w:rFonts w:cs="Arial Unicode MS" w:eastAsia="Arial Unicode MS"/>
          <w:b w:val="1"/>
          <w:bCs w:val="1"/>
          <w:rtl w:val="0"/>
        </w:rPr>
        <w:t>8</w:t>
      </w:r>
      <w:r>
        <w:rPr>
          <w:rFonts w:cs="Arial Unicode MS" w:eastAsia="Arial Unicode MS"/>
          <w:rtl w:val="0"/>
        </w:rPr>
        <w:t>: 28</w:t>
      </w:r>
      <w:r>
        <w:rPr>
          <w:rFonts w:cs="Arial Unicode MS" w:eastAsia="Arial Unicode MS" w:hint="default"/>
          <w:rtl w:val="0"/>
        </w:rPr>
        <w:t>–</w:t>
      </w:r>
      <w:r>
        <w:rPr>
          <w:rFonts w:cs="Arial Unicode MS" w:eastAsia="Arial Unicode MS"/>
          <w:rtl w:val="0"/>
        </w:rPr>
        <w:t>36.</w:t>
      </w:r>
      <w:bookmarkEnd w:id="85"/>
    </w:p>
    <w:p>
      <w:pPr>
        <w:pStyle w:val="Body"/>
      </w:pPr>
      <w:bookmarkStart w:name="refYu2020" w:id="86"/>
      <w:r>
        <w:rPr>
          <w:rFonts w:cs="Arial Unicode MS" w:eastAsia="Arial Unicode MS"/>
          <w:b w:val="1"/>
          <w:bCs w:val="1"/>
          <w:rtl w:val="0"/>
        </w:rPr>
        <w:t>Yu G</w:t>
      </w:r>
      <w:r>
        <w:rPr>
          <w:rFonts w:cs="Arial Unicode MS" w:eastAsia="Arial Unicode MS"/>
          <w:rtl w:val="0"/>
        </w:rPr>
        <w:t xml:space="preserve">. </w:t>
      </w:r>
      <w:r>
        <w:rPr>
          <w:rFonts w:cs="Arial Unicode MS" w:eastAsia="Arial Unicode MS"/>
          <w:b w:val="1"/>
          <w:bCs w:val="1"/>
          <w:rtl w:val="0"/>
        </w:rPr>
        <w:t>2020</w:t>
      </w:r>
      <w:r>
        <w:rPr>
          <w:rFonts w:cs="Arial Unicode MS" w:eastAsia="Arial Unicode MS"/>
          <w:rtl w:val="0"/>
        </w:rPr>
        <w:t xml:space="preserve">. </w:t>
      </w:r>
      <w:r>
        <w:rPr>
          <w:rStyle w:val="Hyperlink.2"/>
        </w:rPr>
        <w:fldChar w:fldCharType="begin" w:fldLock="0"/>
      </w:r>
      <w:r>
        <w:rPr>
          <w:rStyle w:val="Hyperlink.2"/>
        </w:rPr>
        <w:instrText xml:space="preserve"> HYPERLINK "https://doi.org/10.1002/cpbi.96"</w:instrText>
      </w:r>
      <w:r>
        <w:rPr>
          <w:rStyle w:val="Hyperlink.2"/>
        </w:rPr>
        <w:fldChar w:fldCharType="separate" w:fldLock="0"/>
      </w:r>
      <w:r>
        <w:rPr>
          <w:rStyle w:val="Hyperlink.2"/>
          <w:rFonts w:cs="Arial Unicode MS" w:eastAsia="Arial Unicode MS"/>
          <w:rtl w:val="0"/>
          <w:lang w:val="en-US"/>
        </w:rPr>
        <w:t>Using ggtree to visualize data on tree-like structures</w:t>
      </w:r>
      <w:r>
        <w:rPr/>
        <w:fldChar w:fldCharType="end" w:fldLock="0"/>
      </w:r>
      <w:r>
        <w:rPr>
          <w:rFonts w:cs="Arial Unicode MS" w:eastAsia="Arial Unicode MS"/>
          <w:rtl w:val="0"/>
        </w:rPr>
        <w:t xml:space="preserve">. </w:t>
      </w:r>
      <w:r>
        <w:rPr>
          <w:rFonts w:cs="Arial Unicode MS" w:eastAsia="Arial Unicode MS"/>
          <w:i w:val="1"/>
          <w:iCs w:val="1"/>
          <w:rtl w:val="0"/>
          <w:lang w:val="it-IT"/>
        </w:rPr>
        <w:t>Current Protocols in Bioinformatics</w:t>
      </w:r>
      <w:r>
        <w:rPr>
          <w:rFonts w:cs="Arial Unicode MS" w:eastAsia="Arial Unicode MS"/>
          <w:rtl w:val="0"/>
        </w:rPr>
        <w:t xml:space="preserve"> </w:t>
      </w:r>
      <w:r>
        <w:rPr>
          <w:rFonts w:cs="Arial Unicode MS" w:eastAsia="Arial Unicode MS"/>
          <w:b w:val="1"/>
          <w:bCs w:val="1"/>
          <w:rtl w:val="0"/>
        </w:rPr>
        <w:t>69</w:t>
      </w:r>
      <w:r>
        <w:rPr>
          <w:rFonts w:cs="Arial Unicode MS" w:eastAsia="Arial Unicode MS"/>
          <w:rtl w:val="0"/>
        </w:rPr>
        <w:t>: e96.</w:t>
      </w:r>
      <w:bookmarkEnd w:id="86"/>
    </w:p>
    <w:p>
      <w:pPr>
        <w:pStyle w:val="Body"/>
      </w:pPr>
      <w:bookmarkStart w:name="refICZN1999" w:id="87"/>
      <w:r>
        <w:rPr>
          <w:rFonts w:cs="Arial Unicode MS" w:eastAsia="Arial Unicode MS"/>
          <w:b w:val="1"/>
          <w:bCs w:val="1"/>
          <w:rtl w:val="0"/>
          <w:lang w:val="en-US"/>
        </w:rPr>
        <w:t>Zoological Nomenclature IC on, Ride WDL, Zoological Nomenclature. IT for, Biological Sciences. General Assembly IU of &amp; Natural History Museum (London E</w:t>
      </w:r>
      <w:r>
        <w:rPr>
          <w:rFonts w:cs="Arial Unicode MS" w:eastAsia="Arial Unicode MS"/>
          <w:rtl w:val="0"/>
        </w:rPr>
        <w:t xml:space="preserve">. </w:t>
      </w:r>
      <w:r>
        <w:rPr>
          <w:rFonts w:cs="Arial Unicode MS" w:eastAsia="Arial Unicode MS"/>
          <w:b w:val="1"/>
          <w:bCs w:val="1"/>
          <w:rtl w:val="0"/>
        </w:rPr>
        <w:t>1999</w:t>
      </w:r>
      <w:r>
        <w:rPr>
          <w:rFonts w:cs="Arial Unicode MS" w:eastAsia="Arial Unicode MS"/>
          <w:rtl w:val="0"/>
        </w:rPr>
        <w:t xml:space="preserve">. </w:t>
      </w:r>
      <w:r>
        <w:rPr>
          <w:rStyle w:val="Hyperlink.1"/>
        </w:rPr>
        <w:fldChar w:fldCharType="begin" w:fldLock="0"/>
      </w:r>
      <w:r>
        <w:rPr>
          <w:rStyle w:val="Hyperlink.1"/>
        </w:rPr>
        <w:instrText xml:space="preserve"> HYPERLINK "https://www.biodiversitylibrary.org/item/107142"</w:instrText>
      </w:r>
      <w:r>
        <w:rPr>
          <w:rStyle w:val="Hyperlink.1"/>
        </w:rPr>
        <w:fldChar w:fldCharType="separate" w:fldLock="0"/>
      </w:r>
      <w:r>
        <w:rPr>
          <w:rStyle w:val="Hyperlink.1"/>
          <w:rFonts w:cs="Arial Unicode MS" w:eastAsia="Arial Unicode MS"/>
          <w:rtl w:val="0"/>
          <w:lang w:val="fr-FR"/>
        </w:rPr>
        <w:t>International code of zoological nomenclature = code international de nomenclature zoologique</w:t>
      </w:r>
      <w:r>
        <w:rPr/>
        <w:fldChar w:fldCharType="end" w:fldLock="0"/>
      </w:r>
      <w:r>
        <w:rPr>
          <w:rFonts w:cs="Arial Unicode MS" w:eastAsia="Arial Unicode MS"/>
          <w:rtl w:val="0"/>
          <w:lang w:val="en-US"/>
        </w:rPr>
        <w:t>. London, International Trust for Zoological Nomenclature, c/o Natural History Museum, 1999.</w:t>
      </w:r>
      <w:bookmarkEnd w:id="87"/>
    </w:p>
    <w:p>
      <w:pPr>
        <w:pStyle w:val="Body"/>
      </w:pPr>
      <w:bookmarkStart w:name="refZweifel1956" w:id="88"/>
      <w:r>
        <w:rPr>
          <w:rFonts w:cs="Arial Unicode MS" w:eastAsia="Arial Unicode MS"/>
          <w:b w:val="1"/>
          <w:bCs w:val="1"/>
          <w:rtl w:val="0"/>
          <w:lang w:val="de-DE"/>
        </w:rPr>
        <w:t>Zweifel RG</w:t>
      </w:r>
      <w:r>
        <w:rPr>
          <w:rFonts w:cs="Arial Unicode MS" w:eastAsia="Arial Unicode MS"/>
          <w:rtl w:val="0"/>
        </w:rPr>
        <w:t xml:space="preserve">. </w:t>
      </w:r>
      <w:r>
        <w:rPr>
          <w:rFonts w:cs="Arial Unicode MS" w:eastAsia="Arial Unicode MS"/>
          <w:b w:val="1"/>
          <w:bCs w:val="1"/>
          <w:rtl w:val="0"/>
        </w:rPr>
        <w:t>1956</w:t>
      </w:r>
      <w:r>
        <w:rPr>
          <w:rFonts w:cs="Arial Unicode MS" w:eastAsia="Arial Unicode MS"/>
          <w:rtl w:val="0"/>
          <w:lang w:val="en-US"/>
        </w:rPr>
        <w:t xml:space="preserve">. Microhylid frogs from new guinea, with descriptions of new species. </w:t>
      </w:r>
      <w:r>
        <w:rPr>
          <w:rFonts w:cs="Arial Unicode MS" w:eastAsia="Arial Unicode MS"/>
          <w:i w:val="1"/>
          <w:iCs w:val="1"/>
          <w:rtl w:val="0"/>
          <w:lang w:val="en-US"/>
        </w:rPr>
        <w:t>American Museum Novitates</w:t>
      </w:r>
      <w:r>
        <w:rPr>
          <w:rFonts w:cs="Arial Unicode MS" w:eastAsia="Arial Unicode MS"/>
          <w:rtl w:val="0"/>
        </w:rPr>
        <w:t>: 1</w:t>
      </w:r>
      <w:r>
        <w:rPr>
          <w:rFonts w:cs="Arial Unicode MS" w:eastAsia="Arial Unicode MS" w:hint="default"/>
          <w:rtl w:val="0"/>
        </w:rPr>
        <w:t>–</w:t>
      </w:r>
      <w:r>
        <w:rPr>
          <w:rFonts w:cs="Arial Unicode MS" w:eastAsia="Arial Unicode MS"/>
          <w:rtl w:val="0"/>
        </w:rPr>
        <w:t>49.</w:t>
      </w:r>
      <w:bookmarkEnd w:id="88"/>
    </w:p>
    <w:p>
      <w:pPr>
        <w:pStyle w:val="Body"/>
      </w:pPr>
      <w:bookmarkStart w:name="refZweifel2003" w:id="89"/>
      <w:r>
        <w:rPr>
          <w:rFonts w:cs="Arial Unicode MS" w:eastAsia="Arial Unicode MS"/>
          <w:b w:val="1"/>
          <w:bCs w:val="1"/>
          <w:rtl w:val="0"/>
          <w:lang w:val="de-DE"/>
        </w:rPr>
        <w:t>Zweifel RG</w:t>
      </w:r>
      <w:r>
        <w:rPr>
          <w:rFonts w:cs="Arial Unicode MS" w:eastAsia="Arial Unicode MS"/>
          <w:rtl w:val="0"/>
        </w:rPr>
        <w:t xml:space="preserve">. </w:t>
      </w:r>
      <w:r>
        <w:rPr>
          <w:rFonts w:cs="Arial Unicode MS" w:eastAsia="Arial Unicode MS"/>
          <w:b w:val="1"/>
          <w:bCs w:val="1"/>
          <w:rtl w:val="0"/>
        </w:rPr>
        <w:t>2003</w:t>
      </w:r>
      <w:r>
        <w:rPr>
          <w:rFonts w:cs="Arial Unicode MS" w:eastAsia="Arial Unicode MS"/>
          <w:rtl w:val="0"/>
          <w:lang w:val="en-US"/>
        </w:rPr>
        <w:t xml:space="preserve">. A new species of microhylid frog, genus oreophryne, from papua new guinea. </w:t>
      </w:r>
      <w:r>
        <w:rPr>
          <w:rFonts w:cs="Arial Unicode MS" w:eastAsia="Arial Unicode MS"/>
          <w:i w:val="1"/>
          <w:iCs w:val="1"/>
          <w:rtl w:val="0"/>
          <w:lang w:val="en-US"/>
        </w:rPr>
        <w:t>American Museum Novitates</w:t>
      </w:r>
      <w:r>
        <w:rPr>
          <w:rFonts w:cs="Arial Unicode MS" w:eastAsia="Arial Unicode MS"/>
          <w:rtl w:val="0"/>
        </w:rPr>
        <w:t>: 1</w:t>
      </w:r>
      <w:r>
        <w:rPr>
          <w:rFonts w:cs="Arial Unicode MS" w:eastAsia="Arial Unicode MS" w:hint="default"/>
          <w:rtl w:val="0"/>
        </w:rPr>
        <w:t>–</w:t>
      </w:r>
      <w:r>
        <w:rPr>
          <w:rFonts w:cs="Arial Unicode MS" w:eastAsia="Arial Unicode MS"/>
          <w:rtl w:val="0"/>
        </w:rPr>
        <w:t>8.</w:t>
      </w:r>
      <w:bookmarkEnd w:id="89"/>
    </w:p>
    <w:p>
      <w:pPr>
        <w:pStyle w:val="Body"/>
      </w:pPr>
      <w:bookmarkStart w:name="refZweifel2005" w:id="90"/>
      <w:r>
        <w:rPr>
          <w:rFonts w:cs="Arial Unicode MS" w:eastAsia="Arial Unicode MS"/>
          <w:b w:val="1"/>
          <w:bCs w:val="1"/>
          <w:rtl w:val="0"/>
          <w:lang w:val="de-DE"/>
        </w:rPr>
        <w:t>Zweifel RG, Cogger H &amp; Richards S</w:t>
      </w:r>
      <w:r>
        <w:rPr>
          <w:rFonts w:cs="Arial Unicode MS" w:eastAsia="Arial Unicode MS"/>
          <w:rtl w:val="0"/>
        </w:rPr>
        <w:t xml:space="preserve">. </w:t>
      </w:r>
      <w:r>
        <w:rPr>
          <w:rFonts w:cs="Arial Unicode MS" w:eastAsia="Arial Unicode MS"/>
          <w:b w:val="1"/>
          <w:bCs w:val="1"/>
          <w:rtl w:val="0"/>
        </w:rPr>
        <w:t>2005</w:t>
      </w:r>
      <w:r>
        <w:rPr>
          <w:rFonts w:cs="Arial Unicode MS" w:eastAsia="Arial Unicode MS"/>
          <w:rtl w:val="0"/>
        </w:rPr>
        <w:t xml:space="preserve">. </w:t>
      </w:r>
      <w:r>
        <w:rPr>
          <w:rStyle w:val="Hyperlink.2"/>
        </w:rPr>
        <w:fldChar w:fldCharType="begin" w:fldLock="0"/>
      </w:r>
      <w:r>
        <w:rPr>
          <w:rStyle w:val="Hyperlink.2"/>
        </w:rPr>
        <w:instrText xml:space="preserve"> HYPERLINK "https://doi.org/10.1206/0003-0082(2005)495%255B0001:SOMFGO%255D2.0.CO;2"</w:instrText>
      </w:r>
      <w:r>
        <w:rPr>
          <w:rStyle w:val="Hyperlink.2"/>
        </w:rPr>
        <w:fldChar w:fldCharType="separate" w:fldLock="0"/>
      </w:r>
      <w:r>
        <w:rPr>
          <w:rStyle w:val="Hyperlink.2"/>
          <w:rFonts w:cs="Arial Unicode MS" w:eastAsia="Arial Unicode MS"/>
          <w:rtl w:val="0"/>
          <w:lang w:val="en-US"/>
        </w:rPr>
        <w:t>Systematics of Microhylid Frogs, Genus Oreophryne, Living at High Elevations in New Guinea</w:t>
      </w:r>
      <w:r>
        <w:rPr/>
        <w:fldChar w:fldCharType="end" w:fldLock="0"/>
      </w:r>
      <w:r>
        <w:rPr>
          <w:rFonts w:cs="Arial Unicode MS" w:eastAsia="Arial Unicode MS"/>
          <w:rtl w:val="0"/>
        </w:rPr>
        <w:t xml:space="preserve">. </w:t>
      </w:r>
      <w:r>
        <w:rPr>
          <w:rFonts w:cs="Arial Unicode MS" w:eastAsia="Arial Unicode MS"/>
          <w:i w:val="1"/>
          <w:iCs w:val="1"/>
          <w:rtl w:val="0"/>
          <w:lang w:val="en-US"/>
        </w:rPr>
        <w:t>American Museum Novitates</w:t>
      </w:r>
      <w:r>
        <w:rPr>
          <w:rFonts w:cs="Arial Unicode MS" w:eastAsia="Arial Unicode MS"/>
          <w:rtl w:val="0"/>
        </w:rPr>
        <w:t xml:space="preserve"> </w:t>
      </w:r>
      <w:r>
        <w:rPr>
          <w:rFonts w:cs="Arial Unicode MS" w:eastAsia="Arial Unicode MS"/>
          <w:b w:val="1"/>
          <w:bCs w:val="1"/>
          <w:rtl w:val="0"/>
        </w:rPr>
        <w:t>3495</w:t>
      </w:r>
      <w:r>
        <w:rPr>
          <w:rFonts w:cs="Arial Unicode MS" w:eastAsia="Arial Unicode MS"/>
          <w:rtl w:val="0"/>
        </w:rPr>
        <w:t>: 1</w:t>
      </w:r>
      <w:r>
        <w:rPr>
          <w:rFonts w:cs="Arial Unicode MS" w:eastAsia="Arial Unicode MS" w:hint="default"/>
          <w:rtl w:val="0"/>
        </w:rPr>
        <w:t>–</w:t>
      </w:r>
      <w:r>
        <w:rPr>
          <w:rFonts w:cs="Arial Unicode MS" w:eastAsia="Arial Unicode MS"/>
          <w:rtl w:val="0"/>
        </w:rPr>
        <w:t>25.</w:t>
      </w:r>
      <w:bookmarkEnd w:id="90"/>
    </w:p>
    <w:p>
      <w:pPr>
        <w:pStyle w:val="Body"/>
      </w:pPr>
      <w:bookmarkStart w:name="refZweifel2003a" w:id="91"/>
      <w:r>
        <w:rPr>
          <w:rFonts w:cs="Arial Unicode MS" w:eastAsia="Arial Unicode MS"/>
          <w:b w:val="1"/>
          <w:bCs w:val="1"/>
          <w:rtl w:val="0"/>
          <w:lang w:val="de-DE"/>
        </w:rPr>
        <w:t>Zweifel R, Menzies J &amp; Price D</w:t>
      </w:r>
      <w:r>
        <w:rPr>
          <w:rFonts w:cs="Arial Unicode MS" w:eastAsia="Arial Unicode MS"/>
          <w:rtl w:val="0"/>
        </w:rPr>
        <w:t xml:space="preserve">. </w:t>
      </w:r>
      <w:r>
        <w:rPr>
          <w:rFonts w:cs="Arial Unicode MS" w:eastAsia="Arial Unicode MS"/>
          <w:b w:val="1"/>
          <w:bCs w:val="1"/>
          <w:rtl w:val="0"/>
        </w:rPr>
        <w:t>2003</w:t>
      </w:r>
      <w:r>
        <w:rPr>
          <w:rFonts w:cs="Arial Unicode MS" w:eastAsia="Arial Unicode MS"/>
          <w:rtl w:val="0"/>
        </w:rPr>
        <w:t xml:space="preserve">. </w:t>
      </w:r>
      <w:r>
        <w:rPr>
          <w:rStyle w:val="Hyperlink.2"/>
        </w:rPr>
        <w:fldChar w:fldCharType="begin" w:fldLock="0"/>
      </w:r>
      <w:r>
        <w:rPr>
          <w:rStyle w:val="Hyperlink.2"/>
        </w:rPr>
        <w:instrText xml:space="preserve"> HYPERLINK "https://doi.org/10.1206/0003-0082(2003)415%253C0001:SOMFGO%253E2.0.CO;2"</w:instrText>
      </w:r>
      <w:r>
        <w:rPr>
          <w:rStyle w:val="Hyperlink.2"/>
        </w:rPr>
        <w:fldChar w:fldCharType="separate" w:fldLock="0"/>
      </w:r>
      <w:r>
        <w:rPr>
          <w:rStyle w:val="Hyperlink.2"/>
          <w:rFonts w:cs="Arial Unicode MS" w:eastAsia="Arial Unicode MS"/>
          <w:rtl w:val="0"/>
          <w:lang w:val="en-US"/>
        </w:rPr>
        <w:t>Systematics of microhylid frogs, genus oreophryne, from the north coast region of new guinea</w:t>
      </w:r>
      <w:r>
        <w:rPr/>
        <w:fldChar w:fldCharType="end" w:fldLock="0"/>
      </w:r>
      <w:r>
        <w:rPr>
          <w:rFonts w:cs="Arial Unicode MS" w:eastAsia="Arial Unicode MS"/>
          <w:rtl w:val="0"/>
        </w:rPr>
        <w:t xml:space="preserve">. </w:t>
      </w:r>
      <w:r>
        <w:rPr>
          <w:rFonts w:cs="Arial Unicode MS" w:eastAsia="Arial Unicode MS"/>
          <w:i w:val="1"/>
          <w:iCs w:val="1"/>
          <w:rtl w:val="0"/>
          <w:lang w:val="en-US"/>
        </w:rPr>
        <w:t>AMERICAN MUSEUM NOVITATES</w:t>
      </w:r>
      <w:r>
        <w:rPr>
          <w:rFonts w:cs="Arial Unicode MS" w:eastAsia="Arial Unicode MS"/>
          <w:rtl w:val="0"/>
        </w:rPr>
        <w:t>: 1</w:t>
      </w:r>
      <w:r>
        <w:rPr>
          <w:rFonts w:cs="Arial Unicode MS" w:eastAsia="Arial Unicode MS" w:hint="default"/>
          <w:rtl w:val="0"/>
        </w:rPr>
        <w:t>–</w:t>
      </w:r>
      <w:r>
        <w:rPr>
          <w:rFonts w:cs="Arial Unicode MS" w:eastAsia="Arial Unicode MS"/>
          <w:rtl w:val="0"/>
        </w:rPr>
        <w:t>31.</w:t>
      </w:r>
      <w:bookmarkEnd w:id="91"/>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Apto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Text"/>
    <w:pPr>
      <w:keepNext w:val="0"/>
      <w:keepLines w:val="0"/>
      <w:pageBreakBefore w:val="0"/>
      <w:widowControl w:val="1"/>
      <w:shd w:val="clear" w:color="auto" w:fill="auto"/>
      <w:suppressAutoHyphens w:val="0"/>
      <w:bidi w:val="0"/>
      <w:spacing w:before="0" w:after="80" w:line="240" w:lineRule="auto"/>
      <w:ind w:left="0" w:right="0" w:firstLine="0"/>
      <w:jc w:val="center"/>
      <w:outlineLvl w:val="9"/>
    </w:pPr>
    <w:rPr>
      <w:rFonts w:ascii="Aptos Display" w:cs="Aptos Display" w:hAnsi="Aptos Display" w:eastAsia="Aptos Display"/>
      <w:b w:val="0"/>
      <w:bCs w:val="0"/>
      <w:i w:val="0"/>
      <w:iCs w:val="0"/>
      <w:caps w:val="0"/>
      <w:smallCaps w:val="0"/>
      <w:strike w:val="0"/>
      <w:dstrike w:val="0"/>
      <w:outline w:val="0"/>
      <w:color w:val="000000"/>
      <w:spacing w:val="-10"/>
      <w:kern w:val="28"/>
      <w:position w:val="0"/>
      <w:sz w:val="56"/>
      <w:szCs w:val="5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48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uthor">
    <w:name w:val="Author"/>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ate">
    <w:name w:val="Date"/>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1">
    <w:name w:val="Heading 1"/>
    <w:next w:val="Body Text"/>
    <w:pPr>
      <w:keepNext w:val="1"/>
      <w:keepLines w:val="1"/>
      <w:pageBreakBefore w:val="0"/>
      <w:widowControl w:val="1"/>
      <w:shd w:val="clear" w:color="auto" w:fill="auto"/>
      <w:suppressAutoHyphens w:val="0"/>
      <w:bidi w:val="0"/>
      <w:spacing w:before="360" w:after="80" w:line="240" w:lineRule="auto"/>
      <w:ind w:left="0" w:right="0" w:firstLine="0"/>
      <w:jc w:val="left"/>
      <w:outlineLvl w:val="0"/>
    </w:pPr>
    <w:rPr>
      <w:rFonts w:ascii="Helvetica" w:cs="Helvetica" w:hAnsi="Helvetica" w:eastAsia="Helvetica"/>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14:textOutline w14:w="12700" w14:cap="flat">
        <w14:noFill/>
        <w14:miter w14:lim="400000"/>
      </w14:textOutline>
      <w14:textFill>
        <w14:solidFill>
          <w14:srgbClr w14:val="0F4761"/>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48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 w:type="paragraph" w:styleId="heading 4">
    <w:name w:val="heading 4"/>
    <w:next w:val="Body Text"/>
    <w:pPr>
      <w:keepNext w:val="1"/>
      <w:keepLines w:val="1"/>
      <w:pageBreakBefore w:val="0"/>
      <w:widowControl w:val="1"/>
      <w:shd w:val="clear" w:color="auto" w:fill="auto"/>
      <w:suppressAutoHyphens w:val="0"/>
      <w:bidi w:val="0"/>
      <w:spacing w:before="80" w:after="40" w:line="240" w:lineRule="auto"/>
      <w:ind w:left="0" w:right="0" w:firstLine="0"/>
      <w:jc w:val="left"/>
      <w:outlineLvl w:val="2"/>
    </w:pPr>
    <w:rPr>
      <w:rFonts w:ascii="Helvetica" w:cs="Helvetica" w:hAnsi="Helvetica" w:eastAsia="Helvetica"/>
      <w:b w:val="0"/>
      <w:bCs w:val="0"/>
      <w:i w:val="1"/>
      <w:iCs w:val="1"/>
      <w:caps w:val="0"/>
      <w:smallCaps w:val="0"/>
      <w:strike w:val="0"/>
      <w:dstrike w:val="0"/>
      <w:outline w:val="0"/>
      <w:color w:val="0f4761"/>
      <w:spacing w:val="0"/>
      <w:kern w:val="0"/>
      <w:position w:val="0"/>
      <w:sz w:val="24"/>
      <w:szCs w:val="24"/>
      <w:u w:val="none" w:color="0f4761"/>
      <w:shd w:val="nil" w:color="auto" w:fill="auto"/>
      <w:vertAlign w:val="baseline"/>
      <w:lang w:val="en-US"/>
      <w14:textFill>
        <w14:solidFill>
          <w14:srgbClr w14:val="0F4761"/>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32"/>
      <w:szCs w:val="32"/>
      <w:u w:val="none" w:color="0f4761"/>
      <w:shd w:val="nil" w:color="auto" w:fill="auto"/>
      <w:vertAlign w:val="baseline"/>
      <w:lang w:val="en-US"/>
      <w14:textOutline w14:w="12700" w14:cap="flat">
        <w14:noFill/>
        <w14:miter w14:lim="400000"/>
      </w14:textOutline>
      <w14:textFill>
        <w14:solidFill>
          <w14:srgbClr w14:val="0F4761"/>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2"/>
    </w:pPr>
    <w:rPr>
      <w:rFonts w:ascii="Aptos" w:cs="Aptos" w:hAnsi="Aptos" w:eastAsia="Aptos"/>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14:textOutline w14:w="12700" w14:cap="flat">
        <w14:noFill/>
        <w14:miter w14:lim="400000"/>
      </w14:textOutline>
      <w14:textFill>
        <w14:solidFill>
          <w14:srgbClr w14:val="0F4761"/>
        </w14:solidFill>
      </w14:textFill>
    </w:rPr>
  </w:style>
  <w:style w:type="character" w:styleId="Hyperlink.1">
    <w:name w:val="Hyperlink.1"/>
    <w:basedOn w:val="Hyperlink.0"/>
    <w:next w:val="Hyperlink.1"/>
    <w:rPr>
      <w:rFonts w:ascii="Times New Roman" w:cs="Times New Roman" w:hAnsi="Times New Roman" w:eastAsia="Times New Roman"/>
      <w:i w:val="1"/>
      <w:iCs w:val="1"/>
      <w:outline w:val="0"/>
      <w:color w:val="000000"/>
      <w:u w:color="000000"/>
      <w14:textFill>
        <w14:solidFill>
          <w14:srgbClr w14:val="000000"/>
        </w14:solidFill>
      </w14:textFill>
    </w:rPr>
  </w:style>
  <w:style w:type="character" w:styleId="Hyperlink.2">
    <w:name w:val="Hyperlink.2"/>
    <w:basedOn w:val="Hyperlink.0"/>
    <w:next w:val="Hyperlink.2"/>
    <w:rPr>
      <w:outline w:val="0"/>
      <w:color w:val="000000"/>
      <w:u w:color="000000"/>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Aptos Display"/>
        <a:ea typeface="Aptos Display"/>
        <a:cs typeface="Aptos Display"/>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j-lt"/>
            <a:ea typeface="+mj-ea"/>
            <a:cs typeface="+mj-cs"/>
            <a:sym typeface="Aptos Display"/>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j-lt"/>
            <a:ea typeface="+mj-ea"/>
            <a:cs typeface="+mj-cs"/>
            <a:sym typeface="Aptos Display"/>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