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Style w:val="None A"/>
          <w:rtl w:val="0"/>
          <w:lang w:val="en-US"/>
        </w:rPr>
        <w:t>Hiding in the trees: Unmasking a cryptic genus of arboreal New Guinea frogs with phylogenetic taxonomy</w:t>
      </w:r>
    </w:p>
    <w:p>
      <w:pPr>
        <w:pStyle w:val="Date"/>
      </w:pPr>
      <w:r>
        <w:rPr>
          <w:rStyle w:val="None A"/>
          <w:rtl w:val="0"/>
          <w:lang w:val="en-US"/>
        </w:rPr>
        <w:t>2026-08-10</w:t>
      </w:r>
    </w:p>
    <w:p>
      <w:pPr>
        <w:pStyle w:val="Body A"/>
      </w:pPr>
      <w:r>
        <w:rPr>
          <w:rFonts w:ascii="Arial Unicode MS" w:cs="Arial Unicode MS" w:hAnsi="Arial Unicode MS" w:eastAsia="Arial Unicode MS"/>
          <w:b w:val="0"/>
          <w:bCs w:val="0"/>
          <w:i w:val="0"/>
          <w:iCs w:val="0"/>
        </w:rPr>
        <w:br w:type="page"/>
      </w:r>
    </w:p>
    <w:p>
      <w:pPr>
        <w:pStyle w:val="Heading"/>
      </w:pPr>
      <w:bookmarkStart w:name="abstract" w:id="0"/>
      <w:r>
        <w:rPr>
          <w:rFonts w:cs="Arial Unicode MS" w:eastAsia="Arial Unicode MS"/>
          <w:rtl w:val="0"/>
          <w:lang w:val="de-DE"/>
        </w:rPr>
        <w:t>Abstract</w:t>
      </w:r>
    </w:p>
    <w:p>
      <w:pPr>
        <w:pStyle w:val="First Paragraph"/>
      </w:pPr>
      <w:r>
        <w:rPr>
          <w:rStyle w:val="None A"/>
          <w:rtl w:val="0"/>
          <w:lang w:val="en-US"/>
        </w:rPr>
        <w:t xml:space="preserve">Although cryptic species are known to underestimate biodiversity, cryptic genera may present greater challenges for evolutionary studies. Surprisingly, there remain long-standing groups that contain unrecognized polyphyly due to extreme similarity in morphology and lifestyle. A good example is the large frog genus </w:t>
      </w:r>
      <w:r>
        <w:rPr>
          <w:i w:val="1"/>
          <w:iCs w:val="1"/>
          <w:rtl w:val="0"/>
          <w:lang w:val="en-US"/>
        </w:rPr>
        <w:t>Oreophryne</w:t>
      </w:r>
      <w:r>
        <w:rPr>
          <w:rStyle w:val="None A"/>
          <w:rtl w:val="0"/>
          <w:lang w:val="en-US"/>
        </w:rPr>
        <w:t xml:space="preserve"> whose monophyly was never questioned in its 130 year history. Recently, our group has shown it to be composed of two non-sister monophyletic clades using dense taxonomic sampling across the microhylid subfamily Asterophryinae. Here we show that the two arboreal clades are morphologically undiagnosible and define them using phylogenetic taxonomy. We include the type species </w:t>
      </w:r>
      <w:r>
        <w:rPr>
          <w:i w:val="1"/>
          <w:iCs w:val="1"/>
          <w:rtl w:val="0"/>
          <w:lang w:val="en-US"/>
        </w:rPr>
        <w:t>O. senckenbergiana</w:t>
      </w:r>
      <w:r>
        <w:rPr>
          <w:rStyle w:val="None A"/>
          <w:rtl w:val="0"/>
          <w:lang w:val="en-US"/>
        </w:rPr>
        <w:t xml:space="preserve"> (= </w:t>
      </w:r>
      <w:r>
        <w:rPr>
          <w:i w:val="1"/>
          <w:iCs w:val="1"/>
          <w:rtl w:val="0"/>
          <w:lang w:val="en-US"/>
        </w:rPr>
        <w:t>O. moluccensis</w:t>
      </w:r>
      <w:r>
        <w:rPr>
          <w:rStyle w:val="None A"/>
          <w:rtl w:val="0"/>
          <w:lang w:val="en-US"/>
        </w:rPr>
        <w:t xml:space="preserve">), resolving which clade retains the name </w:t>
      </w:r>
      <w:r>
        <w:rPr>
          <w:i w:val="1"/>
          <w:iCs w:val="1"/>
          <w:rtl w:val="0"/>
          <w:lang w:val="en-US"/>
        </w:rPr>
        <w:t>Oreophryne</w:t>
      </w:r>
      <w:r>
        <w:rPr>
          <w:rStyle w:val="None A"/>
          <w:rtl w:val="0"/>
          <w:lang w:val="en-US"/>
        </w:rPr>
        <w:t xml:space="preserve">, and name the strikingly similar genus </w:t>
      </w:r>
      <w:r>
        <w:rPr>
          <w:b w:val="1"/>
          <w:bCs w:val="1"/>
          <w:i w:val="1"/>
          <w:iCs w:val="1"/>
          <w:rtl w:val="0"/>
          <w:lang w:val="en-US"/>
        </w:rPr>
        <w:t>Auparoparo gen. nov.</w:t>
      </w:r>
      <w:r>
        <w:rPr>
          <w:rStyle w:val="None A"/>
          <w:rtl w:val="0"/>
          <w:lang w:val="en-US"/>
        </w:rPr>
        <w:t xml:space="preserve"> from the indigenous Papuan language Motu. Their geographic distributions implicate plate tectonic activity in diversification, with </w:t>
      </w:r>
      <w:r>
        <w:rPr>
          <w:i w:val="1"/>
          <w:iCs w:val="1"/>
          <w:rtl w:val="0"/>
          <w:lang w:val="en-US"/>
        </w:rPr>
        <w:t>Oreophryne</w:t>
      </w:r>
      <w:r>
        <w:rPr>
          <w:rStyle w:val="None A"/>
          <w:rtl w:val="0"/>
          <w:lang w:val="en-US"/>
        </w:rPr>
        <w:t xml:space="preserve"> distributed from the Philippines to Indonesia, along central to south New Guinea and its satellite islands, whereas </w:t>
      </w:r>
      <w:r>
        <w:rPr>
          <w:i w:val="1"/>
          <w:iCs w:val="1"/>
          <w:rtl w:val="0"/>
          <w:lang w:val="en-US"/>
        </w:rPr>
        <w:t>Auparoparo</w:t>
      </w:r>
      <w:r>
        <w:rPr>
          <w:rStyle w:val="None A"/>
          <w:rtl w:val="0"/>
          <w:lang w:val="en-US"/>
        </w:rPr>
        <w:t xml:space="preserve"> occurs in Sulawesi and southern New Guinea and satellite islands where there is range overlap. As evidenced by this case, groups with unrecognized polyphyly are still in use today, so we urge careful confirmation of monophyly for a nomenclature based on evolution that will promote sound evolutionary research.</w:t>
      </w:r>
    </w:p>
    <w:p>
      <w:pPr>
        <w:pStyle w:val="Body Text"/>
      </w:pPr>
      <w:r>
        <w:rPr>
          <w:rStyle w:val="None A"/>
          <w:rtl w:val="0"/>
          <w:lang w:val="en-US"/>
        </w:rPr>
        <w:t>Additional Keywords: cryptic taxa; homoplasy; indo-pacific; morphology; new classification; new genera; phylogenetic nomenclature; phylogenetics</w:t>
      </w:r>
    </w:p>
    <w:p>
      <w:pPr>
        <w:pStyle w:val="Body A"/>
      </w:pPr>
      <w:bookmarkEnd w:id="0"/>
      <w:r>
        <w:rPr>
          <w:rFonts w:ascii="Arial Unicode MS" w:cs="Arial Unicode MS" w:hAnsi="Arial Unicode MS" w:eastAsia="Arial Unicode MS"/>
          <w:b w:val="0"/>
          <w:bCs w:val="0"/>
          <w:i w:val="0"/>
          <w:iCs w:val="0"/>
        </w:rPr>
        <w:br w:type="page"/>
      </w:r>
    </w:p>
    <w:p>
      <w:pPr>
        <w:pStyle w:val="Heading"/>
        <w:jc w:val="center"/>
        <w:rPr>
          <w:caps w:val="1"/>
          <w:outline w:val="0"/>
          <w:color w:val="000000"/>
          <w14:textFill>
            <w14:solidFill>
              <w14:srgbClr w14:val="000000"/>
            </w14:solidFill>
          </w14:textFill>
        </w:rPr>
      </w:pPr>
      <w:bookmarkStart w:name="introduction" w:id="1"/>
      <w:r>
        <w:rPr>
          <w:caps w:val="1"/>
          <w:outline w:val="0"/>
          <w:color w:val="000000"/>
          <w:rtl w:val="0"/>
          <w:lang w:val="fr-FR"/>
          <w14:textFill>
            <w14:solidFill>
              <w14:srgbClr w14:val="000000"/>
            </w14:solidFill>
          </w14:textFill>
        </w:rPr>
        <w:t>Introduction</w:t>
      </w:r>
    </w:p>
    <w:p>
      <w:pPr>
        <w:pStyle w:val="First Paragraph"/>
      </w:pPr>
      <w:r>
        <w:rPr>
          <w:i w:val="1"/>
          <w:iCs w:val="1"/>
          <w:rtl w:val="0"/>
          <w:lang w:val="en-US"/>
        </w:rPr>
        <w:t>Oreophryne</w:t>
      </w:r>
      <w:r>
        <w:rPr>
          <w:rStyle w:val="None A"/>
          <w:rtl w:val="0"/>
          <w:lang w:val="en-US"/>
        </w:rPr>
        <w:t xml:space="preserve"> (Boettger, 1895) is the oldest and arguably the best studied genus of the hyperdiverse frog subfamily Asterophryinae (family Microhylidae). Although taxonomic instability is well known in the history of the subfamily Asterophryinae (reviewed in Rivera </w:t>
      </w:r>
      <w:r>
        <w:rPr>
          <w:i w:val="1"/>
          <w:iCs w:val="1"/>
          <w:rtl w:val="0"/>
          <w:lang w:val="en-US"/>
        </w:rPr>
        <w:t>et al.</w:t>
      </w:r>
      <w:r>
        <w:rPr>
          <w:rStyle w:val="None A"/>
          <w:rtl w:val="0"/>
          <w:lang w:val="en-US"/>
        </w:rPr>
        <w:t xml:space="preserve">, 2017; Hill </w:t>
      </w:r>
      <w:r>
        <w:rPr>
          <w:i w:val="1"/>
          <w:iCs w:val="1"/>
          <w:rtl w:val="0"/>
          <w:lang w:val="en-US"/>
        </w:rPr>
        <w:t>et al.</w:t>
      </w:r>
      <w:r>
        <w:rPr>
          <w:rStyle w:val="None A"/>
          <w:rtl w:val="0"/>
          <w:lang w:val="en-US"/>
        </w:rPr>
        <w:t xml:space="preserve">, 2022), </w:t>
      </w:r>
      <w:r>
        <w:rPr>
          <w:i w:val="1"/>
          <w:iCs w:val="1"/>
          <w:rtl w:val="0"/>
          <w:lang w:val="en-US"/>
        </w:rPr>
        <w:t>Oreophryne</w:t>
      </w:r>
      <w:r>
        <w:rPr>
          <w:rStyle w:val="None A"/>
          <w:rtl w:val="0"/>
          <w:lang w:val="en-US"/>
        </w:rPr>
        <w:t xml:space="preserve"> seemed to be the exception. Well known for its arboreal morphology and lifestyle, the taxonomy of the genus </w:t>
      </w:r>
      <w:r>
        <w:rPr>
          <w:i w:val="1"/>
          <w:iCs w:val="1"/>
          <w:rtl w:val="0"/>
          <w:lang w:val="en-US"/>
        </w:rPr>
        <w:t>Oreophryne</w:t>
      </w:r>
      <w:r>
        <w:rPr>
          <w:rStyle w:val="None A"/>
          <w:rtl w:val="0"/>
          <w:lang w:val="en-US"/>
        </w:rPr>
        <w:t xml:space="preserve"> as currently recognized has been stable over the past century. Recently it was discovered that the single large clade is, in fact, two independently evolved clades (reviewed in Hill </w:t>
      </w:r>
      <w:r>
        <w:rPr>
          <w:i w:val="1"/>
          <w:iCs w:val="1"/>
          <w:rtl w:val="0"/>
          <w:lang w:val="en-US"/>
        </w:rPr>
        <w:t>et al.</w:t>
      </w:r>
      <w:r>
        <w:rPr>
          <w:rStyle w:val="None A"/>
          <w:rtl w:val="0"/>
          <w:lang w:val="en-US"/>
        </w:rPr>
        <w:t>, 2022). A natural question is how did this happen and why did it remain undiscovered for so long? One obvious answer is that their morphology is remarkably similar (Fig.</w:t>
      </w:r>
      <w:r>
        <w:rPr>
          <w:rStyle w:val="None A"/>
          <w:rtl w:val="0"/>
          <w:lang w:val="en-US"/>
        </w:rPr>
        <w:t> </w:t>
      </w:r>
      <w:r>
        <w:rPr>
          <w:rStyle w:val="None A"/>
          <w:rtl w:val="0"/>
          <w:lang w:val="en-US"/>
        </w:rPr>
        <w:t xml:space="preserve">1). </w:t>
      </w:r>
      <w:r>
        <w:rPr>
          <w:i w:val="1"/>
          <w:iCs w:val="1"/>
          <w:rtl w:val="0"/>
          <w:lang w:val="en-US"/>
        </w:rPr>
        <w:t>Oreophryne</w:t>
      </w:r>
      <w:r>
        <w:rPr>
          <w:rStyle w:val="None A"/>
          <w:rtl w:val="0"/>
          <w:lang w:val="en-US"/>
        </w:rPr>
        <w:t xml:space="preserve"> are conspicuously arboreal and account for nearly all arboreal species of Asterophryinae (G</w:t>
      </w:r>
      <w:r>
        <w:rPr>
          <w:rStyle w:val="None A"/>
          <w:rtl w:val="0"/>
          <w:lang w:val="en-US"/>
        </w:rPr>
        <w:t>ü</w:t>
      </w:r>
      <w:r>
        <w:rPr>
          <w:rStyle w:val="None A"/>
          <w:rtl w:val="0"/>
          <w:lang w:val="en-US"/>
        </w:rPr>
        <w:t>nther, Richards, &amp; Iskandar, 2001; Menzies, 2006), inhabiting lowland to montane rain forest, although there is a small group of diminutive, high-elevation, grassland species, a few of which are terrestrial (Zweifel, Cogger, &amp; Richards, 2005; G</w:t>
      </w:r>
      <w:r>
        <w:rPr>
          <w:rStyle w:val="None A"/>
          <w:rtl w:val="0"/>
          <w:lang w:val="en-US"/>
        </w:rPr>
        <w:t>ü</w:t>
      </w:r>
      <w:r>
        <w:rPr>
          <w:rStyle w:val="None A"/>
          <w:rtl w:val="0"/>
          <w:lang w:val="en-US"/>
        </w:rPr>
        <w:t xml:space="preserve">nther &amp; Richards, 2012; Putri </w:t>
      </w:r>
      <w:r>
        <w:rPr>
          <w:i w:val="1"/>
          <w:iCs w:val="1"/>
          <w:rtl w:val="0"/>
          <w:lang w:val="en-US"/>
        </w:rPr>
        <w:t>et al.</w:t>
      </w:r>
      <w:r>
        <w:rPr>
          <w:rStyle w:val="None A"/>
          <w:rtl w:val="0"/>
          <w:lang w:val="en-US"/>
        </w:rPr>
        <w:t xml:space="preserve">, 2023). In short, </w:t>
      </w:r>
      <w:r>
        <w:rPr>
          <w:i w:val="1"/>
          <w:iCs w:val="1"/>
          <w:rtl w:val="0"/>
          <w:lang w:val="en-US"/>
        </w:rPr>
        <w:t>Oreophryne</w:t>
      </w:r>
      <w:r>
        <w:rPr>
          <w:rStyle w:val="None A"/>
          <w:rtl w:val="0"/>
          <w:lang w:val="en-US"/>
        </w:rPr>
        <w:t xml:space="preserve"> are morphologically distinctive, consistent with their arboreal lifestyle, and appear in the field to be a natural group preserved by niche conservatism.</w:t>
      </w:r>
    </w:p>
    <w:p>
      <w:pPr>
        <w:pStyle w:val="Body Text"/>
      </w:pPr>
      <w:r>
        <w:rPr>
          <w:i w:val="1"/>
          <w:iCs w:val="1"/>
          <w:rtl w:val="0"/>
          <w:lang w:val="en-US"/>
        </w:rPr>
        <w:t>Oreophryne</w:t>
      </w:r>
      <w:r>
        <w:rPr>
          <w:rStyle w:val="None A"/>
          <w:rtl w:val="0"/>
          <w:lang w:val="en-US"/>
        </w:rPr>
        <w:t xml:space="preserve"> was united by a useful diagnostic character distinct from all other genera. Based on a pectoral anatomy with highly reduced and distinctly curved clavicles (Parker, 1934; Zweifel, 2003), hypothetical new species could be assigned to </w:t>
      </w:r>
      <w:r>
        <w:rPr>
          <w:i w:val="1"/>
          <w:iCs w:val="1"/>
          <w:rtl w:val="0"/>
          <w:lang w:val="en-US"/>
        </w:rPr>
        <w:t>Oreophryne</w:t>
      </w:r>
      <w:r>
        <w:rPr>
          <w:rStyle w:val="None A"/>
          <w:rtl w:val="0"/>
          <w:lang w:val="en-US"/>
        </w:rPr>
        <w:t xml:space="preserve">, and for modern studies, confirmed by phylogenetic analysis with other members of </w:t>
      </w:r>
      <w:r>
        <w:rPr>
          <w:i w:val="1"/>
          <w:iCs w:val="1"/>
          <w:rtl w:val="0"/>
          <w:lang w:val="en-US"/>
        </w:rPr>
        <w:t>Oreophryne</w:t>
      </w:r>
      <w:r>
        <w:rPr>
          <w:rStyle w:val="None A"/>
          <w:rtl w:val="0"/>
          <w:lang w:val="en-US"/>
        </w:rPr>
        <w:t xml:space="preserve">. Over the past 130 years the genus </w:t>
      </w:r>
      <w:r>
        <w:rPr>
          <w:i w:val="1"/>
          <w:iCs w:val="1"/>
          <w:rtl w:val="0"/>
          <w:lang w:val="en-US"/>
        </w:rPr>
        <w:t>Oreophryne</w:t>
      </w:r>
      <w:r>
        <w:rPr>
          <w:rStyle w:val="None A"/>
          <w:rtl w:val="0"/>
          <w:lang w:val="en-US"/>
        </w:rPr>
        <w:t xml:space="preserve"> has grown to 75 currently recognized species, fully one-fifth of the total diversity of subfamily Asterophryinae and the largest of the ~16 genera (Hill </w:t>
      </w:r>
      <w:r>
        <w:rPr>
          <w:i w:val="1"/>
          <w:iCs w:val="1"/>
          <w:rtl w:val="0"/>
          <w:lang w:val="en-US"/>
        </w:rPr>
        <w:t>et al.</w:t>
      </w:r>
      <w:r>
        <w:rPr>
          <w:rStyle w:val="None A"/>
          <w:rtl w:val="0"/>
          <w:lang w:val="en-US"/>
        </w:rPr>
        <w:t xml:space="preserve">, 2022; Frost, 2024). </w:t>
      </w:r>
      <w:r>
        <w:rPr>
          <w:i w:val="1"/>
          <w:iCs w:val="1"/>
          <w:rtl w:val="0"/>
          <w:lang w:val="en-US"/>
        </w:rPr>
        <w:t>Oreophryne</w:t>
      </w:r>
      <w:r>
        <w:rPr>
          <w:rStyle w:val="None A"/>
          <w:rtl w:val="0"/>
          <w:lang w:val="en-US"/>
        </w:rPr>
        <w:t xml:space="preserve"> as currently recognized has the largest geographic distribution in the subfamily (Hill </w:t>
      </w:r>
      <w:r>
        <w:rPr>
          <w:i w:val="1"/>
          <w:iCs w:val="1"/>
          <w:rtl w:val="0"/>
          <w:lang w:val="en-US"/>
        </w:rPr>
        <w:t>et al.</w:t>
      </w:r>
      <w:r>
        <w:rPr>
          <w:rStyle w:val="None A"/>
          <w:rtl w:val="0"/>
          <w:lang w:val="en-US"/>
        </w:rPr>
        <w:t>, 2023a), with species centered on mainland New Guinea and its offshore islands (Werner, 1898; Zweifel, 1956; Zweifel, Menzies, &amp; Price, 2003; Kraus &amp; Allison, 2004; Kraus &amp; Allison, 2009; Kraus, 2013; Frost, 2024), but ranging westward to distant oceanic islands (M</w:t>
      </w:r>
      <w:r>
        <w:rPr>
          <w:rStyle w:val="None A"/>
          <w:rtl w:val="0"/>
          <w:lang w:val="en-US"/>
        </w:rPr>
        <w:t>ü</w:t>
      </w:r>
      <w:r>
        <w:rPr>
          <w:rStyle w:val="None A"/>
          <w:rtl w:val="0"/>
          <w:lang w:val="en-US"/>
        </w:rPr>
        <w:t xml:space="preserve">ller, 1894; Boulenger, 1896; Ahl, 1933; Putri </w:t>
      </w:r>
      <w:r>
        <w:rPr>
          <w:i w:val="1"/>
          <w:iCs w:val="1"/>
          <w:rtl w:val="0"/>
          <w:lang w:val="en-US"/>
        </w:rPr>
        <w:t>et al.</w:t>
      </w:r>
      <w:r>
        <w:rPr>
          <w:rStyle w:val="None A"/>
          <w:rtl w:val="0"/>
          <w:lang w:val="en-US"/>
        </w:rPr>
        <w:t xml:space="preserve">, 2023) and northward to Indonesia (Boettger, 1895; Setiadi </w:t>
      </w:r>
      <w:r>
        <w:rPr>
          <w:i w:val="1"/>
          <w:iCs w:val="1"/>
          <w:rtl w:val="0"/>
          <w:lang w:val="en-US"/>
        </w:rPr>
        <w:t>et al.</w:t>
      </w:r>
      <w:r>
        <w:rPr>
          <w:rStyle w:val="None A"/>
          <w:rtl w:val="0"/>
          <w:lang w:val="en-US"/>
        </w:rPr>
        <w:t>, 2010; G</w:t>
      </w:r>
      <w:r>
        <w:rPr>
          <w:rStyle w:val="None A"/>
          <w:rtl w:val="0"/>
          <w:lang w:val="en-US"/>
        </w:rPr>
        <w:t>ü</w:t>
      </w:r>
      <w:r>
        <w:rPr>
          <w:rStyle w:val="None A"/>
          <w:rtl w:val="0"/>
          <w:lang w:val="en-US"/>
        </w:rPr>
        <w:t>nther, Iskandar, &amp; Richards, 2023) and the Southern Philippines Islands (Alcala, 1986; Balinton &amp; de la Se</w:t>
      </w:r>
      <w:r>
        <w:rPr>
          <w:rStyle w:val="None A"/>
          <w:rtl w:val="0"/>
          <w:lang w:val="en-US"/>
        </w:rPr>
        <w:t>ñ</w:t>
      </w:r>
      <w:r>
        <w:rPr>
          <w:rStyle w:val="None A"/>
          <w:rtl w:val="0"/>
          <w:lang w:val="en-US"/>
        </w:rPr>
        <w:t>a, 2015).</w:t>
      </w:r>
    </w:p>
    <w:p>
      <w:pPr>
        <w:pStyle w:val="Body Text"/>
      </w:pPr>
      <w:r>
        <w:rPr>
          <w:rStyle w:val="None A"/>
          <w:rtl w:val="0"/>
          <w:lang w:val="en-US"/>
        </w:rPr>
        <w:t xml:space="preserve">The apparently reliable diagnostic character, however, has never been demonstrated to be a synapomorphy, and recent studies have not found evidence for monophyly (Zweifel </w:t>
      </w:r>
      <w:r>
        <w:rPr>
          <w:i w:val="1"/>
          <w:iCs w:val="1"/>
          <w:rtl w:val="0"/>
          <w:lang w:val="en-US"/>
        </w:rPr>
        <w:t>et al.</w:t>
      </w:r>
      <w:r>
        <w:rPr>
          <w:rStyle w:val="None A"/>
          <w:rtl w:val="0"/>
          <w:lang w:val="en-US"/>
        </w:rPr>
        <w:t xml:space="preserve">, 2005; Rivera </w:t>
      </w:r>
      <w:r>
        <w:rPr>
          <w:i w:val="1"/>
          <w:iCs w:val="1"/>
          <w:rtl w:val="0"/>
          <w:lang w:val="en-US"/>
        </w:rPr>
        <w:t>et al.</w:t>
      </w:r>
      <w:r>
        <w:rPr>
          <w:rStyle w:val="None A"/>
          <w:rtl w:val="0"/>
          <w:lang w:val="en-US"/>
        </w:rPr>
        <w:t xml:space="preserve">, 2017). Recently, Hill et. al (2022, 2023b) established that </w:t>
      </w:r>
      <w:r>
        <w:rPr>
          <w:i w:val="1"/>
          <w:iCs w:val="1"/>
          <w:rtl w:val="0"/>
          <w:lang w:val="en-US"/>
        </w:rPr>
        <w:t>Oreophryne</w:t>
      </w:r>
      <w:r>
        <w:rPr>
          <w:rStyle w:val="None A"/>
          <w:rtl w:val="0"/>
          <w:lang w:val="en-US"/>
        </w:rPr>
        <w:t xml:space="preserve"> sensu lato represents two reciprocally monophyletic groups that are not sister taxa (Fig.</w:t>
      </w:r>
      <w:r>
        <w:rPr>
          <w:rStyle w:val="None A"/>
          <w:rtl w:val="0"/>
          <w:lang w:val="en-US"/>
        </w:rPr>
        <w:t> </w:t>
      </w:r>
      <w:r>
        <w:rPr>
          <w:rStyle w:val="None A"/>
          <w:rtl w:val="0"/>
          <w:lang w:val="en-US"/>
        </w:rPr>
        <w:t xml:space="preserve">2), temporarily labeled </w:t>
      </w:r>
      <w:r>
        <w:rPr>
          <w:rStyle w:val="None A"/>
          <w:rtl w:val="0"/>
          <w:lang w:val="en-US"/>
        </w:rPr>
        <w:t>“</w:t>
      </w:r>
      <w:r>
        <w:rPr>
          <w:i w:val="1"/>
          <w:iCs w:val="1"/>
          <w:rtl w:val="0"/>
          <w:lang w:val="en-US"/>
        </w:rPr>
        <w:t>Oreophryne</w:t>
      </w:r>
      <w:r>
        <w:rPr>
          <w:rStyle w:val="None A"/>
          <w:rtl w:val="0"/>
          <w:lang w:val="en-US"/>
        </w:rPr>
        <w:t xml:space="preserve"> A</w:t>
      </w:r>
      <w:r>
        <w:rPr>
          <w:rStyle w:val="None A"/>
          <w:rtl w:val="0"/>
          <w:lang w:val="en-US"/>
        </w:rPr>
        <w:t xml:space="preserve">” </w:t>
      </w:r>
      <w:r>
        <w:rPr>
          <w:rStyle w:val="None A"/>
          <w:rtl w:val="0"/>
          <w:lang w:val="en-US"/>
        </w:rPr>
        <w:t xml:space="preserve">and </w:t>
      </w:r>
      <w:r>
        <w:rPr>
          <w:rStyle w:val="None A"/>
          <w:rtl w:val="0"/>
          <w:lang w:val="en-US"/>
        </w:rPr>
        <w:t>“</w:t>
      </w:r>
      <w:r>
        <w:rPr>
          <w:i w:val="1"/>
          <w:iCs w:val="1"/>
          <w:rtl w:val="0"/>
          <w:lang w:val="en-US"/>
        </w:rPr>
        <w:t>Oreophryne</w:t>
      </w:r>
      <w:r>
        <w:rPr>
          <w:rStyle w:val="None A"/>
          <w:rtl w:val="0"/>
          <w:lang w:val="en-US"/>
        </w:rPr>
        <w:t xml:space="preserve"> B</w:t>
      </w:r>
      <w:r>
        <w:rPr>
          <w:rStyle w:val="None A"/>
          <w:rtl w:val="0"/>
          <w:lang w:val="en-US"/>
        </w:rPr>
        <w:t>”</w:t>
      </w:r>
      <w:r>
        <w:rPr>
          <w:rStyle w:val="None A"/>
          <w:rtl w:val="0"/>
          <w:lang w:val="en-US"/>
        </w:rPr>
        <w:t xml:space="preserve">. Furthermore, it is unknown whether it is possible to identify these groups with any morphological characters </w:t>
      </w:r>
      <w:r>
        <w:rPr>
          <w:rStyle w:val="None A"/>
          <w:rtl w:val="0"/>
          <w:lang w:val="en-US"/>
        </w:rPr>
        <w:t xml:space="preserve">– </w:t>
      </w:r>
      <w:r>
        <w:rPr>
          <w:rStyle w:val="None A"/>
          <w:rtl w:val="0"/>
          <w:lang w:val="en-US"/>
        </w:rPr>
        <w:t xml:space="preserve">there may in fact be no reliable diagnostic characters, rendering phylogenetic taxonomic definitions for each clade an imperative for evolutionary study. The aims of this study are to assess the phylogenetic position of the newly available type species of </w:t>
      </w:r>
      <w:r>
        <w:rPr>
          <w:i w:val="1"/>
          <w:iCs w:val="1"/>
          <w:rtl w:val="0"/>
          <w:lang w:val="en-US"/>
        </w:rPr>
        <w:t>Oreophryne</w:t>
      </w:r>
      <w:r>
        <w:rPr>
          <w:rStyle w:val="None A"/>
          <w:rtl w:val="0"/>
          <w:lang w:val="en-US"/>
        </w:rPr>
        <w:t xml:space="preserve"> to name and describe the new genus, and to develop phylogenetic definitions for both clades in the context of the subfamily-level Asterophrinae phylogeny including representatives from all known genera. Furthermore, we analyze the morphological characteristics to assess whether morphological diagnosis is possible, and consider whether there are any additional features to assist collectors when identifying putative </w:t>
      </w:r>
      <w:r>
        <w:rPr>
          <w:i w:val="1"/>
          <w:iCs w:val="1"/>
          <w:rtl w:val="0"/>
          <w:lang w:val="en-US"/>
        </w:rPr>
        <w:t>Oreophryne</w:t>
      </w:r>
      <w:r>
        <w:rPr>
          <w:rStyle w:val="None A"/>
          <w:rtl w:val="0"/>
          <w:lang w:val="en-US"/>
        </w:rPr>
        <w:t xml:space="preserve"> in the field (e.g., call type, geography, other characters), and discuss the implications of having misleading diagnostic characters for evolutionary studies. Inclusion of samples in molecular phylogenetics is not enough, and indeed it is necessary to include explicit tests of monophyly when proposing a new taxonomy.</w:t>
      </w:r>
      <w:bookmarkEnd w:id="1"/>
    </w:p>
    <w:p>
      <w:pPr>
        <w:pStyle w:val="heading 4"/>
        <w:jc w:val="center"/>
        <w:rPr>
          <w:i w:val="0"/>
          <w:iCs w:val="0"/>
          <w:caps w:val="0"/>
          <w:smallCaps w:val="0"/>
          <w:outline w:val="0"/>
          <w:color w:val="000000"/>
          <w:sz w:val="32"/>
          <w:szCs w:val="32"/>
          <w14:textFill>
            <w14:solidFill>
              <w14:srgbClr w14:val="000000"/>
            </w14:solidFill>
          </w14:textFill>
        </w:rPr>
      </w:pPr>
      <w:bookmarkStart w:name="taxonomichistory" w:id="2"/>
      <w:r>
        <w:rPr>
          <w:i w:val="0"/>
          <w:iCs w:val="0"/>
          <w:caps w:val="0"/>
          <w:smallCaps w:val="0"/>
          <w:outline w:val="0"/>
          <w:color w:val="000000"/>
          <w:sz w:val="32"/>
          <w:szCs w:val="32"/>
          <w:rtl w:val="0"/>
          <w:lang w:val="en-US"/>
          <w14:textFill>
            <w14:solidFill>
              <w14:srgbClr w14:val="000000"/>
            </w14:solidFill>
          </w14:textFill>
        </w:rPr>
        <w:t>Taxonomic History</w:t>
      </w:r>
    </w:p>
    <w:p>
      <w:pPr>
        <w:pStyle w:val="First Paragraph"/>
      </w:pPr>
      <w:r>
        <w:rPr>
          <w:rStyle w:val="None A"/>
          <w:rtl w:val="0"/>
          <w:lang w:val="en-US"/>
        </w:rPr>
        <w:t xml:space="preserve">Boettger (1895) described the genus </w:t>
      </w:r>
      <w:r>
        <w:rPr>
          <w:i w:val="1"/>
          <w:iCs w:val="1"/>
          <w:rtl w:val="0"/>
          <w:lang w:val="en-US"/>
        </w:rPr>
        <w:t>Oreoprhyne</w:t>
      </w:r>
      <w:r>
        <w:rPr>
          <w:rStyle w:val="None A"/>
          <w:rtl w:val="0"/>
          <w:lang w:val="en-US"/>
        </w:rPr>
        <w:t xml:space="preserve"> and the species </w:t>
      </w:r>
      <w:r>
        <w:rPr>
          <w:i w:val="1"/>
          <w:iCs w:val="1"/>
          <w:rtl w:val="0"/>
          <w:lang w:val="en-US"/>
        </w:rPr>
        <w:t>Oreophryne senckenbergiana</w:t>
      </w:r>
      <w:r>
        <w:rPr>
          <w:rStyle w:val="None A"/>
          <w:rtl w:val="0"/>
          <w:lang w:val="en-US"/>
        </w:rPr>
        <w:t xml:space="preserve"> on the basis of three specimens from Halmahera Island, in the Maluku Archipelago west of New Guinea, that lacked procoracoids and had cartilaginous sterna. He also noted the presence of expanded finger and toe pads and transverse folds of skin in the palate. Parker (1934) noted that procoracoids were present, but were reduced and re-diagnosed the genus on the basis of this feature together with the presence of reduced clavicles, no omosternum, and a large cartilaginous sternum; all characters of the pectoral girdle and sternum. Zweifel (2003) noted that </w:t>
      </w:r>
      <w:r>
        <w:rPr>
          <w:rStyle w:val="None A"/>
          <w:rtl w:val="0"/>
          <w:lang w:val="en-US"/>
        </w:rPr>
        <w:t>“</w:t>
      </w:r>
      <w:r>
        <w:rPr>
          <w:rStyle w:val="None A"/>
          <w:rtl w:val="0"/>
          <w:lang w:val="en-US"/>
        </w:rPr>
        <w:t>the clavicles are tiny, slightly curved bones lying on (ventral to) the procoracoid cartilage and apart from the midline and the scapula.</w:t>
      </w:r>
      <w:r>
        <w:rPr>
          <w:rStyle w:val="None A"/>
          <w:rtl w:val="0"/>
          <w:lang w:val="en-US"/>
        </w:rPr>
        <w:t xml:space="preserve">” </w:t>
      </w:r>
      <w:r>
        <w:rPr>
          <w:rStyle w:val="None A"/>
          <w:rtl w:val="0"/>
          <w:lang w:val="en-US"/>
        </w:rPr>
        <w:t>On the basis of these features there are now 75 recognized species in the genus (Frost, 2024).</w:t>
      </w:r>
    </w:p>
    <w:p>
      <w:pPr>
        <w:pStyle w:val="Body Text"/>
      </w:pPr>
      <w:r>
        <w:rPr>
          <w:rStyle w:val="None A"/>
          <w:rtl w:val="0"/>
          <w:lang w:val="en-US"/>
        </w:rPr>
        <w:t xml:space="preserve">We note that </w:t>
      </w:r>
      <w:r>
        <w:rPr>
          <w:i w:val="1"/>
          <w:iCs w:val="1"/>
          <w:rtl w:val="0"/>
          <w:lang w:val="en-US"/>
        </w:rPr>
        <w:t>O. senckenbergiana</w:t>
      </w:r>
      <w:r>
        <w:rPr>
          <w:rStyle w:val="None A"/>
          <w:rtl w:val="0"/>
          <w:lang w:val="en-US"/>
        </w:rPr>
        <w:t xml:space="preserve"> was synonymized (Parker, 1934) with </w:t>
      </w:r>
      <w:r>
        <w:rPr>
          <w:i w:val="1"/>
          <w:iCs w:val="1"/>
          <w:rtl w:val="0"/>
          <w:lang w:val="en-US"/>
        </w:rPr>
        <w:t>Microhyla achatina var. moluccensis</w:t>
      </w:r>
      <w:r>
        <w:rPr>
          <w:rStyle w:val="None A"/>
          <w:rtl w:val="0"/>
          <w:lang w:val="en-US"/>
        </w:rPr>
        <w:t xml:space="preserve"> described by Peters &amp; Doria (1878) from Bacan and Ternate islands, based on morphology and the taxon is currently known as </w:t>
      </w:r>
      <w:r>
        <w:rPr>
          <w:i w:val="1"/>
          <w:iCs w:val="1"/>
          <w:rtl w:val="0"/>
          <w:lang w:val="en-US"/>
        </w:rPr>
        <w:t>O. moluccensis</w:t>
      </w:r>
      <w:r>
        <w:rPr>
          <w:rStyle w:val="None A"/>
          <w:rtl w:val="0"/>
          <w:lang w:val="en-US"/>
        </w:rPr>
        <w:t>. While Parker</w:t>
      </w:r>
      <w:r>
        <w:rPr>
          <w:rStyle w:val="None A"/>
          <w:rtl w:val="0"/>
          <w:lang w:val="en-US"/>
        </w:rPr>
        <w:t>ʻ</w:t>
      </w:r>
      <w:r>
        <w:rPr>
          <w:rStyle w:val="None A"/>
          <w:rtl w:val="0"/>
          <w:lang w:val="en-US"/>
        </w:rPr>
        <w:t xml:space="preserve">s (1934) methodology was standard at the time, genetic information has revealed that cryptic species are rampant in this group, with species readily separated by distance and oceanic barriers (Hill </w:t>
      </w:r>
      <w:r>
        <w:rPr>
          <w:i w:val="1"/>
          <w:iCs w:val="1"/>
          <w:rtl w:val="0"/>
          <w:lang w:val="en-US"/>
        </w:rPr>
        <w:t>et al.</w:t>
      </w:r>
      <w:r>
        <w:rPr>
          <w:rStyle w:val="None A"/>
          <w:rtl w:val="0"/>
          <w:lang w:val="en-US"/>
        </w:rPr>
        <w:t xml:space="preserve">, 2022, 2023b). Because </w:t>
      </w:r>
      <w:r>
        <w:rPr>
          <w:i w:val="1"/>
          <w:iCs w:val="1"/>
          <w:rtl w:val="0"/>
          <w:lang w:val="en-US"/>
        </w:rPr>
        <w:t>O. senckenbergiana</w:t>
      </w:r>
      <w:r>
        <w:rPr>
          <w:rStyle w:val="None A"/>
          <w:rtl w:val="0"/>
          <w:lang w:val="en-US"/>
        </w:rPr>
        <w:t xml:space="preserve"> was described from Halmahera island, and Bacan and Ternate are smaller offshore islands of Halmahera, it is likely that they are different species that should be confirmed with molecular evidence.</w:t>
      </w:r>
    </w:p>
    <w:p>
      <w:pPr>
        <w:pStyle w:val="Body Text"/>
      </w:pPr>
      <w:r>
        <w:rPr>
          <w:rStyle w:val="None A"/>
          <w:rtl w:val="0"/>
          <w:lang w:val="en-US"/>
        </w:rPr>
        <w:t xml:space="preserve">Large scale molecular phylogenetic analysis with many ingroup samples was required to reveal that this morphologically united group contains two reciprocally monophyletic clades that are not sister taxa (Hill </w:t>
      </w:r>
      <w:r>
        <w:rPr>
          <w:i w:val="1"/>
          <w:iCs w:val="1"/>
          <w:rtl w:val="0"/>
          <w:lang w:val="en-US"/>
        </w:rPr>
        <w:t>et al.</w:t>
      </w:r>
      <w:r>
        <w:rPr>
          <w:rStyle w:val="None A"/>
          <w:rtl w:val="0"/>
          <w:lang w:val="en-US"/>
        </w:rPr>
        <w:t>, 2022, 2023b). Early molecular phylogenetic studies suggested monophyly but only included a few species within a larger-scale study (K</w:t>
      </w:r>
      <w:r>
        <w:rPr>
          <w:rStyle w:val="None A"/>
          <w:rtl w:val="0"/>
          <w:lang w:val="en-US"/>
        </w:rPr>
        <w:t>ö</w:t>
      </w:r>
      <w:r>
        <w:rPr>
          <w:rStyle w:val="None A"/>
          <w:rtl w:val="0"/>
          <w:lang w:val="en-US"/>
        </w:rPr>
        <w:t>hler &amp; G</w:t>
      </w:r>
      <w:r>
        <w:rPr>
          <w:rStyle w:val="None A"/>
          <w:rtl w:val="0"/>
          <w:lang w:val="en-US"/>
        </w:rPr>
        <w:t>ü</w:t>
      </w:r>
      <w:r>
        <w:rPr>
          <w:rStyle w:val="None A"/>
          <w:rtl w:val="0"/>
          <w:lang w:val="en-US"/>
        </w:rPr>
        <w:t xml:space="preserve">nther, 2008 included 9 </w:t>
      </w:r>
      <w:r>
        <w:rPr>
          <w:i w:val="1"/>
          <w:iCs w:val="1"/>
          <w:rtl w:val="0"/>
          <w:lang w:val="en-US"/>
        </w:rPr>
        <w:t>Oreophryne</w:t>
      </w:r>
      <w:r>
        <w:rPr>
          <w:rStyle w:val="None A"/>
          <w:rtl w:val="0"/>
          <w:lang w:val="en-US"/>
        </w:rPr>
        <w:t xml:space="preserve"> species; de Sa </w:t>
      </w:r>
      <w:r>
        <w:rPr>
          <w:i w:val="1"/>
          <w:iCs w:val="1"/>
          <w:rtl w:val="0"/>
          <w:lang w:val="en-US"/>
        </w:rPr>
        <w:t>et al.</w:t>
      </w:r>
      <w:r>
        <w:rPr>
          <w:rStyle w:val="None A"/>
          <w:rtl w:val="0"/>
          <w:lang w:val="en-US"/>
        </w:rPr>
        <w:t xml:space="preserve">, 2012 included 4). Rivera </w:t>
      </w:r>
      <w:r>
        <w:rPr>
          <w:i w:val="1"/>
          <w:iCs w:val="1"/>
          <w:rtl w:val="0"/>
          <w:lang w:val="en-US"/>
        </w:rPr>
        <w:t>et al.</w:t>
      </w:r>
      <w:r>
        <w:rPr>
          <w:rStyle w:val="None A"/>
          <w:rtl w:val="0"/>
          <w:lang w:val="en-US"/>
        </w:rPr>
        <w:t xml:space="preserve"> (2017) provided the first molecular evidence of a polyphyletic </w:t>
      </w:r>
      <w:r>
        <w:rPr>
          <w:i w:val="1"/>
          <w:iCs w:val="1"/>
          <w:rtl w:val="0"/>
          <w:lang w:val="en-US"/>
        </w:rPr>
        <w:t>Oreophryne</w:t>
      </w:r>
      <w:r>
        <w:rPr>
          <w:rStyle w:val="None A"/>
          <w:rtl w:val="0"/>
          <w:lang w:val="en-US"/>
        </w:rPr>
        <w:t xml:space="preserve"> with 36 </w:t>
      </w:r>
      <w:r>
        <w:rPr>
          <w:i w:val="1"/>
          <w:iCs w:val="1"/>
          <w:rtl w:val="0"/>
          <w:lang w:val="en-US"/>
        </w:rPr>
        <w:t>Oreophryne</w:t>
      </w:r>
      <w:r>
        <w:rPr>
          <w:rStyle w:val="None A"/>
          <w:rtl w:val="0"/>
          <w:lang w:val="en-US"/>
        </w:rPr>
        <w:t xml:space="preserve"> species within a larger phylogeny Asterophryinae which included 155 samples, followed by Tu </w:t>
      </w:r>
      <w:r>
        <w:rPr>
          <w:i w:val="1"/>
          <w:iCs w:val="1"/>
          <w:rtl w:val="0"/>
          <w:lang w:val="en-US"/>
        </w:rPr>
        <w:t>et al.</w:t>
      </w:r>
      <w:r>
        <w:rPr>
          <w:rStyle w:val="None A"/>
          <w:rtl w:val="0"/>
          <w:lang w:val="en-US"/>
        </w:rPr>
        <w:t xml:space="preserve"> (2018)</w:t>
      </w:r>
      <w:r>
        <w:rPr>
          <w:rStyle w:val="None A"/>
          <w:rtl w:val="0"/>
          <w:lang w:val="en-US"/>
        </w:rPr>
        <w:t>’</w:t>
      </w:r>
      <w:r>
        <w:rPr>
          <w:rStyle w:val="None A"/>
          <w:rtl w:val="0"/>
          <w:lang w:val="en-US"/>
        </w:rPr>
        <w:t xml:space="preserve">s sparse supermatrix approach with 18 species of </w:t>
      </w:r>
      <w:r>
        <w:rPr>
          <w:i w:val="1"/>
          <w:iCs w:val="1"/>
          <w:rtl w:val="0"/>
          <w:lang w:val="en-US"/>
        </w:rPr>
        <w:t>Oreophryne</w:t>
      </w:r>
      <w:r>
        <w:rPr>
          <w:rStyle w:val="None A"/>
          <w:rtl w:val="0"/>
          <w:lang w:val="en-US"/>
        </w:rPr>
        <w:t xml:space="preserve"> falling out in various places within a much larger phylogeny, but both of these lacked strong nodal support connecting the hypothesized clades to the backbone of the phylogeny and were thus inconclusive. The polyphyletic nature of </w:t>
      </w:r>
      <w:r>
        <w:rPr>
          <w:i w:val="1"/>
          <w:iCs w:val="1"/>
          <w:rtl w:val="0"/>
          <w:lang w:val="en-US"/>
        </w:rPr>
        <w:t>Oreophryne</w:t>
      </w:r>
      <w:r>
        <w:rPr>
          <w:rStyle w:val="None A"/>
          <w:rtl w:val="0"/>
          <w:lang w:val="en-US"/>
        </w:rPr>
        <w:t xml:space="preserve"> sensu lato was not clearly demonstrated until Hill et. al (2022, 2023b) included 44 species of </w:t>
      </w:r>
      <w:r>
        <w:rPr>
          <w:i w:val="1"/>
          <w:iCs w:val="1"/>
          <w:rtl w:val="0"/>
          <w:lang w:val="en-US"/>
        </w:rPr>
        <w:t>Oreophryne</w:t>
      </w:r>
      <w:r>
        <w:rPr>
          <w:rStyle w:val="None A"/>
          <w:rtl w:val="0"/>
          <w:lang w:val="en-US"/>
        </w:rPr>
        <w:t xml:space="preserve"> (with data 96% complete for sampled loci) within a 218 taxon phylogeny of Asterophryinae. This phylogeny is the most complete and robust phylogeny to date. The two clades, labeled </w:t>
      </w:r>
      <w:r>
        <w:rPr>
          <w:rStyle w:val="None A"/>
          <w:rtl w:val="0"/>
          <w:lang w:val="en-US"/>
        </w:rPr>
        <w:t>“</w:t>
      </w:r>
      <w:r>
        <w:rPr>
          <w:i w:val="1"/>
          <w:iCs w:val="1"/>
          <w:rtl w:val="0"/>
          <w:lang w:val="en-US"/>
        </w:rPr>
        <w:t>Oreophryne</w:t>
      </w:r>
      <w:r>
        <w:rPr>
          <w:rStyle w:val="None A"/>
          <w:rtl w:val="0"/>
          <w:lang w:val="en-US"/>
        </w:rPr>
        <w:t xml:space="preserve"> A</w:t>
      </w:r>
      <w:r>
        <w:rPr>
          <w:rStyle w:val="None A"/>
          <w:rtl w:val="0"/>
          <w:lang w:val="en-US"/>
        </w:rPr>
        <w:t xml:space="preserve">” </w:t>
      </w:r>
      <w:r>
        <w:rPr>
          <w:rStyle w:val="None A"/>
          <w:rtl w:val="0"/>
          <w:lang w:val="en-US"/>
        </w:rPr>
        <w:t xml:space="preserve">and </w:t>
      </w:r>
      <w:r>
        <w:rPr>
          <w:rStyle w:val="None A"/>
          <w:rtl w:val="0"/>
          <w:lang w:val="en-US"/>
        </w:rPr>
        <w:t>“</w:t>
      </w:r>
      <w:r>
        <w:rPr>
          <w:i w:val="1"/>
          <w:iCs w:val="1"/>
          <w:rtl w:val="0"/>
          <w:lang w:val="en-US"/>
        </w:rPr>
        <w:t>Oreophryne</w:t>
      </w:r>
      <w:r>
        <w:rPr>
          <w:rStyle w:val="None A"/>
          <w:rtl w:val="0"/>
          <w:lang w:val="en-US"/>
        </w:rPr>
        <w:t xml:space="preserve"> B</w:t>
      </w:r>
      <w:r>
        <w:rPr>
          <w:rStyle w:val="None A"/>
          <w:rtl w:val="0"/>
          <w:lang w:val="en-US"/>
        </w:rPr>
        <w:t xml:space="preserve">” </w:t>
      </w:r>
      <w:r>
        <w:rPr>
          <w:rStyle w:val="None A"/>
          <w:rtl w:val="0"/>
          <w:lang w:val="en-US"/>
        </w:rPr>
        <w:t xml:space="preserve">have deep histories of ~ 18MY and ~16MY, respectively, with </w:t>
      </w:r>
      <w:r>
        <w:rPr>
          <w:rStyle w:val="None A"/>
          <w:rtl w:val="0"/>
          <w:lang w:val="en-US"/>
        </w:rPr>
        <w:t>“</w:t>
      </w:r>
      <w:r>
        <w:rPr>
          <w:i w:val="1"/>
          <w:iCs w:val="1"/>
          <w:rtl w:val="0"/>
          <w:lang w:val="en-US"/>
        </w:rPr>
        <w:t>Oreophryne</w:t>
      </w:r>
      <w:r>
        <w:rPr>
          <w:rStyle w:val="None A"/>
          <w:rtl w:val="0"/>
          <w:lang w:val="en-US"/>
        </w:rPr>
        <w:t xml:space="preserve"> A</w:t>
      </w:r>
      <w:r>
        <w:rPr>
          <w:rStyle w:val="None A"/>
          <w:rtl w:val="0"/>
          <w:lang w:val="en-US"/>
        </w:rPr>
        <w:t xml:space="preserve">” </w:t>
      </w:r>
      <w:r>
        <w:rPr>
          <w:rStyle w:val="None A"/>
          <w:rtl w:val="0"/>
          <w:lang w:val="en-US"/>
        </w:rPr>
        <w:t xml:space="preserve">sister to the rest of the subfamily (Hill </w:t>
      </w:r>
      <w:r>
        <w:rPr>
          <w:i w:val="1"/>
          <w:iCs w:val="1"/>
          <w:rtl w:val="0"/>
          <w:lang w:val="en-US"/>
        </w:rPr>
        <w:t>et al.</w:t>
      </w:r>
      <w:r>
        <w:rPr>
          <w:rStyle w:val="None A"/>
          <w:rtl w:val="0"/>
          <w:lang w:val="en-US"/>
        </w:rPr>
        <w:t>, 2022, 2023b).</w:t>
      </w:r>
      <w:bookmarkEnd w:id="2"/>
    </w:p>
    <w:p>
      <w:pPr>
        <w:pStyle w:val="Heading"/>
        <w:jc w:val="center"/>
        <w:rPr>
          <w:caps w:val="1"/>
          <w:outline w:val="0"/>
          <w:color w:val="000000"/>
          <w14:textFill>
            <w14:solidFill>
              <w14:srgbClr w14:val="000000"/>
            </w14:solidFill>
          </w14:textFill>
        </w:rPr>
      </w:pPr>
      <w:bookmarkStart w:name="materialsandmethods" w:id="3"/>
      <w:r>
        <w:rPr>
          <w:caps w:val="1"/>
          <w:outline w:val="0"/>
          <w:color w:val="000000"/>
          <w:rtl w:val="0"/>
          <w:lang w:val="en-US"/>
          <w14:textFill>
            <w14:solidFill>
              <w14:srgbClr w14:val="000000"/>
            </w14:solidFill>
          </w14:textFill>
        </w:rPr>
        <w:t>Materials and Methods</w:t>
      </w:r>
      <w:bookmarkEnd w:id="3"/>
    </w:p>
    <w:p>
      <w:pPr>
        <w:pStyle w:val="Heading 2"/>
        <w:jc w:val="center"/>
        <w:rPr>
          <w:outline w:val="0"/>
          <w:color w:val="000000"/>
          <w14:textFill>
            <w14:solidFill>
              <w14:srgbClr w14:val="000000"/>
            </w14:solidFill>
          </w14:textFill>
        </w:rPr>
      </w:pPr>
      <w:bookmarkStart w:name="taxonsampling" w:id="4"/>
      <w:r>
        <w:rPr>
          <w:outline w:val="0"/>
          <w:color w:val="000000"/>
          <w:rtl w:val="0"/>
          <w:lang w:val="en-US"/>
          <w14:textFill>
            <w14:solidFill>
              <w14:srgbClr w14:val="000000"/>
            </w14:solidFill>
          </w14:textFill>
        </w:rPr>
        <w:t>Taxon Sampling</w:t>
      </w:r>
    </w:p>
    <w:p>
      <w:pPr>
        <w:pStyle w:val="First Paragraph"/>
      </w:pPr>
      <w:r>
        <w:rPr>
          <w:rStyle w:val="None A"/>
          <w:rtl w:val="0"/>
          <w:lang w:val="en-US"/>
        </w:rPr>
        <w:t xml:space="preserve">Asterophryinae is an adaptive radiation with short branch lengths along the backbone separating currently recognized genera (Rivera </w:t>
      </w:r>
      <w:r>
        <w:rPr>
          <w:i w:val="1"/>
          <w:iCs w:val="1"/>
          <w:rtl w:val="0"/>
          <w:lang w:val="en-US"/>
        </w:rPr>
        <w:t>et al.</w:t>
      </w:r>
      <w:r>
        <w:rPr>
          <w:rStyle w:val="None A"/>
          <w:rtl w:val="0"/>
          <w:lang w:val="en-US"/>
        </w:rPr>
        <w:t xml:space="preserve">, 2017; Hill </w:t>
      </w:r>
      <w:r>
        <w:rPr>
          <w:i w:val="1"/>
          <w:iCs w:val="1"/>
          <w:rtl w:val="0"/>
          <w:lang w:val="en-US"/>
        </w:rPr>
        <w:t>et al.</w:t>
      </w:r>
      <w:r>
        <w:rPr>
          <w:rStyle w:val="None A"/>
          <w:rtl w:val="0"/>
          <w:lang w:val="en-US"/>
        </w:rPr>
        <w:t xml:space="preserve">, 2022, 2023b); we reconstruct the phylogeny of </w:t>
      </w:r>
      <w:r>
        <w:rPr>
          <w:i w:val="1"/>
          <w:iCs w:val="1"/>
          <w:rtl w:val="0"/>
          <w:lang w:val="en-US"/>
        </w:rPr>
        <w:t>Oreophryne</w:t>
      </w:r>
      <w:r>
        <w:rPr>
          <w:rStyle w:val="None A"/>
          <w:rtl w:val="0"/>
          <w:lang w:val="en-US"/>
        </w:rPr>
        <w:t xml:space="preserve"> sensu lato within the larger context of the subfamily. We include 30 named species and 18 unnamed species of </w:t>
      </w:r>
      <w:r>
        <w:rPr>
          <w:i w:val="1"/>
          <w:iCs w:val="1"/>
          <w:rtl w:val="0"/>
          <w:lang w:val="en-US"/>
        </w:rPr>
        <w:t>Oreophryne</w:t>
      </w:r>
      <w:r>
        <w:rPr>
          <w:rStyle w:val="None A"/>
          <w:rtl w:val="0"/>
          <w:lang w:val="en-US"/>
        </w:rPr>
        <w:t xml:space="preserve"> within a larger dataset of 234 samples of 203 species of Asterophryinae collected across New Guinea, the Philippines, and Indonesia with three outgroup species to root the phylogeny (</w:t>
      </w:r>
      <w:r>
        <w:rPr>
          <w:i w:val="1"/>
          <w:iCs w:val="1"/>
          <w:rtl w:val="0"/>
          <w:lang w:val="en-US"/>
        </w:rPr>
        <w:t>Dyscophus antongilii</w:t>
      </w:r>
      <w:r>
        <w:rPr>
          <w:rStyle w:val="None A"/>
          <w:rtl w:val="0"/>
          <w:lang w:val="en-US"/>
        </w:rPr>
        <w:t xml:space="preserve">, </w:t>
      </w:r>
      <w:r>
        <w:rPr>
          <w:i w:val="1"/>
          <w:iCs w:val="1"/>
          <w:rtl w:val="0"/>
          <w:lang w:val="en-US"/>
        </w:rPr>
        <w:t>Scaphiophryne marmorata</w:t>
      </w:r>
      <w:r>
        <w:rPr>
          <w:rStyle w:val="None A"/>
          <w:rtl w:val="0"/>
          <w:lang w:val="en-US"/>
        </w:rPr>
        <w:t xml:space="preserve">, and </w:t>
      </w:r>
      <w:r>
        <w:rPr>
          <w:i w:val="1"/>
          <w:iCs w:val="1"/>
          <w:rtl w:val="0"/>
          <w:lang w:val="en-US"/>
        </w:rPr>
        <w:t>Platypelis grandis</w:t>
      </w:r>
      <w:r>
        <w:rPr>
          <w:rStyle w:val="None A"/>
          <w:rtl w:val="0"/>
          <w:lang w:val="en-US"/>
        </w:rPr>
        <w:t xml:space="preserve">). Importantly, we include the type species </w:t>
      </w:r>
      <w:r>
        <w:rPr>
          <w:i w:val="1"/>
          <w:iCs w:val="1"/>
          <w:rtl w:val="0"/>
          <w:lang w:val="en-US"/>
        </w:rPr>
        <w:t>Oreophryne senckenbergiana</w:t>
      </w:r>
      <w:r>
        <w:rPr>
          <w:rStyle w:val="None A"/>
          <w:rtl w:val="0"/>
          <w:lang w:val="en-US"/>
        </w:rPr>
        <w:t xml:space="preserve"> (Boettger, 1895) in a molecular phylogeny for the first time. The samples were collected in Halmahera, North Maluku Province, Indonesia by Iqbal Setiadi , Table</w:t>
      </w:r>
      <w:r>
        <w:rPr>
          <w:rStyle w:val="None A"/>
          <w:rtl w:val="0"/>
          <w:lang w:val="en-US"/>
        </w:rPr>
        <w:t> </w:t>
      </w:r>
      <w:r>
        <w:rPr>
          <w:rStyle w:val="None A"/>
          <w:rtl w:val="0"/>
          <w:lang w:val="en-US"/>
        </w:rPr>
        <w:t xml:space="preserve">1, between Supu and Dodinga, two type localities for </w:t>
      </w:r>
      <w:r>
        <w:rPr>
          <w:i w:val="1"/>
          <w:iCs w:val="1"/>
          <w:rtl w:val="0"/>
          <w:lang w:val="en-US"/>
        </w:rPr>
        <w:t>O. senkenbergiana</w:t>
      </w:r>
      <w:r>
        <w:rPr>
          <w:rStyle w:val="None A"/>
          <w:rtl w:val="0"/>
          <w:lang w:val="en-US"/>
        </w:rPr>
        <w:t xml:space="preserve"> (Boettger, 1895), which was later synonymized with </w:t>
      </w:r>
      <w:r>
        <w:rPr>
          <w:i w:val="1"/>
          <w:iCs w:val="1"/>
          <w:rtl w:val="0"/>
          <w:lang w:val="en-US"/>
        </w:rPr>
        <w:t>O. moluccensis</w:t>
      </w:r>
      <w:r>
        <w:rPr>
          <w:rStyle w:val="None A"/>
          <w:rtl w:val="0"/>
          <w:lang w:val="en-US"/>
        </w:rPr>
        <w:t xml:space="preserve"> (Parker, 1934).</w:t>
      </w:r>
    </w:p>
    <w:p>
      <w:pPr>
        <w:pStyle w:val="First Paragraph"/>
        <w:widowControl w:val="0"/>
        <w:spacing w:line="240" w:lineRule="auto"/>
      </w:pPr>
      <w:bookmarkEnd w:id="4"/>
    </w:p>
    <w:p>
      <w:pPr>
        <w:pStyle w:val="Heading 3"/>
        <w:jc w:val="center"/>
        <w:rPr>
          <w:outline w:val="0"/>
          <w:color w:val="000000"/>
          <w:sz w:val="32"/>
          <w:szCs w:val="32"/>
          <w14:textFill>
            <w14:solidFill>
              <w14:srgbClr w14:val="000000"/>
            </w14:solidFill>
          </w14:textFill>
        </w:rPr>
      </w:pPr>
      <w:bookmarkStart w:name="molecularsequences" w:id="5"/>
      <w:r>
        <w:rPr>
          <w:outline w:val="0"/>
          <w:color w:val="000000"/>
          <w:sz w:val="32"/>
          <w:szCs w:val="32"/>
          <w:rtl w:val="0"/>
          <w:lang w:val="en-US"/>
          <w14:textFill>
            <w14:solidFill>
              <w14:srgbClr w14:val="000000"/>
            </w14:solidFill>
          </w14:textFill>
        </w:rPr>
        <w:t>Molecular Sequences</w:t>
      </w:r>
    </w:p>
    <w:p>
      <w:pPr>
        <w:pStyle w:val="First Paragraph"/>
      </w:pPr>
      <w:r>
        <w:rPr>
          <w:rStyle w:val="None A"/>
          <w:rtl w:val="0"/>
          <w:lang w:val="en-US"/>
        </w:rPr>
        <w:t xml:space="preserve">We obtained complete DNA sequence data for five loci (three nuclear: Seventh in Absentia [SIA], Brain Derived Neurotrophic Factor [BDNF], Sodium Calcium Exchange subunit-1 [NXC-1], and two mitochondrial loci (Cytochrome oxidase b [CYTB], and NADH dehydrogenase subunit 4 [ND4] from three samples of the type species (not previously sequenced) and combined these with previously published data (Rivera </w:t>
      </w:r>
      <w:r>
        <w:rPr>
          <w:i w:val="1"/>
          <w:iCs w:val="1"/>
          <w:rtl w:val="0"/>
          <w:lang w:val="en-US"/>
        </w:rPr>
        <w:t>et al.</w:t>
      </w:r>
      <w:r>
        <w:rPr>
          <w:rStyle w:val="None A"/>
          <w:rtl w:val="0"/>
          <w:lang w:val="en-US"/>
        </w:rPr>
        <w:t xml:space="preserve">, 2017; Hill </w:t>
      </w:r>
      <w:r>
        <w:rPr>
          <w:i w:val="1"/>
          <w:iCs w:val="1"/>
          <w:rtl w:val="0"/>
          <w:lang w:val="en-US"/>
        </w:rPr>
        <w:t>et al.</w:t>
      </w:r>
      <w:r>
        <w:rPr>
          <w:rStyle w:val="None A"/>
          <w:rtl w:val="0"/>
          <w:lang w:val="en-US"/>
        </w:rPr>
        <w:t xml:space="preserve">, 2022, 2023b) for a dataset of 240 samples with 207 species and 2475 base pairs that is 96% complete (loci complete for the added samples). Sequence quality was evaluated using chromatogram quality scores, checks for stop codons indicating pseudogenes, BLAST searches (Ye </w:t>
      </w:r>
      <w:r>
        <w:rPr>
          <w:i w:val="1"/>
          <w:iCs w:val="1"/>
          <w:rtl w:val="0"/>
          <w:lang w:val="en-US"/>
        </w:rPr>
        <w:t>et al.</w:t>
      </w:r>
      <w:r>
        <w:rPr>
          <w:rStyle w:val="None A"/>
          <w:rtl w:val="0"/>
          <w:lang w:val="en-US"/>
        </w:rPr>
        <w:t xml:space="preserve">, 2012), and concordance of pairwise similarities with other Asterophryinae sequences. Primer sequences and detailed methods including phylogenetic reconstruction are provided in (Hill </w:t>
      </w:r>
      <w:r>
        <w:rPr>
          <w:i w:val="1"/>
          <w:iCs w:val="1"/>
          <w:rtl w:val="0"/>
          <w:lang w:val="en-US"/>
        </w:rPr>
        <w:t>et al.</w:t>
      </w:r>
      <w:r>
        <w:rPr>
          <w:rStyle w:val="None A"/>
          <w:rtl w:val="0"/>
          <w:lang w:val="en-US"/>
        </w:rPr>
        <w:t xml:space="preserve">, 2023b). We note that we excluded from the previous alignment (Hill </w:t>
      </w:r>
      <w:r>
        <w:rPr>
          <w:i w:val="1"/>
          <w:iCs w:val="1"/>
          <w:rtl w:val="0"/>
          <w:lang w:val="en-US"/>
        </w:rPr>
        <w:t>et al.</w:t>
      </w:r>
      <w:r>
        <w:rPr>
          <w:rStyle w:val="None A"/>
          <w:rtl w:val="0"/>
          <w:lang w:val="en-US"/>
        </w:rPr>
        <w:t xml:space="preserve">, 2022, 2023b) two samples of </w:t>
      </w:r>
      <w:r>
        <w:rPr>
          <w:i w:val="1"/>
          <w:iCs w:val="1"/>
          <w:rtl w:val="0"/>
          <w:lang w:val="en-US"/>
        </w:rPr>
        <w:t>Aphantophryne pansa</w:t>
      </w:r>
      <w:r>
        <w:rPr>
          <w:rStyle w:val="None A"/>
          <w:rtl w:val="0"/>
          <w:lang w:val="en-US"/>
        </w:rPr>
        <w:t xml:space="preserve"> (BPBM 5299 and BPBM 8312) which were deemed unreliable as they came from formalin-fixed material, and three samples which fell out in odd places that should be confirmed with new material prior to recommending taxonomic revision (BPBM 22708 </w:t>
      </w:r>
      <w:r>
        <w:rPr>
          <w:i w:val="1"/>
          <w:iCs w:val="1"/>
          <w:rtl w:val="0"/>
          <w:lang w:val="en-US"/>
        </w:rPr>
        <w:t>Copiula tyleri</w:t>
      </w:r>
      <w:r>
        <w:rPr>
          <w:rStyle w:val="None A"/>
          <w:rtl w:val="0"/>
          <w:lang w:val="en-US"/>
        </w:rPr>
        <w:t xml:space="preserve">, BPBM 38939 </w:t>
      </w:r>
      <w:r>
        <w:rPr>
          <w:i w:val="1"/>
          <w:iCs w:val="1"/>
          <w:rtl w:val="0"/>
          <w:lang w:val="en-US"/>
        </w:rPr>
        <w:t>Copiula sp. 7</w:t>
      </w:r>
      <w:r>
        <w:rPr>
          <w:rStyle w:val="None A"/>
          <w:rtl w:val="0"/>
          <w:lang w:val="en-US"/>
        </w:rPr>
        <w:t xml:space="preserve">, BPBM 37753 </w:t>
      </w:r>
      <w:r>
        <w:rPr>
          <w:i w:val="1"/>
          <w:iCs w:val="1"/>
          <w:rtl w:val="0"/>
          <w:lang w:val="en-US"/>
        </w:rPr>
        <w:t>Paedophryne dekot</w:t>
      </w:r>
      <w:r>
        <w:rPr>
          <w:rStyle w:val="None A"/>
          <w:rtl w:val="0"/>
          <w:lang w:val="en-US"/>
        </w:rPr>
        <w:t xml:space="preserve">). We note that genetic material from 47 species of </w:t>
      </w:r>
      <w:r>
        <w:rPr>
          <w:i w:val="1"/>
          <w:iCs w:val="1"/>
          <w:rtl w:val="0"/>
          <w:lang w:val="en-US"/>
        </w:rPr>
        <w:t>Oreophryne</w:t>
      </w:r>
      <w:r>
        <w:rPr>
          <w:rStyle w:val="None A"/>
          <w:rtl w:val="0"/>
          <w:lang w:val="en-US"/>
        </w:rPr>
        <w:t xml:space="preserve"> sensu lato was not available for this molecular analysis.</w:t>
      </w:r>
      <w:bookmarkEnd w:id="5"/>
    </w:p>
    <w:p>
      <w:pPr>
        <w:pStyle w:val="Heading 3"/>
        <w:jc w:val="center"/>
        <w:rPr>
          <w:outline w:val="0"/>
          <w:color w:val="000000"/>
          <w:sz w:val="32"/>
          <w:szCs w:val="32"/>
          <w14:textFill>
            <w14:solidFill>
              <w14:srgbClr w14:val="000000"/>
            </w14:solidFill>
          </w14:textFill>
        </w:rPr>
      </w:pPr>
      <w:bookmarkStart w:name="X891284e0a0cb4c95d3f14f43be5136f71288feb" w:id="6"/>
      <w:r>
        <w:rPr>
          <w:outline w:val="0"/>
          <w:color w:val="000000"/>
          <w:sz w:val="32"/>
          <w:szCs w:val="32"/>
          <w:rtl w:val="0"/>
          <w:lang w:val="en-US"/>
          <w14:textFill>
            <w14:solidFill>
              <w14:srgbClr w14:val="000000"/>
            </w14:solidFill>
          </w14:textFill>
        </w:rPr>
        <w:t>Morphology, Behavior, and Geographic Distribution</w:t>
      </w:r>
    </w:p>
    <w:p>
      <w:pPr>
        <w:pStyle w:val="First Paragraph"/>
      </w:pPr>
      <w:r>
        <w:rPr>
          <w:rStyle w:val="None A"/>
          <w:rtl w:val="0"/>
          <w:lang w:val="en-US"/>
        </w:rPr>
        <w:t xml:space="preserve">We examined new morphological characters and reexamined traits compiled from the literature [Boettger (1895); Parker (1934); Kraus (2016); character states defined in Table 2] for all named species of </w:t>
      </w:r>
      <w:r>
        <w:rPr>
          <w:i w:val="1"/>
          <w:iCs w:val="1"/>
          <w:rtl w:val="0"/>
          <w:lang w:val="en-US"/>
        </w:rPr>
        <w:t>Oreophryne</w:t>
      </w:r>
      <w:r>
        <w:rPr>
          <w:rStyle w:val="None A"/>
          <w:rtl w:val="0"/>
          <w:lang w:val="en-US"/>
        </w:rPr>
        <w:t xml:space="preserve"> in our phylogenetic dataset. Our sample included all species available in the collections of the Bishop Museum, Honolulu, Hawaii (BPBM): thirteen species of </w:t>
      </w:r>
      <w:r>
        <w:rPr>
          <w:rStyle w:val="None A"/>
          <w:rtl w:val="0"/>
          <w:lang w:val="en-US"/>
        </w:rPr>
        <w:t>“</w:t>
      </w:r>
      <w:r>
        <w:rPr>
          <w:i w:val="1"/>
          <w:iCs w:val="1"/>
          <w:rtl w:val="0"/>
          <w:lang w:val="en-US"/>
        </w:rPr>
        <w:t>Oreophryne</w:t>
      </w:r>
      <w:r>
        <w:rPr>
          <w:rStyle w:val="None A"/>
          <w:rtl w:val="0"/>
          <w:lang w:val="en-US"/>
        </w:rPr>
        <w:t xml:space="preserve"> A</w:t>
      </w:r>
      <w:r>
        <w:rPr>
          <w:rStyle w:val="None A"/>
          <w:rtl w:val="0"/>
          <w:lang w:val="en-US"/>
        </w:rPr>
        <w:t>”</w:t>
      </w:r>
      <w:r>
        <w:rPr>
          <w:rStyle w:val="None A"/>
          <w:rtl w:val="0"/>
          <w:lang w:val="en-US"/>
        </w:rPr>
        <w:t xml:space="preserve">, eight species </w:t>
      </w:r>
      <w:r>
        <w:rPr>
          <w:rStyle w:val="None A"/>
          <w:rtl w:val="0"/>
          <w:lang w:val="en-US"/>
        </w:rPr>
        <w:t>“</w:t>
      </w:r>
      <w:r>
        <w:rPr>
          <w:i w:val="1"/>
          <w:iCs w:val="1"/>
          <w:rtl w:val="0"/>
          <w:lang w:val="en-US"/>
        </w:rPr>
        <w:t>Oreophryne</w:t>
      </w:r>
      <w:r>
        <w:rPr>
          <w:rStyle w:val="None A"/>
          <w:rtl w:val="0"/>
          <w:lang w:val="en-US"/>
        </w:rPr>
        <w:t xml:space="preserve"> B</w:t>
      </w:r>
      <w:r>
        <w:rPr>
          <w:rStyle w:val="None A"/>
          <w:rtl w:val="0"/>
          <w:lang w:val="en-US"/>
        </w:rPr>
        <w:t xml:space="preserve">” </w:t>
      </w:r>
      <w:r>
        <w:rPr>
          <w:rStyle w:val="None A"/>
          <w:rtl w:val="0"/>
          <w:lang w:val="en-US"/>
        </w:rPr>
        <w:t>(Table</w:t>
      </w:r>
      <w:r>
        <w:rPr>
          <w:rStyle w:val="None A"/>
          <w:rtl w:val="0"/>
          <w:lang w:val="en-US"/>
        </w:rPr>
        <w:t> </w:t>
      </w:r>
      <w:r>
        <w:rPr>
          <w:rStyle w:val="None A"/>
          <w:rtl w:val="0"/>
          <w:lang w:val="en-US"/>
        </w:rPr>
        <w:t xml:space="preserve">3). Finger and toe pads were photographed and length and width of the toe tips were measured using ImageJ software. Trait information for the remaining species were gathered from the literature, six species of </w:t>
      </w:r>
      <w:r>
        <w:rPr>
          <w:rStyle w:val="None A"/>
          <w:rtl w:val="0"/>
          <w:lang w:val="en-US"/>
        </w:rPr>
        <w:t>“</w:t>
      </w:r>
      <w:r>
        <w:rPr>
          <w:rStyle w:val="None A"/>
          <w:rtl w:val="0"/>
          <w:lang w:val="en-US"/>
        </w:rPr>
        <w:t>Oreophryne A</w:t>
      </w:r>
      <w:r>
        <w:rPr>
          <w:rStyle w:val="None A"/>
          <w:rtl w:val="0"/>
          <w:lang w:val="en-US"/>
        </w:rPr>
        <w:t xml:space="preserve">” </w:t>
      </w:r>
      <w:r>
        <w:rPr>
          <w:rStyle w:val="None A"/>
          <w:rtl w:val="0"/>
          <w:lang w:val="en-US"/>
        </w:rPr>
        <w:t xml:space="preserve">and one of </w:t>
      </w:r>
      <w:r>
        <w:rPr>
          <w:rStyle w:val="None A"/>
          <w:rtl w:val="0"/>
          <w:lang w:val="en-US"/>
        </w:rPr>
        <w:t>“</w:t>
      </w:r>
      <w:r>
        <w:rPr>
          <w:i w:val="1"/>
          <w:iCs w:val="1"/>
          <w:rtl w:val="0"/>
          <w:lang w:val="en-US"/>
        </w:rPr>
        <w:t>Oreophryne</w:t>
      </w:r>
      <w:r>
        <w:rPr>
          <w:rStyle w:val="None A"/>
          <w:rtl w:val="0"/>
          <w:lang w:val="en-US"/>
        </w:rPr>
        <w:t xml:space="preserve"> B</w:t>
      </w:r>
      <w:r>
        <w:rPr>
          <w:rStyle w:val="None A"/>
          <w:rtl w:val="0"/>
          <w:lang w:val="en-US"/>
        </w:rPr>
        <w:t>”</w:t>
      </w:r>
      <w:r>
        <w:rPr>
          <w:rStyle w:val="None A"/>
          <w:rtl w:val="0"/>
          <w:lang w:val="en-US"/>
        </w:rPr>
        <w:t>. In addition, we compiled information on call type from the literature and collection location from the respective collectors or the BPBM database (global positioning coordinates [GPS]; Table</w:t>
      </w:r>
      <w:r>
        <w:rPr>
          <w:rStyle w:val="None A"/>
          <w:rtl w:val="0"/>
          <w:lang w:val="en-US"/>
        </w:rPr>
        <w:t> </w:t>
      </w:r>
      <w:r>
        <w:rPr>
          <w:rStyle w:val="None A"/>
          <w:rtl w:val="0"/>
          <w:lang w:val="en-US"/>
        </w:rPr>
        <w:t xml:space="preserve">3). We examined the ability of morphological and behavioral characters to provide a diagnosis to the two </w:t>
      </w:r>
      <w:r>
        <w:rPr>
          <w:i w:val="1"/>
          <w:iCs w:val="1"/>
          <w:rtl w:val="0"/>
          <w:lang w:val="en-US"/>
        </w:rPr>
        <w:t>Oreophryne</w:t>
      </w:r>
      <w:r>
        <w:rPr>
          <w:rStyle w:val="None A"/>
          <w:rtl w:val="0"/>
          <w:lang w:val="en-US"/>
        </w:rPr>
        <w:t xml:space="preserve"> clades consistent with molecular phylogenetics.</w:t>
      </w:r>
    </w:p>
    <w:p>
      <w:pPr>
        <w:pStyle w:val="First Paragraph"/>
        <w:widowControl w:val="0"/>
        <w:spacing w:line="240" w:lineRule="auto"/>
      </w:pPr>
      <w:bookmarkEnd w:id="6"/>
    </w:p>
    <w:p>
      <w:pPr>
        <w:pStyle w:val="Heading 2"/>
        <w:jc w:val="center"/>
        <w:rPr>
          <w:outline w:val="0"/>
          <w:color w:val="000000"/>
          <w14:textFill>
            <w14:solidFill>
              <w14:srgbClr w14:val="000000"/>
            </w14:solidFill>
          </w14:textFill>
        </w:rPr>
      </w:pPr>
      <w:bookmarkStart w:name="nomenclature" w:id="7"/>
      <w:r>
        <w:rPr>
          <w:outline w:val="0"/>
          <w:color w:val="000000"/>
          <w:rtl w:val="0"/>
          <w:lang w:val="en-US"/>
          <w14:textFill>
            <w14:solidFill>
              <w14:srgbClr w14:val="000000"/>
            </w14:solidFill>
          </w14:textFill>
        </w:rPr>
        <w:t>Nomenclature</w:t>
      </w:r>
    </w:p>
    <w:p>
      <w:pPr>
        <w:pStyle w:val="First Paragraph"/>
      </w:pPr>
      <w:r>
        <w:rPr>
          <w:rStyle w:val="None A"/>
          <w:rtl w:val="0"/>
          <w:lang w:val="en-US"/>
        </w:rPr>
        <w:t xml:space="preserve">We conducted a comprehensive taxonomic literature review of diagnoses for all species known to belong to the clades </w:t>
      </w:r>
      <w:r>
        <w:rPr>
          <w:rStyle w:val="None A"/>
          <w:rtl w:val="0"/>
          <w:lang w:val="en-US"/>
        </w:rPr>
        <w:t>“</w:t>
      </w:r>
      <w:r>
        <w:rPr>
          <w:i w:val="1"/>
          <w:iCs w:val="1"/>
          <w:rtl w:val="0"/>
          <w:lang w:val="en-US"/>
        </w:rPr>
        <w:t>Oreophryne</w:t>
      </w:r>
      <w:r>
        <w:rPr>
          <w:rStyle w:val="None A"/>
          <w:rtl w:val="0"/>
          <w:lang w:val="en-US"/>
        </w:rPr>
        <w:t xml:space="preserve"> A</w:t>
      </w:r>
      <w:r>
        <w:rPr>
          <w:rStyle w:val="None A"/>
          <w:rtl w:val="0"/>
          <w:lang w:val="en-US"/>
        </w:rPr>
        <w:t xml:space="preserve">” </w:t>
      </w:r>
      <w:r>
        <w:rPr>
          <w:rStyle w:val="None A"/>
          <w:rtl w:val="0"/>
          <w:lang w:val="en-US"/>
        </w:rPr>
        <w:t xml:space="preserve">and </w:t>
      </w:r>
      <w:r>
        <w:rPr>
          <w:rStyle w:val="None A"/>
          <w:rtl w:val="0"/>
          <w:lang w:val="en-US"/>
        </w:rPr>
        <w:t>“</w:t>
      </w:r>
      <w:r>
        <w:rPr>
          <w:i w:val="1"/>
          <w:iCs w:val="1"/>
          <w:rtl w:val="0"/>
          <w:lang w:val="en-US"/>
        </w:rPr>
        <w:t>Oreophryne</w:t>
      </w:r>
      <w:r>
        <w:rPr>
          <w:rStyle w:val="None A"/>
          <w:rtl w:val="0"/>
          <w:lang w:val="en-US"/>
        </w:rPr>
        <w:t xml:space="preserve"> B</w:t>
      </w:r>
      <w:r>
        <w:rPr>
          <w:rStyle w:val="None A"/>
          <w:rtl w:val="0"/>
          <w:lang w:val="en-US"/>
        </w:rPr>
        <w:t xml:space="preserve">” </w:t>
      </w:r>
      <w:r>
        <w:rPr>
          <w:rStyle w:val="None A"/>
          <w:rtl w:val="0"/>
          <w:lang w:val="en-US"/>
        </w:rPr>
        <w:t xml:space="preserve">(Hill </w:t>
      </w:r>
      <w:r>
        <w:rPr>
          <w:i w:val="1"/>
          <w:iCs w:val="1"/>
          <w:rtl w:val="0"/>
          <w:lang w:val="en-US"/>
        </w:rPr>
        <w:t>et al.</w:t>
      </w:r>
      <w:r>
        <w:rPr>
          <w:rStyle w:val="None A"/>
          <w:rtl w:val="0"/>
          <w:lang w:val="en-US"/>
        </w:rPr>
        <w:t xml:space="preserve">, 2022). We applied the ICZN code (International Commission on Zoological Nomenclature, 1999) as well as the Phylocode (de Queiroz, Kevin &amp; Cantino, 2020). We support the nascent effort to assign indigenous names in taxonomy whenever possible (e.g., Gillman &amp; Wright, 2020). One of us (B. Iova) proposed the novel genus name, </w:t>
      </w:r>
      <w:r>
        <w:rPr>
          <w:i w:val="1"/>
          <w:iCs w:val="1"/>
          <w:rtl w:val="0"/>
          <w:lang w:val="en-US"/>
        </w:rPr>
        <w:t>Auparoparo</w:t>
      </w:r>
      <w:r>
        <w:rPr>
          <w:rStyle w:val="None A"/>
          <w:rtl w:val="0"/>
          <w:lang w:val="en-US"/>
        </w:rPr>
        <w:t xml:space="preserve">, meaning </w:t>
      </w:r>
      <w:r>
        <w:rPr>
          <w:rStyle w:val="None A"/>
          <w:rtl w:val="0"/>
          <w:lang w:val="en-US"/>
        </w:rPr>
        <w:t>“</w:t>
      </w:r>
      <w:r>
        <w:rPr>
          <w:rStyle w:val="None A"/>
          <w:rtl w:val="0"/>
          <w:lang w:val="en-US"/>
        </w:rPr>
        <w:t>tree frog</w:t>
      </w:r>
      <w:r>
        <w:rPr>
          <w:rStyle w:val="None A"/>
          <w:rtl w:val="0"/>
          <w:lang w:val="en-US"/>
        </w:rPr>
        <w:t xml:space="preserve">” </w:t>
      </w:r>
      <w:r>
        <w:rPr>
          <w:rStyle w:val="None A"/>
          <w:rtl w:val="0"/>
          <w:lang w:val="en-US"/>
        </w:rPr>
        <w:t xml:space="preserve">in Motu, an indigenous language of Papua New Guinea, for </w:t>
      </w:r>
      <w:r>
        <w:rPr>
          <w:rStyle w:val="None A"/>
          <w:rtl w:val="0"/>
          <w:lang w:val="en-US"/>
        </w:rPr>
        <w:t>“</w:t>
      </w:r>
      <w:r>
        <w:rPr>
          <w:i w:val="1"/>
          <w:iCs w:val="1"/>
          <w:rtl w:val="0"/>
          <w:lang w:val="en-US"/>
        </w:rPr>
        <w:t>Oreophryne</w:t>
      </w:r>
      <w:r>
        <w:rPr>
          <w:rStyle w:val="None A"/>
          <w:rtl w:val="0"/>
          <w:lang w:val="en-US"/>
        </w:rPr>
        <w:t xml:space="preserve"> B</w:t>
      </w:r>
      <w:r>
        <w:rPr>
          <w:rStyle w:val="None A"/>
          <w:rtl w:val="0"/>
          <w:lang w:val="en-US"/>
        </w:rPr>
        <w:t>”</w:t>
      </w:r>
      <w:r>
        <w:rPr>
          <w:rStyle w:val="None A"/>
          <w:rtl w:val="0"/>
          <w:lang w:val="en-US"/>
        </w:rPr>
        <w:t>.</w:t>
      </w:r>
      <w:bookmarkEnd w:id="7"/>
    </w:p>
    <w:p>
      <w:pPr>
        <w:pStyle w:val="Heading 2"/>
        <w:jc w:val="center"/>
        <w:rPr>
          <w:outline w:val="0"/>
          <w:color w:val="000000"/>
          <w14:textFill>
            <w14:solidFill>
              <w14:srgbClr w14:val="000000"/>
            </w14:solidFill>
          </w14:textFill>
        </w:rPr>
      </w:pPr>
      <w:bookmarkStart w:name="phylogeneticreconstruction" w:id="8"/>
      <w:r>
        <w:rPr>
          <w:outline w:val="0"/>
          <w:color w:val="000000"/>
          <w:rtl w:val="0"/>
          <w:lang w:val="en-US"/>
          <w14:textFill>
            <w14:solidFill>
              <w14:srgbClr w14:val="000000"/>
            </w14:solidFill>
          </w14:textFill>
        </w:rPr>
        <w:t>Phylogenetic Reconstruction</w:t>
      </w:r>
    </w:p>
    <w:p>
      <w:pPr>
        <w:pStyle w:val="First Paragraph"/>
      </w:pPr>
      <w:r>
        <w:rPr>
          <w:rStyle w:val="None A"/>
          <w:rtl w:val="0"/>
          <w:lang w:val="en-US"/>
        </w:rPr>
        <w:t xml:space="preserve">We used ModelFinder (Kalyaanamoorthy </w:t>
      </w:r>
      <w:r>
        <w:rPr>
          <w:i w:val="1"/>
          <w:iCs w:val="1"/>
          <w:rtl w:val="0"/>
          <w:lang w:val="en-US"/>
        </w:rPr>
        <w:t>et al.</w:t>
      </w:r>
      <w:r>
        <w:rPr>
          <w:rStyle w:val="None A"/>
          <w:rtl w:val="0"/>
          <w:lang w:val="en-US"/>
        </w:rPr>
        <w:t xml:space="preserve">, 2017) with partition models (Chernomor, Haeseler, &amp; Minh, 2016) to find the best-fit evolutionary model followed by Maximum Likelihood (ML) phylogenetic reconstruction using IQTREE2 version 2.3.6 (Lanfear </w:t>
      </w:r>
      <w:r>
        <w:rPr>
          <w:i w:val="1"/>
          <w:iCs w:val="1"/>
          <w:rtl w:val="0"/>
          <w:lang w:val="en-US"/>
        </w:rPr>
        <w:t>et al.</w:t>
      </w:r>
      <w:r>
        <w:rPr>
          <w:rStyle w:val="None A"/>
          <w:rtl w:val="0"/>
          <w:lang w:val="en-US"/>
        </w:rPr>
        <w:t xml:space="preserve">, 2012; Minh </w:t>
      </w:r>
      <w:r>
        <w:rPr>
          <w:i w:val="1"/>
          <w:iCs w:val="1"/>
          <w:rtl w:val="0"/>
          <w:lang w:val="en-US"/>
        </w:rPr>
        <w:t>et al.</w:t>
      </w:r>
      <w:r>
        <w:rPr>
          <w:rStyle w:val="None A"/>
          <w:rtl w:val="0"/>
          <w:lang w:val="en-US"/>
        </w:rPr>
        <w:t xml:space="preserve">, 2020). Following Hill </w:t>
      </w:r>
      <w:r>
        <w:rPr>
          <w:i w:val="1"/>
          <w:iCs w:val="1"/>
          <w:rtl w:val="0"/>
          <w:lang w:val="en-US"/>
        </w:rPr>
        <w:t>et al.</w:t>
      </w:r>
      <w:r>
        <w:rPr>
          <w:rStyle w:val="None A"/>
          <w:rtl w:val="0"/>
          <w:lang w:val="en-US"/>
        </w:rPr>
        <w:t xml:space="preserve"> (2022), we tested models partitioned by both locus and codon versus by loci only or by codon only (15 vs.</w:t>
      </w:r>
      <w:r>
        <w:rPr>
          <w:rStyle w:val="None A"/>
          <w:rtl w:val="0"/>
          <w:lang w:val="en-US"/>
        </w:rPr>
        <w:t> </w:t>
      </w:r>
      <w:r>
        <w:rPr>
          <w:rStyle w:val="None A"/>
          <w:rtl w:val="0"/>
          <w:lang w:val="en-US"/>
        </w:rPr>
        <w:t>5 vs.</w:t>
      </w:r>
      <w:r>
        <w:rPr>
          <w:rStyle w:val="None A"/>
          <w:rtl w:val="0"/>
          <w:lang w:val="en-US"/>
        </w:rPr>
        <w:t> </w:t>
      </w:r>
      <w:r>
        <w:rPr>
          <w:rStyle w:val="None A"/>
          <w:rtl w:val="0"/>
          <w:lang w:val="en-US"/>
        </w:rPr>
        <w:t xml:space="preserve">3 partition scheme) with merging of partitions allowed. We found following merging that a 9-partition scheme involving locus and codon models with merged partitions was superior by the Akaike Information Criterion (models by partition included in Supplementary Materials Table 1). Nodal support values for the ML tree were inferred using 1000 ultrafast bootstrap replicates (Hoang </w:t>
      </w:r>
      <w:r>
        <w:rPr>
          <w:i w:val="1"/>
          <w:iCs w:val="1"/>
          <w:rtl w:val="0"/>
          <w:lang w:val="en-US"/>
        </w:rPr>
        <w:t>et al.</w:t>
      </w:r>
      <w:r>
        <w:rPr>
          <w:rStyle w:val="None A"/>
          <w:rtl w:val="0"/>
          <w:lang w:val="en-US"/>
        </w:rPr>
        <w:t>, 2018).</w:t>
      </w:r>
      <w:bookmarkEnd w:id="8"/>
    </w:p>
    <w:p>
      <w:pPr>
        <w:pStyle w:val="Heading 2"/>
        <w:jc w:val="center"/>
        <w:rPr>
          <w:outline w:val="0"/>
          <w:color w:val="000000"/>
          <w14:textFill>
            <w14:solidFill>
              <w14:srgbClr w14:val="000000"/>
            </w14:solidFill>
          </w14:textFill>
        </w:rPr>
      </w:pPr>
      <w:bookmarkStart w:name="phylogeneticdefinition" w:id="9"/>
      <w:r>
        <w:rPr>
          <w:outline w:val="0"/>
          <w:color w:val="000000"/>
          <w:rtl w:val="0"/>
          <w:lang w:val="en-US"/>
          <w14:textFill>
            <w14:solidFill>
              <w14:srgbClr w14:val="000000"/>
            </w14:solidFill>
          </w14:textFill>
        </w:rPr>
        <w:t>Phylogenetic Definition</w:t>
      </w:r>
    </w:p>
    <w:p>
      <w:pPr>
        <w:pStyle w:val="First Paragraph"/>
      </w:pPr>
      <w:r>
        <w:rPr>
          <w:rStyle w:val="None A"/>
          <w:rtl w:val="0"/>
          <w:lang w:val="en-US"/>
        </w:rPr>
        <w:t>We use a maximum crown-clade definition under the PhyloCode (de Queiroz &amp; Gauthier, 1990, 1992; de Queiroz, Kevin &amp; Cantino, 2020), whereby monophyletic clades are defined by the largest crown clade containing their reference species (in the case of genus-level clades, the type species for the genus or a proxy when molecular phylogenetic data is not available for the type species). Specifically, the largest crown clade originating with the most recent common ancestor of the type species for the genus-level clade, and all extant species that share a more recent common ancestor with that type species then they do with reference species of other clades.</w:t>
      </w:r>
      <w:bookmarkEnd w:id="9"/>
    </w:p>
    <w:p>
      <w:pPr>
        <w:pStyle w:val="Heading 2"/>
        <w:jc w:val="center"/>
        <w:rPr>
          <w:outline w:val="0"/>
          <w:color w:val="000000"/>
          <w14:textFill>
            <w14:solidFill>
              <w14:srgbClr w14:val="000000"/>
            </w14:solidFill>
          </w14:textFill>
        </w:rPr>
      </w:pPr>
      <w:bookmarkStart w:name="Xd1f882dcb3586d0cf347d8ecffd42cfce6c9b61" w:id="10"/>
      <w:r>
        <w:rPr>
          <w:outline w:val="0"/>
          <w:color w:val="000000"/>
          <w:rtl w:val="0"/>
          <w:lang w:val="en-US"/>
          <w14:textFill>
            <w14:solidFill>
              <w14:srgbClr w14:val="000000"/>
            </w14:solidFill>
          </w14:textFill>
        </w:rPr>
        <w:t>Analyses, Visualization, and Data Availability</w:t>
      </w:r>
    </w:p>
    <w:p>
      <w:pPr>
        <w:pStyle w:val="First Paragraph"/>
      </w:pPr>
      <w:r>
        <w:rPr>
          <w:rStyle w:val="None A"/>
          <w:rtl w:val="0"/>
          <w:lang w:val="en-US"/>
        </w:rPr>
        <w:t xml:space="preserve">All analyses were conducted and graphics produced in the R Statistical Computing Environment (R Core Team, 2024) unless noted. Initial DNA sequence alignment was conducted using MUSCLE (Edgar, 2004) with manual adjustments in Mesquite (Maddison &amp; Maddison, 2023). Phylogenetic reconstruction was conducted using the IQTREE2 suite of software (Lanfear </w:t>
      </w:r>
      <w:r>
        <w:rPr>
          <w:i w:val="1"/>
          <w:iCs w:val="1"/>
          <w:rtl w:val="0"/>
          <w:lang w:val="en-US"/>
        </w:rPr>
        <w:t>et al.</w:t>
      </w:r>
      <w:r>
        <w:rPr>
          <w:rStyle w:val="None A"/>
          <w:rtl w:val="0"/>
          <w:lang w:val="en-US"/>
        </w:rPr>
        <w:t xml:space="preserve">, 2012; Minh </w:t>
      </w:r>
      <w:r>
        <w:rPr>
          <w:i w:val="1"/>
          <w:iCs w:val="1"/>
          <w:rtl w:val="0"/>
          <w:lang w:val="en-US"/>
        </w:rPr>
        <w:t>et al.</w:t>
      </w:r>
      <w:r>
        <w:rPr>
          <w:rStyle w:val="None A"/>
          <w:rtl w:val="0"/>
          <w:lang w:val="en-US"/>
        </w:rPr>
        <w:t>, 2020).</w:t>
      </w:r>
    </w:p>
    <w:p>
      <w:pPr>
        <w:pStyle w:val="Body Text"/>
      </w:pPr>
      <w:r>
        <w:rPr>
          <w:rStyle w:val="None A"/>
          <w:rtl w:val="0"/>
          <w:lang w:val="en-US"/>
        </w:rPr>
        <w:t xml:space="preserve">The known ranges of </w:t>
      </w:r>
      <w:r>
        <w:rPr>
          <w:i w:val="1"/>
          <w:iCs w:val="1"/>
          <w:rtl w:val="0"/>
          <w:lang w:val="en-US"/>
        </w:rPr>
        <w:t>Oreophryne</w:t>
      </w:r>
      <w:r>
        <w:rPr>
          <w:rStyle w:val="None A"/>
          <w:rtl w:val="0"/>
          <w:lang w:val="en-US"/>
        </w:rPr>
        <w:t xml:space="preserve"> sensu lato were downloaded as shape files from the IUCN Red List database (IUCN, 2025), and plotted. Sites from collection locations for </w:t>
      </w:r>
      <w:r>
        <w:rPr>
          <w:i w:val="1"/>
          <w:iCs w:val="1"/>
          <w:rtl w:val="0"/>
          <w:lang w:val="en-US"/>
        </w:rPr>
        <w:t>Oreophryne</w:t>
      </w:r>
      <w:r>
        <w:rPr>
          <w:rStyle w:val="None A"/>
          <w:rtl w:val="0"/>
          <w:lang w:val="en-US"/>
        </w:rPr>
        <w:t xml:space="preserve"> and </w:t>
      </w:r>
      <w:r>
        <w:rPr>
          <w:i w:val="1"/>
          <w:iCs w:val="1"/>
          <w:rtl w:val="0"/>
          <w:lang w:val="en-US"/>
        </w:rPr>
        <w:t>Auparoparo</w:t>
      </w:r>
      <w:r>
        <w:rPr>
          <w:rStyle w:val="None A"/>
          <w:rtl w:val="0"/>
          <w:lang w:val="en-US"/>
        </w:rPr>
        <w:t xml:space="preserve"> were mapped using the sf and ggplot2 packages (Wickham, 2016; Pebesma, 2018), overlaid on a basemap created using rnaturalearth, grid, and ggspatial packages (Dunnington, 2023; Massicotte &amp; South, 2023). Tree graphics were produced with the ggtree package (Yu </w:t>
      </w:r>
      <w:r>
        <w:rPr>
          <w:i w:val="1"/>
          <w:iCs w:val="1"/>
          <w:rtl w:val="0"/>
          <w:lang w:val="en-US"/>
        </w:rPr>
        <w:t>et al.</w:t>
      </w:r>
      <w:r>
        <w:rPr>
          <w:rStyle w:val="None A"/>
          <w:rtl w:val="0"/>
          <w:lang w:val="en-US"/>
        </w:rPr>
        <w:t>, 2017; Yu, 2020, 2022) supplemented by ggplot2 (Wickham, 2016).</w:t>
      </w:r>
      <w:bookmarkEnd w:id="10"/>
    </w:p>
    <w:p>
      <w:pPr>
        <w:pStyle w:val="Heading"/>
        <w:jc w:val="center"/>
        <w:rPr>
          <w:caps w:val="1"/>
          <w:outline w:val="0"/>
          <w:color w:val="000000"/>
          <w14:textFill>
            <w14:solidFill>
              <w14:srgbClr w14:val="000000"/>
            </w14:solidFill>
          </w14:textFill>
        </w:rPr>
      </w:pPr>
      <w:bookmarkStart w:name="results" w:id="11"/>
      <w:r>
        <w:rPr>
          <w:caps w:val="1"/>
          <w:outline w:val="0"/>
          <w:color w:val="000000"/>
          <w:rtl w:val="0"/>
          <w:lang w:val="en-US"/>
          <w14:textFill>
            <w14:solidFill>
              <w14:srgbClr w14:val="000000"/>
            </w14:solidFill>
          </w14:textFill>
        </w:rPr>
        <w:t>Results</w:t>
      </w:r>
      <w:bookmarkEnd w:id="11"/>
    </w:p>
    <w:p>
      <w:pPr>
        <w:pStyle w:val="Heading 2"/>
        <w:jc w:val="center"/>
        <w:rPr>
          <w:outline w:val="0"/>
          <w:color w:val="000000"/>
          <w14:textFill>
            <w14:solidFill>
              <w14:srgbClr w14:val="000000"/>
            </w14:solidFill>
          </w14:textFill>
        </w:rPr>
      </w:pPr>
      <w:bookmarkStart w:name="phylogenyandphylogenetictaxonomy" w:id="12"/>
      <w:r>
        <w:rPr>
          <w:outline w:val="0"/>
          <w:color w:val="000000"/>
          <w:rtl w:val="0"/>
          <w:lang w:val="en-US"/>
          <w14:textFill>
            <w14:solidFill>
              <w14:srgbClr w14:val="000000"/>
            </w14:solidFill>
          </w14:textFill>
        </w:rPr>
        <w:t>Phylogeny and Phylogenetic Taxonomy</w:t>
      </w:r>
    </w:p>
    <w:p>
      <w:pPr>
        <w:pStyle w:val="First Paragraph"/>
      </w:pPr>
      <w:r>
        <w:rPr>
          <w:rStyle w:val="None A"/>
          <w:rtl w:val="0"/>
          <w:lang w:val="en-US"/>
        </w:rPr>
        <w:t>For our subfamily-level phylogeny, the best evolutionary model was a 9 partition scheme including a combination of locus by codon partitions (see Supplementary Table 1 for list partitions and models). The best set of partitions and models had an improvement of fit by 223 AIC units over the 15-partition (locus by codon) model, 3750 AIC units better than the 5 partition locus-only model, and 4230 AIC units improvement over the 3 partition codon-only model. All phylogenetic reconstructions reported here used the best-fit model (9-partition scheme) identified by IQTREE2.</w:t>
      </w:r>
    </w:p>
    <w:p>
      <w:pPr>
        <w:pStyle w:val="Body Text"/>
      </w:pPr>
      <w:r>
        <w:rPr>
          <w:rStyle w:val="None A"/>
          <w:rtl w:val="0"/>
          <w:lang w:val="en-US"/>
        </w:rPr>
        <w:t xml:space="preserve">We recovered a maximum likelihood topology that confirms that </w:t>
      </w:r>
      <w:r>
        <w:rPr>
          <w:i w:val="1"/>
          <w:iCs w:val="1"/>
          <w:rtl w:val="0"/>
          <w:lang w:val="en-US"/>
        </w:rPr>
        <w:t>Oreophryne</w:t>
      </w:r>
      <w:r>
        <w:rPr>
          <w:rStyle w:val="None A"/>
          <w:rtl w:val="0"/>
          <w:lang w:val="en-US"/>
        </w:rPr>
        <w:t xml:space="preserve"> sensu lato is polyphyletic, with species falling into two independently-evolved, reciprocally monophyletic, highly-supported clades that are not sister groups </w:t>
      </w:r>
      <w:r>
        <w:rPr>
          <w:rStyle w:val="None A"/>
          <w:rtl w:val="0"/>
        </w:rPr>
        <w:t>(</w:t>
      </w:r>
      <w:r>
        <w:rPr>
          <w:rStyle w:val="None A"/>
          <w:rtl w:val="0"/>
          <w:lang w:val="en-US"/>
        </w:rPr>
        <w:t>Fig.</w:t>
      </w:r>
      <w:r>
        <w:rPr>
          <w:rStyle w:val="None A"/>
          <w:rtl w:val="0"/>
          <w:lang w:val="en-US"/>
        </w:rPr>
        <w:t> </w:t>
      </w:r>
      <w:r>
        <w:rPr>
          <w:rStyle w:val="None A"/>
          <w:rtl w:val="0"/>
          <w:lang w:val="en-US"/>
        </w:rPr>
        <w:t>2</w:t>
      </w:r>
      <w:r>
        <w:rPr>
          <w:rStyle w:val="None A"/>
          <w:rtl w:val="0"/>
        </w:rPr>
        <w:t>)</w:t>
      </w:r>
      <w:r>
        <w:rPr>
          <w:rStyle w:val="None A"/>
          <w:rtl w:val="0"/>
          <w:lang w:val="en-US"/>
        </w:rPr>
        <w:t>. Nearly all nodes are moderately or highly supported, with most of the weakly supported nodes falling along the backbone where there are very short branch lengths as characteristic of an adaptive radiation.</w:t>
      </w:r>
    </w:p>
    <w:p>
      <w:pPr>
        <w:pStyle w:val="Body Text"/>
      </w:pPr>
      <w:r>
        <w:rPr>
          <w:rStyle w:val="None A"/>
          <w:rtl w:val="0"/>
          <w:lang w:val="en-US"/>
        </w:rPr>
        <w:t xml:space="preserve">Furthermore, these findings demonstrate that the crown clade descended from node A should retain the name </w:t>
      </w:r>
      <w:r>
        <w:rPr>
          <w:i w:val="1"/>
          <w:iCs w:val="1"/>
          <w:rtl w:val="0"/>
          <w:lang w:val="en-US"/>
        </w:rPr>
        <w:t>Oreophryne</w:t>
      </w:r>
      <w:r>
        <w:rPr>
          <w:rStyle w:val="None A"/>
          <w:rtl w:val="0"/>
          <w:lang w:val="en-US"/>
        </w:rPr>
        <w:t xml:space="preserve">, as the type species, </w:t>
      </w:r>
      <w:r>
        <w:rPr>
          <w:i w:val="1"/>
          <w:iCs w:val="1"/>
          <w:rtl w:val="0"/>
          <w:lang w:val="en-US"/>
        </w:rPr>
        <w:t>O. senckenbergiana</w:t>
      </w:r>
      <w:r>
        <w:rPr>
          <w:rStyle w:val="None A"/>
          <w:rtl w:val="0"/>
          <w:lang w:val="en-US"/>
        </w:rPr>
        <w:t xml:space="preserve">, from North Maluku Island, Indonesia, is situated within </w:t>
      </w:r>
      <w:r>
        <w:rPr>
          <w:i w:val="1"/>
          <w:iCs w:val="1"/>
          <w:rtl w:val="0"/>
          <w:lang w:val="en-US"/>
        </w:rPr>
        <w:t>Oreophryne</w:t>
      </w:r>
      <w:r>
        <w:rPr>
          <w:rStyle w:val="None A"/>
          <w:rtl w:val="0"/>
          <w:lang w:val="en-US"/>
        </w:rPr>
        <w:t xml:space="preserve"> with high support (Fig.</w:t>
      </w:r>
      <w:r>
        <w:rPr>
          <w:rStyle w:val="None A"/>
          <w:rtl w:val="0"/>
          <w:lang w:val="en-US"/>
        </w:rPr>
        <w:t> </w:t>
      </w:r>
      <w:r>
        <w:rPr>
          <w:rStyle w:val="None A"/>
          <w:rtl w:val="0"/>
          <w:lang w:val="en-US"/>
        </w:rPr>
        <w:t xml:space="preserve">2). We propose the new clade name </w:t>
      </w:r>
      <w:r>
        <w:rPr>
          <w:i w:val="1"/>
          <w:iCs w:val="1"/>
          <w:rtl w:val="0"/>
          <w:lang w:val="en-US"/>
        </w:rPr>
        <w:t>Auparoparo</w:t>
      </w:r>
      <w:r>
        <w:rPr>
          <w:rStyle w:val="None A"/>
          <w:rtl w:val="0"/>
          <w:lang w:val="en-US"/>
        </w:rPr>
        <w:t xml:space="preserve"> for the crown clade descended from node B. </w:t>
      </w:r>
      <w:r>
        <w:rPr>
          <w:i w:val="1"/>
          <w:iCs w:val="1"/>
          <w:rtl w:val="0"/>
          <w:lang w:val="en-US"/>
        </w:rPr>
        <w:t>Oreophryne</w:t>
      </w:r>
      <w:r>
        <w:rPr>
          <w:rStyle w:val="None A"/>
          <w:rtl w:val="0"/>
          <w:lang w:val="en-US"/>
        </w:rPr>
        <w:t xml:space="preserve"> is the earliest diverging genus-level clade in the Papuan subfamily, with genera </w:t>
      </w:r>
      <w:r>
        <w:rPr>
          <w:i w:val="1"/>
          <w:iCs w:val="1"/>
          <w:rtl w:val="0"/>
          <w:lang w:val="en-US"/>
        </w:rPr>
        <w:t>Cophixalus</w:t>
      </w:r>
      <w:r>
        <w:rPr>
          <w:rStyle w:val="None A"/>
          <w:rtl w:val="0"/>
          <w:lang w:val="en-US"/>
        </w:rPr>
        <w:t xml:space="preserve"> and </w:t>
      </w:r>
      <w:r>
        <w:rPr>
          <w:i w:val="1"/>
          <w:iCs w:val="1"/>
          <w:rtl w:val="0"/>
          <w:lang w:val="en-US"/>
        </w:rPr>
        <w:t>Paedophryne</w:t>
      </w:r>
      <w:r>
        <w:rPr>
          <w:rStyle w:val="None A"/>
          <w:rtl w:val="0"/>
          <w:lang w:val="en-US"/>
        </w:rPr>
        <w:t xml:space="preserve"> arising before </w:t>
      </w:r>
      <w:r>
        <w:rPr>
          <w:i w:val="1"/>
          <w:iCs w:val="1"/>
          <w:rtl w:val="0"/>
          <w:lang w:val="en-US"/>
        </w:rPr>
        <w:t>Auparoparo</w:t>
      </w:r>
      <w:r>
        <w:rPr>
          <w:rStyle w:val="None A"/>
          <w:rtl w:val="0"/>
          <w:lang w:val="en-US"/>
        </w:rPr>
        <w:t>, which split from the remaining genera of Asterophryinae.</w:t>
      </w:r>
    </w:p>
    <w:p>
      <w:pPr>
        <w:pStyle w:val="Body A"/>
        <w:widowControl w:val="0"/>
      </w:pPr>
      <w:bookmarkEnd w:id="12"/>
    </w:p>
    <w:p>
      <w:pPr>
        <w:pStyle w:val="Heading 2"/>
        <w:jc w:val="center"/>
        <w:rPr>
          <w:outline w:val="0"/>
          <w:color w:val="000000"/>
          <w14:textFill>
            <w14:solidFill>
              <w14:srgbClr w14:val="000000"/>
            </w14:solidFill>
          </w14:textFill>
        </w:rPr>
      </w:pPr>
      <w:bookmarkStart w:name="morphologybehaviorandrankedtaxonomy" w:id="13"/>
      <w:r>
        <w:rPr>
          <w:outline w:val="0"/>
          <w:color w:val="000000"/>
          <w:rtl w:val="0"/>
          <w:lang w:val="en-US"/>
          <w14:textFill>
            <w14:solidFill>
              <w14:srgbClr w14:val="000000"/>
            </w14:solidFill>
          </w14:textFill>
        </w:rPr>
        <w:t>Morphology, Behavior, and Ranked Taxonomy</w:t>
      </w:r>
    </w:p>
    <w:p>
      <w:pPr>
        <w:pStyle w:val="First Paragraph"/>
      </w:pPr>
      <w:r>
        <w:rPr>
          <w:rStyle w:val="None A"/>
          <w:rtl w:val="0"/>
          <w:lang w:val="en-US"/>
        </w:rPr>
        <w:t xml:space="preserve">We find no morphological synapomorphies that distinguish </w:t>
      </w:r>
      <w:r>
        <w:rPr>
          <w:i w:val="1"/>
          <w:iCs w:val="1"/>
          <w:rtl w:val="0"/>
          <w:lang w:val="en-US"/>
        </w:rPr>
        <w:t>Auparoparo</w:t>
      </w:r>
      <w:r>
        <w:rPr>
          <w:rStyle w:val="None A"/>
          <w:rtl w:val="0"/>
          <w:lang w:val="en-US"/>
        </w:rPr>
        <w:t xml:space="preserve"> from </w:t>
      </w:r>
      <w:r>
        <w:rPr>
          <w:i w:val="1"/>
          <w:iCs w:val="1"/>
          <w:rtl w:val="0"/>
          <w:lang w:val="en-US"/>
        </w:rPr>
        <w:t>Oreophryne</w:t>
      </w:r>
      <w:r>
        <w:rPr>
          <w:rStyle w:val="None A"/>
          <w:rtl w:val="0"/>
          <w:lang w:val="en-US"/>
        </w:rPr>
        <w:t xml:space="preserve">. </w:t>
      </w:r>
      <w:r>
        <w:rPr>
          <w:i w:val="1"/>
          <w:iCs w:val="1"/>
          <w:rtl w:val="0"/>
          <w:lang w:val="en-US"/>
        </w:rPr>
        <w:t>Oreophryne</w:t>
      </w:r>
      <w:r>
        <w:rPr>
          <w:rStyle w:val="None A"/>
          <w:rtl w:val="0"/>
          <w:lang w:val="en-US"/>
        </w:rPr>
        <w:t xml:space="preserve"> sensu lato is diagnosed by characters of the pectoral girdle: posessing highly reduced, curved procoracoid cartilages and clavicles, and lacking an omosternum (Parker, 1934; Zweifel, 2003). We found that this suite of characters is also present in </w:t>
      </w:r>
      <w:r>
        <w:rPr>
          <w:i w:val="1"/>
          <w:iCs w:val="1"/>
          <w:rtl w:val="0"/>
          <w:lang w:val="en-US"/>
        </w:rPr>
        <w:t>Auparoparo</w:t>
      </w:r>
      <w:r>
        <w:rPr>
          <w:rStyle w:val="None A"/>
          <w:rtl w:val="0"/>
          <w:lang w:val="en-US"/>
        </w:rPr>
        <w:t xml:space="preserve">, and therefore is not diagnostic for either </w:t>
      </w:r>
      <w:r>
        <w:rPr>
          <w:i w:val="1"/>
          <w:iCs w:val="1"/>
          <w:rtl w:val="0"/>
          <w:lang w:val="en-US"/>
        </w:rPr>
        <w:t>Oreophryne</w:t>
      </w:r>
      <w:r>
        <w:rPr>
          <w:rStyle w:val="None A"/>
          <w:rtl w:val="0"/>
          <w:lang w:val="en-US"/>
        </w:rPr>
        <w:t xml:space="preserve"> or </w:t>
      </w:r>
      <w:r>
        <w:rPr>
          <w:i w:val="1"/>
          <w:iCs w:val="1"/>
          <w:rtl w:val="0"/>
          <w:lang w:val="en-US"/>
        </w:rPr>
        <w:t>Auparoparo</w:t>
      </w:r>
      <w:r>
        <w:rPr>
          <w:rStyle w:val="None A"/>
          <w:rtl w:val="0"/>
          <w:lang w:val="en-US"/>
        </w:rPr>
        <w:t xml:space="preserve"> (Table</w:t>
      </w:r>
      <w:r>
        <w:rPr>
          <w:rStyle w:val="None A"/>
          <w:rtl w:val="0"/>
          <w:lang w:val="en-US"/>
        </w:rPr>
        <w:t> </w:t>
      </w:r>
      <w:r>
        <w:rPr>
          <w:rStyle w:val="None A"/>
          <w:rtl w:val="0"/>
          <w:lang w:val="en-US"/>
        </w:rPr>
        <w:t>3).</w:t>
      </w:r>
    </w:p>
    <w:p>
      <w:pPr>
        <w:pStyle w:val="Body Text"/>
      </w:pPr>
      <w:r>
        <w:rPr>
          <w:rStyle w:val="None A"/>
          <w:rtl w:val="0"/>
          <w:lang w:val="en-US"/>
        </w:rPr>
        <w:t>Two traits imperfectly segregate between the clades, relative finger and toe pad widths and call type (Table</w:t>
      </w:r>
      <w:r>
        <w:rPr>
          <w:rStyle w:val="None A"/>
          <w:rtl w:val="0"/>
          <w:lang w:val="en-US"/>
        </w:rPr>
        <w:t> </w:t>
      </w:r>
      <w:r>
        <w:rPr>
          <w:rStyle w:val="None A"/>
          <w:rtl w:val="0"/>
          <w:lang w:val="en-US"/>
        </w:rPr>
        <w:t xml:space="preserve">3), which may assist in tentative identification. Both </w:t>
      </w:r>
      <w:r>
        <w:rPr>
          <w:i w:val="1"/>
          <w:iCs w:val="1"/>
          <w:rtl w:val="0"/>
          <w:lang w:val="en-US"/>
        </w:rPr>
        <w:t>Oreophryne</w:t>
      </w:r>
      <w:r>
        <w:rPr>
          <w:rStyle w:val="None A"/>
          <w:rtl w:val="0"/>
          <w:lang w:val="en-US"/>
        </w:rPr>
        <w:t xml:space="preserve"> and </w:t>
      </w:r>
      <w:r>
        <w:rPr>
          <w:i w:val="1"/>
          <w:iCs w:val="1"/>
          <w:rtl w:val="0"/>
          <w:lang w:val="en-US"/>
        </w:rPr>
        <w:t>Auparoparo</w:t>
      </w:r>
      <w:r>
        <w:rPr>
          <w:rStyle w:val="None A"/>
          <w:rtl w:val="0"/>
          <w:lang w:val="en-US"/>
        </w:rPr>
        <w:t xml:space="preserve"> are arboreal clades with expanded digital pads. Species of </w:t>
      </w:r>
      <w:r>
        <w:rPr>
          <w:i w:val="1"/>
          <w:iCs w:val="1"/>
          <w:rtl w:val="0"/>
          <w:lang w:val="en-US"/>
        </w:rPr>
        <w:t>Oreophryne</w:t>
      </w:r>
      <w:r>
        <w:rPr>
          <w:rStyle w:val="None A"/>
          <w:rtl w:val="0"/>
          <w:lang w:val="en-US"/>
        </w:rPr>
        <w:t xml:space="preserve"> have finger and toe pads generally of roughly equal width and most species of </w:t>
      </w:r>
      <w:r>
        <w:rPr>
          <w:i w:val="1"/>
          <w:iCs w:val="1"/>
          <w:rtl w:val="0"/>
          <w:lang w:val="en-US"/>
        </w:rPr>
        <w:t>Auparoparo</w:t>
      </w:r>
      <w:r>
        <w:rPr>
          <w:rStyle w:val="None A"/>
          <w:rtl w:val="0"/>
          <w:lang w:val="en-US"/>
        </w:rPr>
        <w:t xml:space="preserve"> have visibly larger finger pads, with finger pads roughly 20-30% wider than toes. Both </w:t>
      </w:r>
      <w:r>
        <w:rPr>
          <w:i w:val="1"/>
          <w:iCs w:val="1"/>
          <w:rtl w:val="0"/>
          <w:lang w:val="en-US"/>
        </w:rPr>
        <w:t>Oreophryne</w:t>
      </w:r>
      <w:r>
        <w:rPr>
          <w:rStyle w:val="None A"/>
          <w:rtl w:val="0"/>
          <w:lang w:val="en-US"/>
        </w:rPr>
        <w:t xml:space="preserve"> and </w:t>
      </w:r>
      <w:r>
        <w:rPr>
          <w:i w:val="1"/>
          <w:iCs w:val="1"/>
          <w:rtl w:val="0"/>
          <w:lang w:val="en-US"/>
        </w:rPr>
        <w:t>Auparoparo</w:t>
      </w:r>
      <w:r>
        <w:rPr>
          <w:rStyle w:val="None A"/>
          <w:rtl w:val="0"/>
          <w:lang w:val="en-US"/>
        </w:rPr>
        <w:t xml:space="preserve"> use a variety of call types, with </w:t>
      </w:r>
      <w:r>
        <w:rPr>
          <w:rStyle w:val="None A"/>
          <w:rtl w:val="0"/>
          <w:lang w:val="en-US"/>
        </w:rPr>
        <w:t>“</w:t>
      </w:r>
      <w:r>
        <w:rPr>
          <w:rStyle w:val="None A"/>
          <w:rtl w:val="0"/>
          <w:lang w:val="en-US"/>
        </w:rPr>
        <w:t>honks</w:t>
      </w:r>
      <w:r>
        <w:rPr>
          <w:rStyle w:val="None A"/>
          <w:rtl w:val="0"/>
          <w:lang w:val="en-US"/>
        </w:rPr>
        <w:t xml:space="preserve">” </w:t>
      </w:r>
      <w:r>
        <w:rPr>
          <w:rStyle w:val="None A"/>
          <w:rtl w:val="0"/>
          <w:lang w:val="en-US"/>
        </w:rPr>
        <w:t xml:space="preserve">or </w:t>
      </w:r>
      <w:r>
        <w:rPr>
          <w:rStyle w:val="None A"/>
          <w:rtl w:val="0"/>
          <w:lang w:val="en-US"/>
        </w:rPr>
        <w:t>“</w:t>
      </w:r>
      <w:r>
        <w:rPr>
          <w:rStyle w:val="None A"/>
          <w:rtl w:val="0"/>
          <w:lang w:val="en-US"/>
        </w:rPr>
        <w:t>peeps</w:t>
      </w:r>
      <w:r>
        <w:rPr>
          <w:rStyle w:val="None A"/>
          <w:rtl w:val="0"/>
          <w:lang w:val="en-US"/>
        </w:rPr>
        <w:t xml:space="preserve">” </w:t>
      </w:r>
      <w:r>
        <w:rPr>
          <w:rStyle w:val="None A"/>
          <w:rtl w:val="0"/>
          <w:lang w:val="en-US"/>
        </w:rPr>
        <w:t xml:space="preserve">used only by </w:t>
      </w:r>
      <w:r>
        <w:rPr>
          <w:i w:val="1"/>
          <w:iCs w:val="1"/>
          <w:rtl w:val="0"/>
          <w:lang w:val="en-US"/>
        </w:rPr>
        <w:t>Oreophryne</w:t>
      </w:r>
      <w:r>
        <w:rPr>
          <w:rStyle w:val="None A"/>
          <w:rtl w:val="0"/>
          <w:lang w:val="en-US"/>
        </w:rPr>
        <w:t xml:space="preserve">, whereas </w:t>
      </w:r>
      <w:r>
        <w:rPr>
          <w:rStyle w:val="None A"/>
          <w:rtl w:val="0"/>
          <w:lang w:val="en-US"/>
        </w:rPr>
        <w:t>“</w:t>
      </w:r>
      <w:r>
        <w:rPr>
          <w:rStyle w:val="None A"/>
          <w:rtl w:val="0"/>
          <w:lang w:val="en-US"/>
        </w:rPr>
        <w:t>whinny</w:t>
      </w:r>
      <w:r>
        <w:rPr>
          <w:rStyle w:val="None A"/>
          <w:rtl w:val="0"/>
          <w:lang w:val="en-US"/>
        </w:rPr>
        <w:t xml:space="preserve">” </w:t>
      </w:r>
      <w:r>
        <w:rPr>
          <w:rStyle w:val="None A"/>
          <w:rtl w:val="0"/>
          <w:lang w:val="en-US"/>
        </w:rPr>
        <w:t xml:space="preserve">calls are used only by </w:t>
      </w:r>
      <w:r>
        <w:rPr>
          <w:i w:val="1"/>
          <w:iCs w:val="1"/>
          <w:rtl w:val="0"/>
          <w:lang w:val="en-US"/>
        </w:rPr>
        <w:t>Auparoparo</w:t>
      </w:r>
      <w:r>
        <w:rPr>
          <w:rStyle w:val="None A"/>
          <w:rtl w:val="0"/>
          <w:lang w:val="en-US"/>
        </w:rPr>
        <w:t xml:space="preserve">. A minority of species in both groups use the </w:t>
      </w:r>
      <w:r>
        <w:rPr>
          <w:rStyle w:val="None A"/>
          <w:rtl w:val="0"/>
          <w:lang w:val="en-US"/>
        </w:rPr>
        <w:t>“</w:t>
      </w:r>
      <w:r>
        <w:rPr>
          <w:rStyle w:val="None A"/>
          <w:rtl w:val="0"/>
          <w:lang w:val="en-US"/>
        </w:rPr>
        <w:t>rattle</w:t>
      </w:r>
      <w:r>
        <w:rPr>
          <w:rStyle w:val="None A"/>
          <w:rtl w:val="0"/>
          <w:lang w:val="en-US"/>
        </w:rPr>
        <w:t xml:space="preserve">” </w:t>
      </w:r>
      <w:r>
        <w:rPr>
          <w:rStyle w:val="None A"/>
          <w:rtl w:val="0"/>
          <w:lang w:val="en-US"/>
        </w:rPr>
        <w:t>call type. However, both toe pad width and call type are variable traits with some overlap and thus not unambiguosly diagnostic. Furthermore, possesssion of expanded digital pads is clearly an adaptive trait for arboreality and prone to homoplasy.</w:t>
      </w:r>
    </w:p>
    <w:p>
      <w:pPr>
        <w:pStyle w:val="Body Text"/>
        <w:widowControl w:val="0"/>
        <w:spacing w:line="240" w:lineRule="auto"/>
      </w:pPr>
      <w:bookmarkEnd w:id="13"/>
    </w:p>
    <w:p>
      <w:pPr>
        <w:pStyle w:val="Heading 2"/>
        <w:jc w:val="center"/>
        <w:rPr>
          <w:outline w:val="0"/>
          <w:color w:val="000000"/>
          <w14:textFill>
            <w14:solidFill>
              <w14:srgbClr w14:val="000000"/>
            </w14:solidFill>
          </w14:textFill>
        </w:rPr>
      </w:pPr>
      <w:bookmarkStart w:name="geographicdistribution" w:id="14"/>
      <w:r>
        <w:rPr>
          <w:outline w:val="0"/>
          <w:color w:val="000000"/>
          <w:rtl w:val="0"/>
          <w:lang w:val="en-US"/>
          <w14:textFill>
            <w14:solidFill>
              <w14:srgbClr w14:val="000000"/>
            </w14:solidFill>
          </w14:textFill>
        </w:rPr>
        <w:t>Geographic Distribution</w:t>
      </w:r>
    </w:p>
    <w:p>
      <w:pPr>
        <w:pStyle w:val="First Paragraph"/>
      </w:pPr>
      <w:r>
        <w:rPr>
          <w:i w:val="1"/>
          <w:iCs w:val="1"/>
          <w:rtl w:val="0"/>
          <w:lang w:val="en-US"/>
        </w:rPr>
        <w:t>Oreophryne</w:t>
      </w:r>
      <w:r>
        <w:rPr>
          <w:rStyle w:val="None A"/>
          <w:rtl w:val="0"/>
          <w:lang w:val="en-US"/>
        </w:rPr>
        <w:t xml:space="preserve"> has a wide distribution with species spanning from the southern Philippines to the Papuan Louisade Archipelago (Fig.</w:t>
      </w:r>
      <w:r>
        <w:rPr>
          <w:rStyle w:val="None A"/>
          <w:rtl w:val="0"/>
          <w:lang w:val="en-US"/>
        </w:rPr>
        <w:t> </w:t>
      </w:r>
      <w:r>
        <w:rPr>
          <w:rStyle w:val="None A"/>
          <w:rtl w:val="0"/>
          <w:lang w:val="en-US"/>
        </w:rPr>
        <w:t xml:space="preserve">3, localities for </w:t>
      </w:r>
      <w:r>
        <w:rPr>
          <w:i w:val="1"/>
          <w:iCs w:val="1"/>
          <w:rtl w:val="0"/>
          <w:lang w:val="en-US"/>
        </w:rPr>
        <w:t>Oreophryne</w:t>
      </w:r>
      <w:r>
        <w:rPr>
          <w:rStyle w:val="None A"/>
          <w:rtl w:val="0"/>
          <w:lang w:val="en-US"/>
        </w:rPr>
        <w:t xml:space="preserve"> species included in our phylogeny are mapped with blue triangles). This range encompasses the additional species from the type locality in Indonesia. </w:t>
      </w:r>
      <w:r>
        <w:rPr>
          <w:i w:val="1"/>
          <w:iCs w:val="1"/>
          <w:rtl w:val="0"/>
          <w:lang w:val="en-US"/>
        </w:rPr>
        <w:t>Auparoparo</w:t>
      </w:r>
      <w:r>
        <w:rPr>
          <w:rStyle w:val="None A"/>
          <w:rtl w:val="0"/>
          <w:lang w:val="en-US"/>
        </w:rPr>
        <w:t xml:space="preserve"> is mainly clustered in the southeastern tip of mainland Papua New Guinea and its satellite islands with two species in Sulawesi, an Indonesian island (Fig.</w:t>
      </w:r>
      <w:r>
        <w:rPr>
          <w:rStyle w:val="None A"/>
          <w:rtl w:val="0"/>
          <w:lang w:val="en-US"/>
        </w:rPr>
        <w:t> </w:t>
      </w:r>
      <w:r>
        <w:rPr>
          <w:rStyle w:val="None A"/>
          <w:rtl w:val="0"/>
          <w:lang w:val="en-US"/>
        </w:rPr>
        <w:t xml:space="preserve">3, </w:t>
      </w:r>
      <w:r>
        <w:rPr>
          <w:i w:val="1"/>
          <w:iCs w:val="1"/>
          <w:rtl w:val="0"/>
          <w:lang w:val="en-US"/>
        </w:rPr>
        <w:t>Auparoparo</w:t>
      </w:r>
      <w:r>
        <w:rPr>
          <w:rStyle w:val="None A"/>
          <w:rtl w:val="0"/>
          <w:lang w:val="en-US"/>
        </w:rPr>
        <w:t xml:space="preserve"> localities mapped in red circles). We also mapped </w:t>
      </w:r>
      <w:r>
        <w:rPr>
          <w:i w:val="1"/>
          <w:iCs w:val="1"/>
          <w:rtl w:val="0"/>
          <w:lang w:val="en-US"/>
        </w:rPr>
        <w:t>Oreophryne</w:t>
      </w:r>
      <w:r>
        <w:rPr>
          <w:rStyle w:val="None A"/>
          <w:rtl w:val="0"/>
          <w:lang w:val="en-US"/>
        </w:rPr>
        <w:t xml:space="preserve"> sensu lato ranges obtained from the IUCN Red List (IUCN, 2025), which require phylogenetic diagnosis. Note the Indonesian region of New Guinea is difficult to attain samples from and it is unknown whether these groups inhabit this connective area.</w:t>
      </w:r>
    </w:p>
    <w:p>
      <w:pPr>
        <w:pStyle w:val="First Paragraph"/>
        <w:widowControl w:val="0"/>
        <w:spacing w:line="240" w:lineRule="auto"/>
      </w:pPr>
      <w:bookmarkEnd w:id="14"/>
    </w:p>
    <w:p>
      <w:pPr>
        <w:pStyle w:val="Heading 2"/>
        <w:jc w:val="center"/>
        <w:rPr>
          <w:outline w:val="0"/>
          <w:color w:val="000000"/>
          <w14:textFill>
            <w14:solidFill>
              <w14:srgbClr w14:val="000000"/>
            </w14:solidFill>
          </w14:textFill>
        </w:rPr>
      </w:pPr>
      <w:bookmarkStart w:name="taxonomy" w:id="15"/>
      <w:r>
        <w:rPr>
          <w:outline w:val="0"/>
          <w:color w:val="000000"/>
          <w:rtl w:val="0"/>
          <w:lang w:val="en-US"/>
          <w14:textFill>
            <w14:solidFill>
              <w14:srgbClr w14:val="000000"/>
            </w14:solidFill>
          </w14:textFill>
        </w:rPr>
        <w:t>Taxonomy</w:t>
      </w:r>
    </w:p>
    <w:p>
      <w:pPr>
        <w:pStyle w:val="First Paragraph"/>
      </w:pPr>
      <w:r>
        <w:rPr>
          <w:rStyle w:val="None A"/>
          <w:rtl w:val="0"/>
          <w:lang w:val="en-US"/>
        </w:rPr>
        <w:t xml:space="preserve">We use maximum crown-clade definitions for designating </w:t>
      </w:r>
      <w:r>
        <w:rPr>
          <w:i w:val="1"/>
          <w:iCs w:val="1"/>
          <w:rtl w:val="0"/>
          <w:lang w:val="en-US"/>
        </w:rPr>
        <w:t>Oreophryne</w:t>
      </w:r>
      <w:r>
        <w:rPr>
          <w:rStyle w:val="None A"/>
          <w:rtl w:val="0"/>
          <w:lang w:val="en-US"/>
        </w:rPr>
        <w:t xml:space="preserve"> and </w:t>
      </w:r>
      <w:r>
        <w:rPr>
          <w:i w:val="1"/>
          <w:iCs w:val="1"/>
          <w:rtl w:val="0"/>
          <w:lang w:val="en-US"/>
        </w:rPr>
        <w:t>Auparoparo</w:t>
      </w:r>
      <w:r>
        <w:rPr>
          <w:rStyle w:val="None A"/>
          <w:rtl w:val="0"/>
          <w:lang w:val="en-US"/>
        </w:rPr>
        <w:t xml:space="preserve"> because the monophyly of these taxa are strongly supported, and the relationships of these taxa to each other and to other genera of Asterophryinae are well-supported (this study, Hill </w:t>
      </w:r>
      <w:r>
        <w:rPr>
          <w:i w:val="1"/>
          <w:iCs w:val="1"/>
          <w:rtl w:val="0"/>
          <w:lang w:val="en-US"/>
        </w:rPr>
        <w:t>et al.</w:t>
      </w:r>
      <w:r>
        <w:rPr>
          <w:rStyle w:val="None A"/>
          <w:rtl w:val="0"/>
          <w:lang w:val="en-US"/>
        </w:rPr>
        <w:t xml:space="preserve">, 2022, 2023b), as has been done for other anuran taxa (Brown </w:t>
      </w:r>
      <w:r>
        <w:rPr>
          <w:i w:val="1"/>
          <w:iCs w:val="1"/>
          <w:rtl w:val="0"/>
          <w:lang w:val="en-US"/>
        </w:rPr>
        <w:t>et al.</w:t>
      </w:r>
      <w:r>
        <w:rPr>
          <w:rStyle w:val="None A"/>
          <w:rtl w:val="0"/>
          <w:lang w:val="en-US"/>
        </w:rPr>
        <w:t xml:space="preserve">, 2015) following the methods of phylogenetic nomenclature (de Queiroz &amp; Gauthier, 1990, 1992, 1994). That is, we adopt phylogenetic definitions of these genera that explicitly identify them as clades. Specifically, we define each genus to include all descendants of the most recent common ancestor of the type species and all other extant species that are more closely related to it than to the type species of the other Asterophryine genera recognized here. We retain the name </w:t>
      </w:r>
      <w:r>
        <w:rPr>
          <w:i w:val="1"/>
          <w:iCs w:val="1"/>
          <w:rtl w:val="0"/>
          <w:lang w:val="en-US"/>
        </w:rPr>
        <w:t>Oreophryne</w:t>
      </w:r>
      <w:r>
        <w:rPr>
          <w:rStyle w:val="None A"/>
          <w:rtl w:val="0"/>
          <w:lang w:val="en-US"/>
        </w:rPr>
        <w:t xml:space="preserve"> for species included in the phylogenetic redefinition of </w:t>
      </w:r>
      <w:r>
        <w:rPr>
          <w:i w:val="1"/>
          <w:iCs w:val="1"/>
          <w:rtl w:val="0"/>
          <w:lang w:val="en-US"/>
        </w:rPr>
        <w:t>Oreophryne</w:t>
      </w:r>
      <w:r>
        <w:rPr>
          <w:rStyle w:val="None A"/>
          <w:rtl w:val="0"/>
          <w:lang w:val="en-US"/>
        </w:rPr>
        <w:t xml:space="preserve">, and new clade name </w:t>
      </w:r>
      <w:r>
        <w:rPr>
          <w:i w:val="1"/>
          <w:iCs w:val="1"/>
          <w:rtl w:val="0"/>
          <w:lang w:val="en-US"/>
        </w:rPr>
        <w:t>Auparoparo</w:t>
      </w:r>
      <w:r>
        <w:rPr>
          <w:rStyle w:val="None A"/>
          <w:rtl w:val="0"/>
          <w:lang w:val="en-US"/>
        </w:rPr>
        <w:t xml:space="preserve"> for newly designated species of </w:t>
      </w:r>
      <w:r>
        <w:rPr>
          <w:i w:val="1"/>
          <w:iCs w:val="1"/>
          <w:rtl w:val="0"/>
          <w:lang w:val="en-US"/>
        </w:rPr>
        <w:t>Auparoparo</w:t>
      </w:r>
      <w:r>
        <w:rPr>
          <w:rStyle w:val="None A"/>
          <w:rtl w:val="0"/>
          <w:lang w:val="en-US"/>
        </w:rPr>
        <w:t xml:space="preserve">. The previously defined polyphyletic </w:t>
      </w:r>
      <w:r>
        <w:rPr>
          <w:i w:val="1"/>
          <w:iCs w:val="1"/>
          <w:rtl w:val="0"/>
          <w:lang w:val="en-US"/>
        </w:rPr>
        <w:t>Oreophryne</w:t>
      </w:r>
      <w:r>
        <w:rPr>
          <w:rStyle w:val="None A"/>
          <w:rtl w:val="0"/>
          <w:lang w:val="en-US"/>
        </w:rPr>
        <w:t xml:space="preserve"> is indicated by </w:t>
      </w:r>
      <w:r>
        <w:rPr>
          <w:rStyle w:val="None A"/>
          <w:rtl w:val="0"/>
          <w:lang w:val="en-US"/>
        </w:rPr>
        <w:t>“</w:t>
      </w:r>
      <w:r>
        <w:rPr>
          <w:rStyle w:val="None A"/>
          <w:rtl w:val="0"/>
          <w:lang w:val="en-US"/>
        </w:rPr>
        <w:t>sensu lato</w:t>
      </w:r>
      <w:r>
        <w:rPr>
          <w:rStyle w:val="None A"/>
          <w:rtl w:val="0"/>
          <w:lang w:val="en-US"/>
        </w:rPr>
        <w:t>”</w:t>
      </w:r>
      <w:r>
        <w:rPr>
          <w:rStyle w:val="None A"/>
          <w:rtl w:val="0"/>
          <w:lang w:val="en-US"/>
        </w:rPr>
        <w:t>, which contains many species which require molecular phylogenetic assignment.</w:t>
      </w:r>
    </w:p>
    <w:p>
      <w:pPr>
        <w:pStyle w:val="Body Text"/>
      </w:pPr>
      <w:r>
        <w:rPr>
          <w:b w:val="1"/>
          <w:bCs w:val="1"/>
          <w:rtl w:val="0"/>
          <w:lang w:val="en-US"/>
        </w:rPr>
        <w:t>Family Microhylidae G</w:t>
      </w:r>
      <w:r>
        <w:rPr>
          <w:b w:val="1"/>
          <w:bCs w:val="1"/>
          <w:rtl w:val="0"/>
          <w:lang w:val="en-US"/>
        </w:rPr>
        <w:t>ü</w:t>
      </w:r>
      <w:r>
        <w:rPr>
          <w:b w:val="1"/>
          <w:bCs w:val="1"/>
          <w:rtl w:val="0"/>
          <w:lang w:val="en-US"/>
        </w:rPr>
        <w:t>nther 1858</w:t>
      </w:r>
      <w:r>
        <w:rPr>
          <w:rStyle w:val="None A"/>
        </w:rPr>
        <w:br w:type="textWrapping"/>
      </w:r>
      <w:r>
        <w:rPr>
          <w:b w:val="1"/>
          <w:bCs w:val="1"/>
          <w:rtl w:val="0"/>
          <w:lang w:val="en-US"/>
        </w:rPr>
        <w:t>Subfamily Asterophryinae G</w:t>
      </w:r>
      <w:r>
        <w:rPr>
          <w:b w:val="1"/>
          <w:bCs w:val="1"/>
          <w:rtl w:val="0"/>
          <w:lang w:val="en-US"/>
        </w:rPr>
        <w:t>ü</w:t>
      </w:r>
      <w:r>
        <w:rPr>
          <w:b w:val="1"/>
          <w:bCs w:val="1"/>
          <w:rtl w:val="0"/>
          <w:lang w:val="en-US"/>
        </w:rPr>
        <w:t>nther 1858</w:t>
      </w:r>
      <w:r>
        <w:rPr>
          <w:rStyle w:val="None A"/>
        </w:rPr>
        <w:br w:type="textWrapping"/>
      </w:r>
      <w:r>
        <w:rPr>
          <w:b w:val="1"/>
          <w:bCs w:val="1"/>
          <w:rtl w:val="0"/>
          <w:lang w:val="en-US"/>
        </w:rPr>
        <w:t xml:space="preserve">Genus </w:t>
      </w:r>
      <w:r>
        <w:rPr>
          <w:b w:val="1"/>
          <w:bCs w:val="1"/>
          <w:i w:val="1"/>
          <w:iCs w:val="1"/>
          <w:rtl w:val="0"/>
          <w:lang w:val="en-US"/>
        </w:rPr>
        <w:t>Oreophryne</w:t>
      </w:r>
      <w:r>
        <w:rPr>
          <w:b w:val="1"/>
          <w:bCs w:val="1"/>
          <w:rtl w:val="0"/>
          <w:lang w:val="en-US"/>
        </w:rPr>
        <w:t xml:space="preserve"> Boettger 1895 amended</w:t>
      </w:r>
      <w:r>
        <w:rPr>
          <w:rStyle w:val="None A"/>
        </w:rPr>
        <w:br w:type="textWrapping"/>
      </w:r>
      <w:r>
        <w:rPr>
          <w:i w:val="1"/>
          <w:iCs w:val="1"/>
          <w:rtl w:val="0"/>
          <w:lang w:val="en-US"/>
        </w:rPr>
        <w:t>Microhyla</w:t>
      </w:r>
      <w:r>
        <w:rPr>
          <w:rStyle w:val="None A"/>
          <w:rtl w:val="0"/>
          <w:lang w:val="en-US"/>
        </w:rPr>
        <w:t xml:space="preserve"> in part (Peters 1878)</w:t>
      </w:r>
      <w:r>
        <w:rPr>
          <w:rStyle w:val="None A"/>
        </w:rPr>
        <w:br w:type="textWrapping"/>
      </w:r>
      <w:r>
        <w:rPr>
          <w:i w:val="1"/>
          <w:iCs w:val="1"/>
          <w:rtl w:val="0"/>
          <w:lang w:val="en-US"/>
        </w:rPr>
        <w:t>Callula</w:t>
      </w:r>
      <w:r>
        <w:rPr>
          <w:rStyle w:val="None A"/>
          <w:rtl w:val="0"/>
          <w:lang w:val="en-US"/>
        </w:rPr>
        <w:t xml:space="preserve"> in part (Horst 1883)</w:t>
      </w:r>
      <w:r>
        <w:rPr>
          <w:rStyle w:val="None A"/>
        </w:rPr>
        <w:br w:type="textWrapping"/>
      </w:r>
      <w:r>
        <w:rPr>
          <w:i w:val="1"/>
          <w:iCs w:val="1"/>
          <w:rtl w:val="0"/>
          <w:lang w:val="en-US"/>
        </w:rPr>
        <w:t>Oreophryne</w:t>
      </w:r>
      <w:r>
        <w:rPr>
          <w:rStyle w:val="None A"/>
          <w:rtl w:val="0"/>
          <w:lang w:val="en-US"/>
        </w:rPr>
        <w:t xml:space="preserve"> Boettger 1895, by monotypy, Type species: </w:t>
      </w:r>
      <w:r>
        <w:rPr>
          <w:i w:val="1"/>
          <w:iCs w:val="1"/>
          <w:rtl w:val="0"/>
          <w:lang w:val="en-US"/>
        </w:rPr>
        <w:t>Oreophryne senckenbergiana</w:t>
      </w:r>
      <w:r>
        <w:rPr>
          <w:rStyle w:val="None A"/>
          <w:rtl w:val="0"/>
          <w:lang w:val="en-US"/>
        </w:rPr>
        <w:t xml:space="preserve"> Boettger 1895. (= </w:t>
      </w:r>
      <w:r>
        <w:rPr>
          <w:i w:val="1"/>
          <w:iCs w:val="1"/>
          <w:rtl w:val="0"/>
          <w:lang w:val="en-US"/>
        </w:rPr>
        <w:t>Microhyla achatina</w:t>
      </w:r>
      <w:r>
        <w:rPr>
          <w:rStyle w:val="None A"/>
          <w:rtl w:val="0"/>
          <w:lang w:val="en-US"/>
        </w:rPr>
        <w:t xml:space="preserve"> var. </w:t>
      </w:r>
      <w:r>
        <w:rPr>
          <w:i w:val="1"/>
          <w:iCs w:val="1"/>
          <w:rtl w:val="0"/>
          <w:lang w:val="en-US"/>
        </w:rPr>
        <w:t>moluccensis</w:t>
      </w:r>
      <w:r>
        <w:rPr>
          <w:rStyle w:val="None A"/>
          <w:rtl w:val="0"/>
          <w:lang w:val="en-US"/>
        </w:rPr>
        <w:t xml:space="preserve"> Peters 1878) Placed on Official List of Generic Names in Zoology by Opinion 1266, Anonymous, 1984.</w:t>
      </w:r>
      <w:r>
        <w:rPr>
          <w:rStyle w:val="None A"/>
        </w:rPr>
        <w:br w:type="textWrapping"/>
      </w:r>
      <w:r>
        <w:rPr>
          <w:i w:val="1"/>
          <w:iCs w:val="1"/>
          <w:rtl w:val="0"/>
          <w:lang w:val="en-US"/>
        </w:rPr>
        <w:t>Sphenophryne</w:t>
      </w:r>
      <w:r>
        <w:rPr>
          <w:rStyle w:val="None A"/>
          <w:rtl w:val="0"/>
          <w:lang w:val="en-US"/>
        </w:rPr>
        <w:t xml:space="preserve"> in part (M</w:t>
      </w:r>
      <w:r>
        <w:rPr>
          <w:rStyle w:val="None A"/>
          <w:rtl w:val="0"/>
          <w:lang w:val="en-US"/>
        </w:rPr>
        <w:t>é</w:t>
      </w:r>
      <w:r>
        <w:rPr>
          <w:rStyle w:val="None A"/>
          <w:rtl w:val="0"/>
          <w:lang w:val="en-US"/>
        </w:rPr>
        <w:t>hely 1897)</w:t>
      </w:r>
      <w:r>
        <w:rPr>
          <w:rStyle w:val="None A"/>
        </w:rPr>
        <w:br w:type="textWrapping"/>
      </w:r>
      <w:r>
        <w:rPr>
          <w:i w:val="1"/>
          <w:iCs w:val="1"/>
          <w:rtl w:val="0"/>
          <w:lang w:val="en-US"/>
        </w:rPr>
        <w:t>Phrynixalus</w:t>
      </w:r>
      <w:r>
        <w:rPr>
          <w:rStyle w:val="None A"/>
          <w:rtl w:val="0"/>
          <w:lang w:val="en-US"/>
        </w:rPr>
        <w:t xml:space="preserve"> in part (Stejneger 1908)</w:t>
      </w:r>
      <w:r>
        <w:rPr>
          <w:rStyle w:val="None A"/>
        </w:rPr>
        <w:br w:type="textWrapping"/>
      </w:r>
      <w:r>
        <w:rPr>
          <w:i w:val="1"/>
          <w:iCs w:val="1"/>
          <w:rtl w:val="0"/>
          <w:lang w:val="en-US"/>
        </w:rPr>
        <w:t>Mehelyia</w:t>
      </w:r>
      <w:r>
        <w:rPr>
          <w:rStyle w:val="None A"/>
          <w:rtl w:val="0"/>
          <w:lang w:val="en-US"/>
        </w:rPr>
        <w:t xml:space="preserve"> Wandolleck 1911, Type species: </w:t>
      </w:r>
      <w:r>
        <w:rPr>
          <w:i w:val="1"/>
          <w:iCs w:val="1"/>
          <w:rtl w:val="0"/>
          <w:lang w:val="en-US"/>
        </w:rPr>
        <w:t>Meheylia lineata</w:t>
      </w:r>
      <w:r>
        <w:rPr>
          <w:rStyle w:val="None A"/>
          <w:rtl w:val="0"/>
          <w:lang w:val="en-US"/>
        </w:rPr>
        <w:t xml:space="preserve"> Wandolleck 1911 (= </w:t>
      </w:r>
      <w:r>
        <w:rPr>
          <w:i w:val="1"/>
          <w:iCs w:val="1"/>
          <w:rtl w:val="0"/>
          <w:lang w:val="en-US"/>
        </w:rPr>
        <w:t>Sphenophryne biroi</w:t>
      </w:r>
      <w:r>
        <w:rPr>
          <w:rStyle w:val="None A"/>
          <w:rtl w:val="0"/>
          <w:lang w:val="en-US"/>
        </w:rPr>
        <w:t xml:space="preserve"> Mehely 1897), by subsequent designation of Parker 1934. Synonymy by Nieden (1926).</w:t>
      </w:r>
      <w:r>
        <w:rPr>
          <w:rStyle w:val="None A"/>
        </w:rPr>
        <w:br w:type="textWrapping"/>
      </w:r>
      <w:r>
        <w:rPr>
          <w:i w:val="1"/>
          <w:iCs w:val="1"/>
          <w:rtl w:val="0"/>
          <w:lang w:val="en-US"/>
        </w:rPr>
        <w:t>Cophixalus</w:t>
      </w:r>
      <w:r>
        <w:rPr>
          <w:rStyle w:val="None A"/>
          <w:rtl w:val="0"/>
          <w:lang w:val="en-US"/>
        </w:rPr>
        <w:t xml:space="preserve"> in part (Boettger 1892)</w:t>
      </w:r>
      <w:r>
        <w:rPr>
          <w:rStyle w:val="None A"/>
        </w:rPr>
        <w:br w:type="textWrapping"/>
      </w:r>
      <w:r>
        <w:rPr>
          <w:i w:val="1"/>
          <w:iCs w:val="1"/>
          <w:rtl w:val="0"/>
          <w:lang w:val="en-US"/>
        </w:rPr>
        <w:t>Chaperina</w:t>
      </w:r>
      <w:r>
        <w:rPr>
          <w:rStyle w:val="None A"/>
          <w:rtl w:val="0"/>
          <w:lang w:val="en-US"/>
        </w:rPr>
        <w:t xml:space="preserve"> in part (Taylor 1920)</w:t>
      </w:r>
    </w:p>
    <w:p>
      <w:pPr>
        <w:pStyle w:val="Body Text"/>
      </w:pPr>
      <w:r>
        <w:rPr>
          <w:b w:val="1"/>
          <w:bCs w:val="1"/>
          <w:rtl w:val="0"/>
          <w:lang w:val="en-US"/>
        </w:rPr>
        <w:t>Diagnosis:</w:t>
      </w:r>
      <w:r>
        <w:rPr>
          <w:rStyle w:val="None A"/>
          <w:rtl w:val="0"/>
          <w:lang w:val="en-US"/>
        </w:rPr>
        <w:t xml:space="preserve"> We note that there are no synapomorphies in adult </w:t>
      </w:r>
      <w:r>
        <w:rPr>
          <w:i w:val="1"/>
          <w:iCs w:val="1"/>
          <w:rtl w:val="0"/>
          <w:lang w:val="en-US"/>
        </w:rPr>
        <w:t>Oreophryne</w:t>
      </w:r>
      <w:r>
        <w:rPr>
          <w:rStyle w:val="None A"/>
          <w:rtl w:val="0"/>
          <w:lang w:val="en-US"/>
        </w:rPr>
        <w:t xml:space="preserve"> that differ from the morphologically similar genus </w:t>
      </w:r>
      <w:r>
        <w:rPr>
          <w:i w:val="1"/>
          <w:iCs w:val="1"/>
          <w:rtl w:val="0"/>
          <w:lang w:val="en-US"/>
        </w:rPr>
        <w:t>Auparoparo</w:t>
      </w:r>
      <w:r>
        <w:rPr>
          <w:rStyle w:val="None A"/>
          <w:rtl w:val="0"/>
          <w:lang w:val="en-US"/>
        </w:rPr>
        <w:t xml:space="preserve">. Diagnoses should be made by molecular phylogenetic analysis, based on the phylogenetic definition below. </w:t>
      </w:r>
      <w:r>
        <w:rPr>
          <w:i w:val="1"/>
          <w:iCs w:val="1"/>
          <w:rtl w:val="0"/>
          <w:lang w:val="en-US"/>
        </w:rPr>
        <w:t>Oreophryne</w:t>
      </w:r>
      <w:r>
        <w:rPr>
          <w:rStyle w:val="None A"/>
          <w:rtl w:val="0"/>
          <w:lang w:val="en-US"/>
        </w:rPr>
        <w:t xml:space="preserve"> differs from most other genera in subfamily Asterophryinae, but not from </w:t>
      </w:r>
      <w:r>
        <w:rPr>
          <w:i w:val="1"/>
          <w:iCs w:val="1"/>
          <w:rtl w:val="0"/>
          <w:lang w:val="en-US"/>
        </w:rPr>
        <w:t>Auparoparo</w:t>
      </w:r>
      <w:r>
        <w:rPr>
          <w:rStyle w:val="None A"/>
          <w:rtl w:val="0"/>
          <w:lang w:val="en-US"/>
        </w:rPr>
        <w:t>, by the combination of (1) presence of highly reduced clavicles (vs absence or elongate) which have a distinctly curved shape; (2) presence of well developed digital pads, often with finger and toe pads of similar size; (3) arboreal lifestyle (perch height &gt;2m above ground); (4) most species range in body size from 16mm (</w:t>
      </w:r>
      <w:r>
        <w:rPr>
          <w:i w:val="1"/>
          <w:iCs w:val="1"/>
          <w:rtl w:val="0"/>
          <w:lang w:val="en-US"/>
        </w:rPr>
        <w:t>O. graminis</w:t>
      </w:r>
      <w:r>
        <w:rPr>
          <w:rStyle w:val="None A"/>
          <w:rtl w:val="0"/>
          <w:lang w:val="en-US"/>
        </w:rPr>
        <w:t>, G</w:t>
      </w:r>
      <w:r>
        <w:rPr>
          <w:rStyle w:val="None A"/>
          <w:rtl w:val="0"/>
          <w:lang w:val="en-US"/>
        </w:rPr>
        <w:t>ü</w:t>
      </w:r>
      <w:r>
        <w:rPr>
          <w:rStyle w:val="None A"/>
          <w:rtl w:val="0"/>
          <w:lang w:val="en-US"/>
        </w:rPr>
        <w:t>nther &amp; Richards, 2012) to 30mm, with a few larger species ~40mm (</w:t>
      </w:r>
      <w:r>
        <w:rPr>
          <w:i w:val="1"/>
          <w:iCs w:val="1"/>
          <w:rtl w:val="0"/>
          <w:lang w:val="en-US"/>
        </w:rPr>
        <w:t>O. inornata</w:t>
      </w:r>
      <w:r>
        <w:rPr>
          <w:rStyle w:val="None A"/>
          <w:rtl w:val="0"/>
          <w:lang w:val="en-US"/>
        </w:rPr>
        <w:t xml:space="preserve">); (5) small to invisible tympanum; (6) large eyes with horizontal pupils; (7) occasional presence of toe webbing; (8) thin, elongated limbs; and (9) in many species males that call with </w:t>
      </w:r>
      <w:r>
        <w:rPr>
          <w:rStyle w:val="None A"/>
          <w:rtl w:val="0"/>
          <w:lang w:val="en-US"/>
        </w:rPr>
        <w:t>“</w:t>
      </w:r>
      <w:r>
        <w:rPr>
          <w:rStyle w:val="None A"/>
          <w:rtl w:val="0"/>
          <w:lang w:val="en-US"/>
        </w:rPr>
        <w:t>honk</w:t>
      </w:r>
      <w:r>
        <w:rPr>
          <w:rStyle w:val="None A"/>
          <w:rtl w:val="0"/>
          <w:lang w:val="en-US"/>
        </w:rPr>
        <w:t xml:space="preserve">” </w:t>
      </w:r>
      <w:r>
        <w:rPr>
          <w:rStyle w:val="None A"/>
          <w:rtl w:val="0"/>
          <w:lang w:val="en-US"/>
        </w:rPr>
        <w:t xml:space="preserve">or </w:t>
      </w:r>
      <w:r>
        <w:rPr>
          <w:rStyle w:val="None A"/>
          <w:rtl w:val="0"/>
          <w:lang w:val="en-US"/>
        </w:rPr>
        <w:t>“</w:t>
      </w:r>
      <w:r>
        <w:rPr>
          <w:rStyle w:val="None A"/>
          <w:rtl w:val="0"/>
          <w:lang w:val="en-US"/>
        </w:rPr>
        <w:t>peep</w:t>
      </w:r>
      <w:r>
        <w:rPr>
          <w:rStyle w:val="None A"/>
          <w:rtl w:val="0"/>
          <w:lang w:val="en-US"/>
        </w:rPr>
        <w:t xml:space="preserve">” </w:t>
      </w:r>
      <w:r>
        <w:rPr>
          <w:rStyle w:val="None A"/>
          <w:rtl w:val="0"/>
          <w:lang w:val="en-US"/>
        </w:rPr>
        <w:t xml:space="preserve">types or in some species </w:t>
      </w:r>
      <w:r>
        <w:rPr>
          <w:rStyle w:val="None A"/>
          <w:rtl w:val="0"/>
          <w:lang w:val="en-US"/>
        </w:rPr>
        <w:t>“</w:t>
      </w:r>
      <w:r>
        <w:rPr>
          <w:rStyle w:val="None A"/>
          <w:rtl w:val="0"/>
          <w:lang w:val="en-US"/>
        </w:rPr>
        <w:t>rattle</w:t>
      </w:r>
      <w:r>
        <w:rPr>
          <w:rStyle w:val="None A"/>
          <w:rtl w:val="0"/>
          <w:lang w:val="en-US"/>
        </w:rPr>
        <w:t xml:space="preserve">” </w:t>
      </w:r>
      <w:r>
        <w:rPr>
          <w:rStyle w:val="None A"/>
          <w:rtl w:val="0"/>
          <w:lang w:val="en-US"/>
        </w:rPr>
        <w:t xml:space="preserve">type. Some species of </w:t>
      </w:r>
      <w:r>
        <w:rPr>
          <w:i w:val="1"/>
          <w:iCs w:val="1"/>
          <w:rtl w:val="0"/>
          <w:lang w:val="en-US"/>
        </w:rPr>
        <w:t>Oreophryne</w:t>
      </w:r>
      <w:r>
        <w:rPr>
          <w:rStyle w:val="None A"/>
          <w:rtl w:val="0"/>
          <w:lang w:val="en-US"/>
        </w:rPr>
        <w:t xml:space="preserve"> may be distinguished from </w:t>
      </w:r>
      <w:r>
        <w:rPr>
          <w:i w:val="1"/>
          <w:iCs w:val="1"/>
          <w:rtl w:val="0"/>
          <w:lang w:val="en-US"/>
        </w:rPr>
        <w:t>Auparoparo</w:t>
      </w:r>
      <w:r>
        <w:rPr>
          <w:rStyle w:val="None A"/>
          <w:rtl w:val="0"/>
          <w:lang w:val="en-US"/>
        </w:rPr>
        <w:t xml:space="preserve"> by roughly equal finger to toe pad ratio and males calling with </w:t>
      </w:r>
      <w:r>
        <w:rPr>
          <w:rStyle w:val="None A"/>
          <w:rtl w:val="0"/>
          <w:lang w:val="en-US"/>
        </w:rPr>
        <w:t>“</w:t>
      </w:r>
      <w:r>
        <w:rPr>
          <w:rStyle w:val="None A"/>
          <w:rtl w:val="0"/>
          <w:lang w:val="en-US"/>
        </w:rPr>
        <w:t>honk</w:t>
      </w:r>
      <w:r>
        <w:rPr>
          <w:rStyle w:val="None A"/>
          <w:rtl w:val="0"/>
          <w:lang w:val="en-US"/>
        </w:rPr>
        <w:t xml:space="preserve">” </w:t>
      </w:r>
      <w:r>
        <w:rPr>
          <w:rStyle w:val="None A"/>
          <w:rtl w:val="0"/>
          <w:lang w:val="en-US"/>
        </w:rPr>
        <w:t xml:space="preserve">or </w:t>
      </w:r>
      <w:r>
        <w:rPr>
          <w:rStyle w:val="None A"/>
          <w:rtl w:val="0"/>
          <w:lang w:val="en-US"/>
        </w:rPr>
        <w:t>“</w:t>
      </w:r>
      <w:r>
        <w:rPr>
          <w:rStyle w:val="None A"/>
          <w:rtl w:val="0"/>
          <w:lang w:val="en-US"/>
        </w:rPr>
        <w:t>peep</w:t>
      </w:r>
      <w:r>
        <w:rPr>
          <w:rStyle w:val="None A"/>
          <w:rtl w:val="0"/>
          <w:lang w:val="en-US"/>
        </w:rPr>
        <w:t xml:space="preserve">” </w:t>
      </w:r>
      <w:r>
        <w:rPr>
          <w:rStyle w:val="None A"/>
          <w:rtl w:val="0"/>
          <w:lang w:val="en-US"/>
        </w:rPr>
        <w:t xml:space="preserve">but not </w:t>
      </w:r>
      <w:r>
        <w:rPr>
          <w:rStyle w:val="None A"/>
          <w:rtl w:val="0"/>
          <w:lang w:val="en-US"/>
        </w:rPr>
        <w:t>“</w:t>
      </w:r>
      <w:r>
        <w:rPr>
          <w:rStyle w:val="None A"/>
          <w:rtl w:val="0"/>
          <w:lang w:val="en-US"/>
        </w:rPr>
        <w:t>whinny</w:t>
      </w:r>
      <w:r>
        <w:rPr>
          <w:rStyle w:val="None A"/>
          <w:rtl w:val="0"/>
          <w:lang w:val="en-US"/>
        </w:rPr>
        <w:t xml:space="preserve">” </w:t>
      </w:r>
      <w:r>
        <w:rPr>
          <w:rStyle w:val="None A"/>
          <w:rtl w:val="0"/>
          <w:lang w:val="en-US"/>
        </w:rPr>
        <w:t>call types.</w:t>
      </w:r>
    </w:p>
    <w:p>
      <w:pPr>
        <w:pStyle w:val="Body Text"/>
      </w:pPr>
      <w:r>
        <w:rPr>
          <w:b w:val="1"/>
          <w:bCs w:val="1"/>
          <w:rtl w:val="0"/>
          <w:lang w:val="en-US"/>
        </w:rPr>
        <w:t>Phylogenetic definition:</w:t>
      </w:r>
      <w:r>
        <w:rPr>
          <w:rStyle w:val="None A"/>
          <w:rtl w:val="0"/>
          <w:lang w:val="en-US"/>
        </w:rPr>
        <w:t xml:space="preserve"> </w:t>
      </w:r>
      <w:r>
        <w:rPr>
          <w:i w:val="1"/>
          <w:iCs w:val="1"/>
          <w:rtl w:val="0"/>
          <w:lang w:val="en-US"/>
        </w:rPr>
        <w:t>Oreophryne</w:t>
      </w:r>
      <w:r>
        <w:rPr>
          <w:rStyle w:val="None A"/>
          <w:rtl w:val="0"/>
          <w:lang w:val="en-US"/>
        </w:rPr>
        <w:t xml:space="preserve"> Boettger 1895 (Converted Clade Name) is defined as the largest crown clade including </w:t>
      </w:r>
      <w:r>
        <w:rPr>
          <w:i w:val="1"/>
          <w:iCs w:val="1"/>
          <w:rtl w:val="0"/>
          <w:lang w:val="en-US"/>
        </w:rPr>
        <w:t>Oreophryne senckenbergiana</w:t>
      </w:r>
      <w:r>
        <w:rPr>
          <w:rStyle w:val="None A"/>
          <w:rtl w:val="0"/>
          <w:lang w:val="en-US"/>
        </w:rPr>
        <w:t xml:space="preserve"> Boettger 1895 and excluding the type species of the other genus-ranked clades listed in Table</w:t>
      </w:r>
      <w:r>
        <w:rPr>
          <w:rStyle w:val="None A"/>
          <w:rtl w:val="0"/>
          <w:lang w:val="en-US"/>
        </w:rPr>
        <w:t> </w:t>
      </w:r>
      <w:r>
        <w:rPr>
          <w:rStyle w:val="None A"/>
          <w:rtl w:val="0"/>
          <w:lang w:val="en-US"/>
        </w:rPr>
        <w:t>4.</w:t>
      </w:r>
    </w:p>
    <w:p>
      <w:pPr>
        <w:pStyle w:val="Body Text"/>
        <w:widowControl w:val="0"/>
        <w:spacing w:line="240" w:lineRule="auto"/>
      </w:pPr>
    </w:p>
    <w:p>
      <w:pPr>
        <w:pStyle w:val="Body Text"/>
      </w:pPr>
      <w:r>
        <w:rPr>
          <w:b w:val="1"/>
          <w:bCs w:val="1"/>
          <w:rtl w:val="0"/>
          <w:lang w:val="en-US"/>
        </w:rPr>
        <w:t>Composition:</w:t>
      </w:r>
      <w:r>
        <w:rPr>
          <w:rStyle w:val="None A"/>
          <w:rtl w:val="0"/>
          <w:lang w:val="en-US"/>
        </w:rPr>
        <w:t xml:space="preserve"> Our results support the retention of 17 species in </w:t>
      </w:r>
      <w:r>
        <w:rPr>
          <w:i w:val="1"/>
          <w:iCs w:val="1"/>
          <w:rtl w:val="0"/>
          <w:lang w:val="en-US"/>
        </w:rPr>
        <w:t>Oreophryne</w:t>
      </w:r>
      <w:r>
        <w:rPr>
          <w:rStyle w:val="None A"/>
          <w:rtl w:val="0"/>
          <w:lang w:val="en-US"/>
        </w:rPr>
        <w:t xml:space="preserve"> with molecular evidence (Supplementary Table 2): </w:t>
      </w:r>
      <w:r>
        <w:rPr>
          <w:i w:val="1"/>
          <w:iCs w:val="1"/>
          <w:rtl w:val="0"/>
          <w:lang w:val="en-US"/>
        </w:rPr>
        <w:t>Oreophryne anamiatoi</w:t>
      </w:r>
      <w:r>
        <w:rPr>
          <w:rStyle w:val="None A"/>
          <w:rtl w:val="0"/>
          <w:lang w:val="en-US"/>
        </w:rPr>
        <w:t xml:space="preserve"> Kraus 2009, </w:t>
      </w:r>
      <w:r>
        <w:rPr>
          <w:i w:val="1"/>
          <w:iCs w:val="1"/>
          <w:rtl w:val="0"/>
          <w:lang w:val="en-US"/>
        </w:rPr>
        <w:t>O. anulata</w:t>
      </w:r>
      <w:r>
        <w:rPr>
          <w:rStyle w:val="None A"/>
          <w:rtl w:val="0"/>
          <w:lang w:val="en-US"/>
        </w:rPr>
        <w:t xml:space="preserve"> (Stejneger 1908), </w:t>
      </w:r>
      <w:r>
        <w:rPr>
          <w:i w:val="1"/>
          <w:iCs w:val="1"/>
          <w:rtl w:val="0"/>
          <w:lang w:val="en-US"/>
        </w:rPr>
        <w:t>O. aurora</w:t>
      </w:r>
      <w:r>
        <w:rPr>
          <w:rStyle w:val="None A"/>
          <w:rtl w:val="0"/>
          <w:lang w:val="en-US"/>
        </w:rPr>
        <w:t xml:space="preserve"> Kraus 2016, </w:t>
      </w:r>
      <w:r>
        <w:rPr>
          <w:i w:val="1"/>
          <w:iCs w:val="1"/>
          <w:rtl w:val="0"/>
          <w:lang w:val="en-US"/>
        </w:rPr>
        <w:t>O. biroi</w:t>
      </w:r>
      <w:r>
        <w:rPr>
          <w:rStyle w:val="None A"/>
          <w:rtl w:val="0"/>
          <w:lang w:val="en-US"/>
        </w:rPr>
        <w:t xml:space="preserve"> Mehely 1897, </w:t>
      </w:r>
      <w:r>
        <w:rPr>
          <w:i w:val="1"/>
          <w:iCs w:val="1"/>
          <w:rtl w:val="0"/>
          <w:lang w:val="en-US"/>
        </w:rPr>
        <w:t>O. brachypus</w:t>
      </w:r>
      <w:r>
        <w:rPr>
          <w:rStyle w:val="None A"/>
          <w:rtl w:val="0"/>
          <w:lang w:val="en-US"/>
        </w:rPr>
        <w:t xml:space="preserve"> Werner 1898, </w:t>
      </w:r>
      <w:r>
        <w:rPr>
          <w:i w:val="1"/>
          <w:iCs w:val="1"/>
          <w:rtl w:val="0"/>
          <w:lang w:val="en-US"/>
        </w:rPr>
        <w:t>O. cameroni</w:t>
      </w:r>
      <w:r>
        <w:rPr>
          <w:rStyle w:val="None A"/>
          <w:rtl w:val="0"/>
          <w:lang w:val="en-US"/>
        </w:rPr>
        <w:t xml:space="preserve"> Kraus 2013, </w:t>
      </w:r>
      <w:r>
        <w:rPr>
          <w:i w:val="1"/>
          <w:iCs w:val="1"/>
          <w:rtl w:val="0"/>
          <w:lang w:val="en-US"/>
        </w:rPr>
        <w:t>O. geislerorum</w:t>
      </w:r>
      <w:r>
        <w:rPr>
          <w:rStyle w:val="None A"/>
          <w:rtl w:val="0"/>
          <w:lang w:val="en-US"/>
        </w:rPr>
        <w:t xml:space="preserve"> Boettger 1892, </w:t>
      </w:r>
      <w:r>
        <w:rPr>
          <w:i w:val="1"/>
          <w:iCs w:val="1"/>
          <w:rtl w:val="0"/>
          <w:lang w:val="en-US"/>
        </w:rPr>
        <w:t>O. graminis</w:t>
      </w:r>
      <w:r>
        <w:rPr>
          <w:rStyle w:val="None A"/>
          <w:rtl w:val="0"/>
          <w:lang w:val="en-US"/>
        </w:rPr>
        <w:t xml:space="preserve"> Gunther 2012, </w:t>
      </w:r>
      <w:r>
        <w:rPr>
          <w:i w:val="1"/>
          <w:iCs w:val="1"/>
          <w:rtl w:val="0"/>
          <w:lang w:val="en-US"/>
        </w:rPr>
        <w:t>O. inornata</w:t>
      </w:r>
      <w:r>
        <w:rPr>
          <w:rStyle w:val="None A"/>
          <w:rtl w:val="0"/>
          <w:lang w:val="en-US"/>
        </w:rPr>
        <w:t xml:space="preserve"> Zweifel 1956, </w:t>
      </w:r>
      <w:r>
        <w:rPr>
          <w:i w:val="1"/>
          <w:iCs w:val="1"/>
          <w:rtl w:val="0"/>
          <w:lang w:val="en-US"/>
        </w:rPr>
        <w:t>O. lemur</w:t>
      </w:r>
      <w:r>
        <w:rPr>
          <w:rStyle w:val="None A"/>
          <w:rtl w:val="0"/>
          <w:lang w:val="en-US"/>
        </w:rPr>
        <w:t xml:space="preserve"> Kraus 2016, </w:t>
      </w:r>
      <w:r>
        <w:rPr>
          <w:i w:val="1"/>
          <w:iCs w:val="1"/>
          <w:rtl w:val="0"/>
          <w:lang w:val="en-US"/>
        </w:rPr>
        <w:t>O. loriae</w:t>
      </w:r>
      <w:r>
        <w:rPr>
          <w:rStyle w:val="None A"/>
          <w:rtl w:val="0"/>
          <w:lang w:val="en-US"/>
        </w:rPr>
        <w:t xml:space="preserve"> Boulenger 1898, </w:t>
      </w:r>
      <w:r>
        <w:rPr>
          <w:i w:val="1"/>
          <w:iCs w:val="1"/>
          <w:rtl w:val="0"/>
          <w:lang w:val="en-US"/>
        </w:rPr>
        <w:t>O. nana</w:t>
      </w:r>
      <w:r>
        <w:rPr>
          <w:rStyle w:val="None A"/>
          <w:rtl w:val="0"/>
          <w:lang w:val="en-US"/>
        </w:rPr>
        <w:t xml:space="preserve"> Brown 1967, </w:t>
      </w:r>
      <w:r>
        <w:rPr>
          <w:i w:val="1"/>
          <w:iCs w:val="1"/>
          <w:rtl w:val="0"/>
          <w:lang w:val="en-US"/>
        </w:rPr>
        <w:t>O. notata</w:t>
      </w:r>
      <w:r>
        <w:rPr>
          <w:rStyle w:val="None A"/>
          <w:rtl w:val="0"/>
          <w:lang w:val="en-US"/>
        </w:rPr>
        <w:t xml:space="preserve"> Zweifel 2003, </w:t>
      </w:r>
      <w:r>
        <w:rPr>
          <w:i w:val="1"/>
          <w:iCs w:val="1"/>
          <w:rtl w:val="0"/>
          <w:lang w:val="en-US"/>
        </w:rPr>
        <w:t>O. parkeri</w:t>
      </w:r>
      <w:r>
        <w:rPr>
          <w:rStyle w:val="None A"/>
          <w:rtl w:val="0"/>
          <w:lang w:val="en-US"/>
        </w:rPr>
        <w:t xml:space="preserve"> Loveridge 1955, </w:t>
      </w:r>
      <w:r>
        <w:rPr>
          <w:i w:val="1"/>
          <w:iCs w:val="1"/>
          <w:rtl w:val="0"/>
          <w:lang w:val="en-US"/>
        </w:rPr>
        <w:t>O. parkopanorum</w:t>
      </w:r>
      <w:r>
        <w:rPr>
          <w:rStyle w:val="None A"/>
          <w:rtl w:val="0"/>
          <w:lang w:val="en-US"/>
        </w:rPr>
        <w:t xml:space="preserve"> Kraus 2013, </w:t>
      </w:r>
      <w:r>
        <w:rPr>
          <w:i w:val="1"/>
          <w:iCs w:val="1"/>
          <w:rtl w:val="0"/>
          <w:lang w:val="en-US"/>
        </w:rPr>
        <w:t>O. philosylleptoris</w:t>
      </w:r>
      <w:r>
        <w:rPr>
          <w:rStyle w:val="None A"/>
          <w:rtl w:val="0"/>
          <w:lang w:val="en-US"/>
        </w:rPr>
        <w:t xml:space="preserve"> Kraus 2016, and </w:t>
      </w:r>
      <w:r>
        <w:rPr>
          <w:i w:val="1"/>
          <w:iCs w:val="1"/>
          <w:rtl w:val="0"/>
          <w:lang w:val="en-US"/>
        </w:rPr>
        <w:t>O. moluccensis</w:t>
      </w:r>
      <w:r>
        <w:rPr>
          <w:rStyle w:val="None A"/>
          <w:rtl w:val="0"/>
          <w:lang w:val="en-US"/>
        </w:rPr>
        <w:t xml:space="preserve"> (Peters 1878). A number of species were not available for our study but should molecular evidence demonstrate their relationship within </w:t>
      </w:r>
      <w:r>
        <w:rPr>
          <w:i w:val="1"/>
          <w:iCs w:val="1"/>
          <w:rtl w:val="0"/>
          <w:lang w:val="en-US"/>
        </w:rPr>
        <w:t>Oreophryne</w:t>
      </w:r>
      <w:r>
        <w:rPr>
          <w:rStyle w:val="None A"/>
          <w:rtl w:val="0"/>
          <w:lang w:val="en-US"/>
        </w:rPr>
        <w:t>, those species should also retain their generic identity.</w:t>
      </w:r>
    </w:p>
    <w:p>
      <w:pPr>
        <w:pStyle w:val="Body Text"/>
      </w:pPr>
      <w:r>
        <w:rPr>
          <w:b w:val="1"/>
          <w:bCs w:val="1"/>
          <w:rtl w:val="0"/>
          <w:lang w:val="en-US"/>
        </w:rPr>
        <w:t>Distribution:</w:t>
      </w:r>
      <w:r>
        <w:rPr>
          <w:rStyle w:val="None A"/>
          <w:rtl w:val="0"/>
          <w:lang w:val="en-US"/>
        </w:rPr>
        <w:t xml:space="preserve"> The range of confirmed </w:t>
      </w:r>
      <w:r>
        <w:rPr>
          <w:i w:val="1"/>
          <w:iCs w:val="1"/>
          <w:rtl w:val="0"/>
          <w:lang w:val="en-US"/>
        </w:rPr>
        <w:t>Oreophryne</w:t>
      </w:r>
      <w:r>
        <w:rPr>
          <w:rStyle w:val="None A"/>
          <w:rtl w:val="0"/>
          <w:lang w:val="en-US"/>
        </w:rPr>
        <w:t xml:space="preserve"> species in this dataset remains nearly as broad as previously defined (Fig.</w:t>
      </w:r>
      <w:r>
        <w:rPr>
          <w:rStyle w:val="None A"/>
          <w:rtl w:val="0"/>
          <w:lang w:val="en-US"/>
        </w:rPr>
        <w:t> </w:t>
      </w:r>
      <w:r>
        <w:rPr>
          <w:rStyle w:val="None A"/>
          <w:rtl w:val="0"/>
          <w:lang w:val="en-US"/>
        </w:rPr>
        <w:t xml:space="preserve">3), from the Philippines and Indonesia to the southeastern most tip of mainland New Guinea and several near-shore islands (Fergusson, and Normanby Is.) and the distant Rossel Island of the Louisiade Archipelago. However, the transfer of species which occupy Woodlark Islands and Misima and Sudest Islands of the Louisaide Archipelago reduces the known range of </w:t>
      </w:r>
      <w:r>
        <w:rPr>
          <w:i w:val="1"/>
          <w:iCs w:val="1"/>
          <w:rtl w:val="0"/>
          <w:lang w:val="en-US"/>
        </w:rPr>
        <w:t>Oreophryne</w:t>
      </w:r>
      <w:r>
        <w:rPr>
          <w:rStyle w:val="None A"/>
          <w:rtl w:val="0"/>
          <w:lang w:val="en-US"/>
        </w:rPr>
        <w:t xml:space="preserve">. Woodlark Island is inhabited by </w:t>
      </w:r>
      <w:r>
        <w:rPr>
          <w:i w:val="1"/>
          <w:iCs w:val="1"/>
          <w:rtl w:val="0"/>
          <w:lang w:val="en-US"/>
        </w:rPr>
        <w:t>O. phoebe</w:t>
      </w:r>
      <w:r>
        <w:rPr>
          <w:rStyle w:val="None A"/>
          <w:rtl w:val="0"/>
          <w:lang w:val="en-US"/>
        </w:rPr>
        <w:t xml:space="preserve"> [=</w:t>
      </w:r>
      <w:r>
        <w:rPr>
          <w:i w:val="1"/>
          <w:iCs w:val="1"/>
          <w:rtl w:val="0"/>
          <w:lang w:val="en-US"/>
        </w:rPr>
        <w:t>Auparoparo phoebe</w:t>
      </w:r>
      <w:r>
        <w:rPr>
          <w:rStyle w:val="None A"/>
          <w:rtl w:val="0"/>
          <w:lang w:val="en-US"/>
        </w:rPr>
        <w:t xml:space="preserve">], Misima Island is inhabited by </w:t>
      </w:r>
      <w:r>
        <w:rPr>
          <w:i w:val="1"/>
          <w:iCs w:val="1"/>
          <w:rtl w:val="0"/>
          <w:lang w:val="en-US"/>
        </w:rPr>
        <w:t>O. picticrus</w:t>
      </w:r>
      <w:r>
        <w:rPr>
          <w:rStyle w:val="None A"/>
          <w:rtl w:val="0"/>
          <w:lang w:val="en-US"/>
        </w:rPr>
        <w:t xml:space="preserve"> [=</w:t>
      </w:r>
      <w:r>
        <w:rPr>
          <w:i w:val="1"/>
          <w:iCs w:val="1"/>
          <w:rtl w:val="0"/>
          <w:lang w:val="en-US"/>
        </w:rPr>
        <w:t>Auparoparo picticrus</w:t>
      </w:r>
      <w:r>
        <w:rPr>
          <w:rStyle w:val="None A"/>
          <w:rtl w:val="0"/>
          <w:lang w:val="en-US"/>
        </w:rPr>
        <w:t xml:space="preserve">], and Sudest Island is inhabited by </w:t>
      </w:r>
      <w:r>
        <w:rPr>
          <w:i w:val="1"/>
          <w:iCs w:val="1"/>
          <w:rtl w:val="0"/>
          <w:lang w:val="en-US"/>
        </w:rPr>
        <w:t>O. ezra</w:t>
      </w:r>
      <w:r>
        <w:rPr>
          <w:rStyle w:val="None A"/>
          <w:rtl w:val="0"/>
          <w:lang w:val="en-US"/>
        </w:rPr>
        <w:t xml:space="preserve"> and </w:t>
      </w:r>
      <w:r>
        <w:rPr>
          <w:i w:val="1"/>
          <w:iCs w:val="1"/>
          <w:rtl w:val="0"/>
          <w:lang w:val="en-US"/>
        </w:rPr>
        <w:t>O. meliades</w:t>
      </w:r>
      <w:r>
        <w:rPr>
          <w:rStyle w:val="None A"/>
          <w:rtl w:val="0"/>
          <w:lang w:val="en-US"/>
        </w:rPr>
        <w:t xml:space="preserve"> [= </w:t>
      </w:r>
      <w:r>
        <w:rPr>
          <w:i w:val="1"/>
          <w:iCs w:val="1"/>
          <w:rtl w:val="0"/>
          <w:lang w:val="en-US"/>
        </w:rPr>
        <w:t>Auparoparo ezra</w:t>
      </w:r>
      <w:r>
        <w:rPr>
          <w:rStyle w:val="None A"/>
          <w:rtl w:val="0"/>
          <w:lang w:val="en-US"/>
        </w:rPr>
        <w:t xml:space="preserve"> and </w:t>
      </w:r>
      <w:r>
        <w:rPr>
          <w:i w:val="1"/>
          <w:iCs w:val="1"/>
          <w:rtl w:val="0"/>
          <w:lang w:val="en-US"/>
        </w:rPr>
        <w:t>Auparoparo meliades</w:t>
      </w:r>
      <w:r>
        <w:rPr>
          <w:rStyle w:val="None A"/>
          <w:rtl w:val="0"/>
          <w:lang w:val="en-US"/>
        </w:rPr>
        <w:t>].</w:t>
      </w:r>
    </w:p>
    <w:p>
      <w:pPr>
        <w:pStyle w:val="Body Text"/>
      </w:pPr>
      <w:r>
        <w:rPr>
          <w:b w:val="1"/>
          <w:bCs w:val="1"/>
          <w:rtl w:val="0"/>
          <w:lang w:val="en-US"/>
        </w:rPr>
        <w:t xml:space="preserve">Genus </w:t>
      </w:r>
      <w:r>
        <w:rPr>
          <w:b w:val="1"/>
          <w:bCs w:val="1"/>
          <w:i w:val="1"/>
          <w:iCs w:val="1"/>
          <w:rtl w:val="0"/>
          <w:lang w:val="en-US"/>
        </w:rPr>
        <w:t>Auparoparo</w:t>
      </w:r>
      <w:r>
        <w:rPr>
          <w:b w:val="1"/>
          <w:bCs w:val="1"/>
          <w:rtl w:val="0"/>
          <w:lang w:val="en-US"/>
        </w:rPr>
        <w:t xml:space="preserve"> gen. nov.</w:t>
      </w:r>
      <w:r>
        <w:rPr>
          <w:rStyle w:val="None A"/>
        </w:rPr>
        <w:br w:type="textWrapping"/>
      </w:r>
      <w:r>
        <w:rPr>
          <w:i w:val="1"/>
          <w:iCs w:val="1"/>
          <w:rtl w:val="0"/>
          <w:lang w:val="en-US"/>
        </w:rPr>
        <w:t>Oreophryne</w:t>
      </w:r>
      <w:r>
        <w:rPr>
          <w:rStyle w:val="None A"/>
          <w:rtl w:val="0"/>
          <w:lang w:val="en-US"/>
        </w:rPr>
        <w:t xml:space="preserve"> in part (Boettger, 1895)</w:t>
      </w:r>
      <w:r>
        <w:rPr>
          <w:rStyle w:val="None A"/>
        </w:rPr>
        <w:br w:type="textWrapping"/>
      </w:r>
      <w:r>
        <w:rPr>
          <w:i w:val="1"/>
          <w:iCs w:val="1"/>
          <w:rtl w:val="0"/>
          <w:lang w:val="en-US"/>
        </w:rPr>
        <w:t>Sphenophryne</w:t>
      </w:r>
      <w:r>
        <w:rPr>
          <w:rStyle w:val="None A"/>
          <w:rtl w:val="0"/>
          <w:lang w:val="en-US"/>
        </w:rPr>
        <w:t xml:space="preserve"> in part (Boulenger, 1897)</w:t>
      </w:r>
      <w:r>
        <w:rPr>
          <w:rStyle w:val="None A"/>
        </w:rPr>
        <w:br w:type="textWrapping"/>
      </w:r>
      <w:r>
        <w:rPr>
          <w:rStyle w:val="None A"/>
          <w:rtl w:val="0"/>
          <w:lang w:val="en-US"/>
        </w:rPr>
        <w:t xml:space="preserve">Type species </w:t>
      </w:r>
      <w:r>
        <w:rPr>
          <w:i w:val="1"/>
          <w:iCs w:val="1"/>
          <w:rtl w:val="0"/>
          <w:lang w:val="en-US"/>
        </w:rPr>
        <w:t>Oreophryne penelopeia</w:t>
      </w:r>
      <w:r>
        <w:rPr>
          <w:rStyle w:val="None A"/>
          <w:rtl w:val="0"/>
          <w:lang w:val="en-US"/>
        </w:rPr>
        <w:t xml:space="preserve"> (Kraus, 2016) [=</w:t>
      </w:r>
      <w:r>
        <w:rPr>
          <w:i w:val="1"/>
          <w:iCs w:val="1"/>
          <w:rtl w:val="0"/>
          <w:lang w:val="en-US"/>
        </w:rPr>
        <w:t>Auparoparo penelopeia</w:t>
      </w:r>
      <w:r>
        <w:rPr>
          <w:rStyle w:val="None A"/>
          <w:rtl w:val="0"/>
          <w:lang w:val="en-US"/>
        </w:rPr>
        <w:t>]</w:t>
      </w:r>
    </w:p>
    <w:p>
      <w:pPr>
        <w:pStyle w:val="Body Text"/>
      </w:pPr>
      <w:r>
        <w:rPr>
          <w:b w:val="1"/>
          <w:bCs w:val="1"/>
          <w:rtl w:val="0"/>
          <w:lang w:val="en-US"/>
        </w:rPr>
        <w:t>Diagnosis:</w:t>
      </w:r>
      <w:r>
        <w:rPr>
          <w:rStyle w:val="None A"/>
          <w:rtl w:val="0"/>
          <w:lang w:val="en-US"/>
        </w:rPr>
        <w:t xml:space="preserve"> Currently, there are no known synapomorphies in adult </w:t>
      </w:r>
      <w:r>
        <w:rPr>
          <w:i w:val="1"/>
          <w:iCs w:val="1"/>
          <w:rtl w:val="0"/>
          <w:lang w:val="en-US"/>
        </w:rPr>
        <w:t>Auparoparo</w:t>
      </w:r>
      <w:r>
        <w:rPr>
          <w:rStyle w:val="None A"/>
          <w:rtl w:val="0"/>
          <w:lang w:val="en-US"/>
        </w:rPr>
        <w:t xml:space="preserve"> that differ from the morphologically similar genus </w:t>
      </w:r>
      <w:r>
        <w:rPr>
          <w:i w:val="1"/>
          <w:iCs w:val="1"/>
          <w:rtl w:val="0"/>
          <w:lang w:val="en-US"/>
        </w:rPr>
        <w:t>Oreophryne</w:t>
      </w:r>
      <w:r>
        <w:rPr>
          <w:rStyle w:val="None A"/>
          <w:rtl w:val="0"/>
          <w:lang w:val="en-US"/>
        </w:rPr>
        <w:t xml:space="preserve">. Diagnoses should be made by molecular phylogenetic analysis, based on the phylogenetic definition below. </w:t>
      </w:r>
      <w:r>
        <w:rPr>
          <w:i w:val="1"/>
          <w:iCs w:val="1"/>
          <w:rtl w:val="0"/>
          <w:lang w:val="en-US"/>
        </w:rPr>
        <w:t>Auparoparo</w:t>
      </w:r>
      <w:r>
        <w:rPr>
          <w:rStyle w:val="None A"/>
          <w:rtl w:val="0"/>
          <w:lang w:val="en-US"/>
        </w:rPr>
        <w:t xml:space="preserve"> differs from most other genera in subfamily Asterophryinae, but not from </w:t>
      </w:r>
      <w:r>
        <w:rPr>
          <w:i w:val="1"/>
          <w:iCs w:val="1"/>
          <w:rtl w:val="0"/>
          <w:lang w:val="en-US"/>
        </w:rPr>
        <w:t>Oreophryne</w:t>
      </w:r>
      <w:r>
        <w:rPr>
          <w:rStyle w:val="None A"/>
          <w:rtl w:val="0"/>
          <w:lang w:val="en-US"/>
        </w:rPr>
        <w:t>, by the combination of (1) presence of highly reduced clavicles (vs absence or elongate) which have a distinctly curved shape; (2) presence of well developed digital discs, with finger discs notably wider than toe discs (typically 20% or more); (3) arboreal lifestyle (perch height &gt;2m above ground); (4) small to moderately large body size in known species, from 16mm (</w:t>
      </w:r>
      <w:r>
        <w:rPr>
          <w:i w:val="1"/>
          <w:iCs w:val="1"/>
          <w:rtl w:val="0"/>
          <w:lang w:val="en-US"/>
        </w:rPr>
        <w:t>A. brunnea</w:t>
      </w:r>
      <w:r>
        <w:rPr>
          <w:rStyle w:val="None A"/>
          <w:rtl w:val="0"/>
          <w:lang w:val="en-US"/>
        </w:rPr>
        <w:t xml:space="preserve"> Kraus 2017) to 25 mm (</w:t>
      </w:r>
      <w:r>
        <w:rPr>
          <w:i w:val="1"/>
          <w:iCs w:val="1"/>
          <w:rtl w:val="0"/>
          <w:lang w:val="en-US"/>
        </w:rPr>
        <w:t>A. picticrus</w:t>
      </w:r>
      <w:r>
        <w:rPr>
          <w:rStyle w:val="None A"/>
          <w:rtl w:val="0"/>
          <w:lang w:val="en-US"/>
        </w:rPr>
        <w:t xml:space="preserve"> Kraus 2016); (5) small to invisible tympanum; (6) large eyes with horizontal pupils; (7) occasional presence of toe webbing; (8) and thin, elongated limbs; and (9) and in many species males that call with a </w:t>
      </w:r>
      <w:r>
        <w:rPr>
          <w:rStyle w:val="None A"/>
          <w:rtl w:val="0"/>
          <w:lang w:val="en-US"/>
        </w:rPr>
        <w:t>“</w:t>
      </w:r>
      <w:r>
        <w:rPr>
          <w:rStyle w:val="None A"/>
          <w:rtl w:val="0"/>
          <w:lang w:val="en-US"/>
        </w:rPr>
        <w:t>whinny</w:t>
      </w:r>
      <w:r>
        <w:rPr>
          <w:rStyle w:val="None A"/>
          <w:rtl w:val="0"/>
          <w:lang w:val="en-US"/>
        </w:rPr>
        <w:t xml:space="preserve">” </w:t>
      </w:r>
      <w:r>
        <w:rPr>
          <w:rStyle w:val="None A"/>
          <w:rtl w:val="0"/>
          <w:lang w:val="en-US"/>
        </w:rPr>
        <w:t xml:space="preserve">call type or in some species </w:t>
      </w:r>
      <w:r>
        <w:rPr>
          <w:rStyle w:val="None A"/>
          <w:rtl w:val="0"/>
          <w:lang w:val="en-US"/>
        </w:rPr>
        <w:t>“</w:t>
      </w:r>
      <w:r>
        <w:rPr>
          <w:rStyle w:val="None A"/>
          <w:rtl w:val="0"/>
          <w:lang w:val="en-US"/>
        </w:rPr>
        <w:t>rattle</w:t>
      </w:r>
      <w:r>
        <w:rPr>
          <w:rStyle w:val="None A"/>
          <w:rtl w:val="0"/>
          <w:lang w:val="en-US"/>
        </w:rPr>
        <w:t xml:space="preserve">” </w:t>
      </w:r>
      <w:r>
        <w:rPr>
          <w:rStyle w:val="None A"/>
          <w:rtl w:val="0"/>
          <w:lang w:val="en-US"/>
        </w:rPr>
        <w:t xml:space="preserve">type. Some species of </w:t>
      </w:r>
      <w:r>
        <w:rPr>
          <w:i w:val="1"/>
          <w:iCs w:val="1"/>
          <w:rtl w:val="0"/>
          <w:lang w:val="en-US"/>
        </w:rPr>
        <w:t>Auparoparo</w:t>
      </w:r>
      <w:r>
        <w:rPr>
          <w:rStyle w:val="None A"/>
          <w:rtl w:val="0"/>
          <w:lang w:val="en-US"/>
        </w:rPr>
        <w:t xml:space="preserve"> may be distinguished from </w:t>
      </w:r>
      <w:r>
        <w:rPr>
          <w:i w:val="1"/>
          <w:iCs w:val="1"/>
          <w:rtl w:val="0"/>
          <w:lang w:val="en-US"/>
        </w:rPr>
        <w:t>Oreophryne</w:t>
      </w:r>
      <w:r>
        <w:rPr>
          <w:rStyle w:val="None A"/>
          <w:rtl w:val="0"/>
          <w:lang w:val="en-US"/>
        </w:rPr>
        <w:t xml:space="preserve"> by larger finger pads than toe pads and males calling with </w:t>
      </w:r>
      <w:r>
        <w:rPr>
          <w:rStyle w:val="None A"/>
          <w:rtl w:val="0"/>
          <w:lang w:val="en-US"/>
        </w:rPr>
        <w:t>“</w:t>
      </w:r>
      <w:r>
        <w:rPr>
          <w:rStyle w:val="None A"/>
          <w:rtl w:val="0"/>
          <w:lang w:val="en-US"/>
        </w:rPr>
        <w:t>whinny</w:t>
      </w:r>
      <w:r>
        <w:rPr>
          <w:rStyle w:val="None A"/>
          <w:rtl w:val="0"/>
          <w:lang w:val="en-US"/>
        </w:rPr>
        <w:t xml:space="preserve">” </w:t>
      </w:r>
      <w:r>
        <w:rPr>
          <w:rStyle w:val="None A"/>
          <w:rtl w:val="0"/>
          <w:lang w:val="en-US"/>
        </w:rPr>
        <w:t xml:space="preserve">but not </w:t>
      </w:r>
      <w:r>
        <w:rPr>
          <w:rStyle w:val="None A"/>
          <w:rtl w:val="0"/>
          <w:lang w:val="en-US"/>
        </w:rPr>
        <w:t>“</w:t>
      </w:r>
      <w:r>
        <w:rPr>
          <w:rStyle w:val="None A"/>
          <w:rtl w:val="0"/>
          <w:lang w:val="en-US"/>
        </w:rPr>
        <w:t>honk</w:t>
      </w:r>
      <w:r>
        <w:rPr>
          <w:rStyle w:val="None A"/>
          <w:rtl w:val="0"/>
          <w:lang w:val="en-US"/>
        </w:rPr>
        <w:t xml:space="preserve">” </w:t>
      </w:r>
      <w:r>
        <w:rPr>
          <w:rStyle w:val="None A"/>
          <w:rtl w:val="0"/>
          <w:lang w:val="en-US"/>
        </w:rPr>
        <w:t xml:space="preserve">or </w:t>
      </w:r>
      <w:r>
        <w:rPr>
          <w:rStyle w:val="None A"/>
          <w:rtl w:val="0"/>
          <w:lang w:val="en-US"/>
        </w:rPr>
        <w:t>“</w:t>
      </w:r>
      <w:r>
        <w:rPr>
          <w:rStyle w:val="None A"/>
          <w:rtl w:val="0"/>
          <w:lang w:val="en-US"/>
        </w:rPr>
        <w:t>peep</w:t>
      </w:r>
      <w:r>
        <w:rPr>
          <w:rStyle w:val="None A"/>
          <w:rtl w:val="0"/>
          <w:lang w:val="en-US"/>
        </w:rPr>
        <w:t xml:space="preserve">” </w:t>
      </w:r>
      <w:r>
        <w:rPr>
          <w:rStyle w:val="None A"/>
          <w:rtl w:val="0"/>
          <w:lang w:val="en-US"/>
        </w:rPr>
        <w:t>call types.</w:t>
      </w:r>
    </w:p>
    <w:p>
      <w:pPr>
        <w:pStyle w:val="Body Text"/>
      </w:pPr>
      <w:r>
        <w:rPr>
          <w:b w:val="1"/>
          <w:bCs w:val="1"/>
          <w:rtl w:val="0"/>
          <w:lang w:val="en-US"/>
        </w:rPr>
        <w:t>Phylogenetic definition:</w:t>
      </w:r>
      <w:r>
        <w:rPr>
          <w:rStyle w:val="None A"/>
          <w:rtl w:val="0"/>
          <w:lang w:val="en-US"/>
        </w:rPr>
        <w:t xml:space="preserve"> </w:t>
      </w:r>
      <w:r>
        <w:rPr>
          <w:i w:val="1"/>
          <w:iCs w:val="1"/>
          <w:rtl w:val="0"/>
          <w:lang w:val="en-US"/>
        </w:rPr>
        <w:t>Auparoparo</w:t>
      </w:r>
      <w:r>
        <w:rPr>
          <w:rStyle w:val="None A"/>
          <w:rtl w:val="0"/>
          <w:lang w:val="en-US"/>
        </w:rPr>
        <w:t xml:space="preserve"> (New Clade Name) applies to the largest crown clade including </w:t>
      </w:r>
      <w:r>
        <w:rPr>
          <w:i w:val="1"/>
          <w:iCs w:val="1"/>
          <w:rtl w:val="0"/>
          <w:lang w:val="en-US"/>
        </w:rPr>
        <w:t>Auparoparo penelopia</w:t>
      </w:r>
      <w:r>
        <w:rPr>
          <w:rStyle w:val="None A"/>
          <w:rtl w:val="0"/>
          <w:lang w:val="en-US"/>
        </w:rPr>
        <w:t xml:space="preserve"> (Kraus 2016) and excluding the type species of the other genus-ranked clades listed in Table</w:t>
      </w:r>
      <w:r>
        <w:rPr>
          <w:rStyle w:val="None A"/>
          <w:rtl w:val="0"/>
          <w:lang w:val="en-US"/>
        </w:rPr>
        <w:t> </w:t>
      </w:r>
      <w:r>
        <w:rPr>
          <w:rStyle w:val="None A"/>
          <w:rtl w:val="0"/>
          <w:lang w:val="en-US"/>
        </w:rPr>
        <w:t>4.</w:t>
      </w:r>
    </w:p>
    <w:p>
      <w:pPr>
        <w:pStyle w:val="Body Text"/>
      </w:pPr>
      <w:r>
        <w:rPr>
          <w:b w:val="1"/>
          <w:bCs w:val="1"/>
          <w:rtl w:val="0"/>
          <w:lang w:val="en-US"/>
        </w:rPr>
        <w:t>Composition:</w:t>
      </w:r>
      <w:r>
        <w:rPr>
          <w:rStyle w:val="None A"/>
          <w:rtl w:val="0"/>
          <w:lang w:val="en-US"/>
        </w:rPr>
        <w:t xml:space="preserve"> We transfer eleven named species from </w:t>
      </w:r>
      <w:r>
        <w:rPr>
          <w:i w:val="1"/>
          <w:iCs w:val="1"/>
          <w:rtl w:val="0"/>
          <w:lang w:val="en-US"/>
        </w:rPr>
        <w:t>Oreophryne</w:t>
      </w:r>
      <w:r>
        <w:rPr>
          <w:rStyle w:val="None A"/>
          <w:rtl w:val="0"/>
          <w:lang w:val="en-US"/>
        </w:rPr>
        <w:t xml:space="preserve"> into </w:t>
      </w:r>
      <w:r>
        <w:rPr>
          <w:i w:val="1"/>
          <w:iCs w:val="1"/>
          <w:rtl w:val="0"/>
          <w:lang w:val="en-US"/>
        </w:rPr>
        <w:t>Auparoparo</w:t>
      </w:r>
      <w:r>
        <w:rPr>
          <w:rStyle w:val="None A"/>
          <w:rtl w:val="0"/>
          <w:lang w:val="en-US"/>
        </w:rPr>
        <w:t xml:space="preserve"> (Table</w:t>
      </w:r>
      <w:r>
        <w:rPr>
          <w:rStyle w:val="None A"/>
          <w:rtl w:val="0"/>
          <w:lang w:val="en-US"/>
        </w:rPr>
        <w:t> </w:t>
      </w:r>
      <w:r>
        <w:rPr>
          <w:rStyle w:val="None A"/>
          <w:rtl w:val="0"/>
          <w:lang w:val="en-US"/>
        </w:rPr>
        <w:t xml:space="preserve">6): </w:t>
      </w:r>
      <w:r>
        <w:rPr>
          <w:i w:val="1"/>
          <w:iCs w:val="1"/>
          <w:rtl w:val="0"/>
          <w:lang w:val="en-US"/>
        </w:rPr>
        <w:t>Auparoparo brunnea</w:t>
      </w:r>
      <w:r>
        <w:rPr>
          <w:rStyle w:val="None A"/>
          <w:rtl w:val="0"/>
          <w:lang w:val="en-US"/>
        </w:rPr>
        <w:t xml:space="preserve"> (Kraus, 2017), </w:t>
      </w:r>
      <w:r>
        <w:rPr>
          <w:i w:val="1"/>
          <w:iCs w:val="1"/>
          <w:rtl w:val="0"/>
          <w:lang w:val="en-US"/>
        </w:rPr>
        <w:t>A. equus</w:t>
      </w:r>
      <w:r>
        <w:rPr>
          <w:rStyle w:val="None A"/>
          <w:rtl w:val="0"/>
          <w:lang w:val="en-US"/>
        </w:rPr>
        <w:t xml:space="preserve"> (Kraus, 2016), </w:t>
      </w:r>
      <w:r>
        <w:rPr>
          <w:i w:val="1"/>
          <w:iCs w:val="1"/>
          <w:rtl w:val="0"/>
          <w:lang w:val="en-US"/>
        </w:rPr>
        <w:t>A. ezra</w:t>
      </w:r>
      <w:r>
        <w:rPr>
          <w:rStyle w:val="None A"/>
          <w:rtl w:val="0"/>
          <w:lang w:val="en-US"/>
        </w:rPr>
        <w:t xml:space="preserve"> (Kraus &amp; Allison, 2009), </w:t>
      </w:r>
      <w:r>
        <w:rPr>
          <w:i w:val="1"/>
          <w:iCs w:val="1"/>
          <w:rtl w:val="0"/>
          <w:lang w:val="en-US"/>
        </w:rPr>
        <w:t>A. insulana</w:t>
      </w:r>
      <w:r>
        <w:rPr>
          <w:rStyle w:val="None A"/>
          <w:rtl w:val="0"/>
          <w:lang w:val="en-US"/>
        </w:rPr>
        <w:t xml:space="preserve"> (Zweifel, 1956), </w:t>
      </w:r>
      <w:r>
        <w:rPr>
          <w:i w:val="1"/>
          <w:iCs w:val="1"/>
          <w:rtl w:val="0"/>
          <w:lang w:val="en-US"/>
        </w:rPr>
        <w:t>A. matawan</w:t>
      </w:r>
      <w:r>
        <w:rPr>
          <w:rStyle w:val="None A"/>
          <w:rtl w:val="0"/>
          <w:lang w:val="en-US"/>
        </w:rPr>
        <w:t xml:space="preserve"> (Kraus, 2016), </w:t>
      </w:r>
      <w:r>
        <w:rPr>
          <w:i w:val="1"/>
          <w:iCs w:val="1"/>
          <w:rtl w:val="0"/>
          <w:lang w:val="en-US"/>
        </w:rPr>
        <w:t>A. meliades</w:t>
      </w:r>
      <w:r>
        <w:rPr>
          <w:rStyle w:val="None A"/>
          <w:rtl w:val="0"/>
          <w:lang w:val="en-US"/>
        </w:rPr>
        <w:t xml:space="preserve"> (Kraus, 2016), </w:t>
      </w:r>
      <w:r>
        <w:rPr>
          <w:i w:val="1"/>
          <w:iCs w:val="1"/>
          <w:rtl w:val="0"/>
          <w:lang w:val="en-US"/>
        </w:rPr>
        <w:t>A. penelopeia</w:t>
      </w:r>
      <w:r>
        <w:rPr>
          <w:rStyle w:val="None A"/>
          <w:rtl w:val="0"/>
          <w:lang w:val="en-US"/>
        </w:rPr>
        <w:t xml:space="preserve"> (Kraus, 2016), </w:t>
      </w:r>
      <w:r>
        <w:rPr>
          <w:i w:val="1"/>
          <w:iCs w:val="1"/>
          <w:rtl w:val="0"/>
          <w:lang w:val="en-US"/>
        </w:rPr>
        <w:t>A. phoebe</w:t>
      </w:r>
      <w:r>
        <w:rPr>
          <w:rStyle w:val="None A"/>
          <w:rtl w:val="0"/>
          <w:lang w:val="en-US"/>
        </w:rPr>
        <w:t xml:space="preserve"> (Kraus, 2017), </w:t>
      </w:r>
      <w:r>
        <w:rPr>
          <w:i w:val="1"/>
          <w:iCs w:val="1"/>
          <w:rtl w:val="0"/>
          <w:lang w:val="en-US"/>
        </w:rPr>
        <w:t>A. picticrus</w:t>
      </w:r>
      <w:r>
        <w:rPr>
          <w:rStyle w:val="None A"/>
          <w:rtl w:val="0"/>
          <w:lang w:val="en-US"/>
        </w:rPr>
        <w:t xml:space="preserve"> (Kraus, 2016), </w:t>
      </w:r>
      <w:r>
        <w:rPr>
          <w:i w:val="1"/>
          <w:iCs w:val="1"/>
          <w:rtl w:val="0"/>
          <w:lang w:val="en-US"/>
        </w:rPr>
        <w:t>A. penelopia</w:t>
      </w:r>
      <w:r>
        <w:rPr>
          <w:rStyle w:val="None A"/>
          <w:rtl w:val="0"/>
          <w:lang w:val="en-US"/>
        </w:rPr>
        <w:t xml:space="preserve"> (Kraus, 2016), </w:t>
      </w:r>
      <w:r>
        <w:rPr>
          <w:i w:val="1"/>
          <w:iCs w:val="1"/>
          <w:rtl w:val="0"/>
          <w:lang w:val="en-US"/>
        </w:rPr>
        <w:t>A. variabilis</w:t>
      </w:r>
      <w:r>
        <w:rPr>
          <w:rStyle w:val="None A"/>
          <w:rtl w:val="0"/>
          <w:lang w:val="en-US"/>
        </w:rPr>
        <w:t xml:space="preserve"> (Boulenger, 1896).</w:t>
      </w:r>
    </w:p>
    <w:p>
      <w:pPr>
        <w:pStyle w:val="Body Text"/>
      </w:pPr>
      <w:r>
        <w:rPr>
          <w:b w:val="1"/>
          <w:bCs w:val="1"/>
          <w:rtl w:val="0"/>
          <w:lang w:val="en-US"/>
        </w:rPr>
        <w:t>Distribution:</w:t>
      </w:r>
      <w:r>
        <w:rPr>
          <w:rStyle w:val="None A"/>
          <w:rtl w:val="0"/>
          <w:lang w:val="en-US"/>
        </w:rPr>
        <w:t xml:space="preserve"> Southeastern tip of mainland Papua New Guinea and satellite islands (Fergusson, Misima, Normanby, Rossel, Sudest, Woodlark Is.), Sulawesi.</w:t>
      </w:r>
    </w:p>
    <w:p>
      <w:pPr>
        <w:pStyle w:val="Body Text"/>
      </w:pPr>
      <w:r>
        <w:rPr>
          <w:b w:val="1"/>
          <w:bCs w:val="1"/>
          <w:rtl w:val="0"/>
          <w:lang w:val="en-US"/>
        </w:rPr>
        <w:t>Etymology:</w:t>
      </w:r>
      <w:r>
        <w:rPr>
          <w:rStyle w:val="None A"/>
          <w:rtl w:val="0"/>
          <w:lang w:val="en-US"/>
        </w:rPr>
        <w:t xml:space="preserve"> The generic name </w:t>
      </w:r>
      <w:r>
        <w:rPr>
          <w:i w:val="1"/>
          <w:iCs w:val="1"/>
          <w:rtl w:val="0"/>
          <w:lang w:val="en-US"/>
        </w:rPr>
        <w:t>Auparoparo</w:t>
      </w:r>
      <w:r>
        <w:rPr>
          <w:rStyle w:val="None A"/>
          <w:rtl w:val="0"/>
          <w:lang w:val="en-US"/>
        </w:rPr>
        <w:t xml:space="preserve"> comes from the indigenous language, Motu, which is widely spoken in the region of Papua New Guinea in which this genus is found. It is a combination of the words </w:t>
      </w:r>
      <w:r>
        <w:rPr>
          <w:rStyle w:val="None A"/>
          <w:rtl w:val="0"/>
          <w:lang w:val="en-US"/>
        </w:rPr>
        <w:t>“</w:t>
      </w:r>
      <w:r>
        <w:rPr>
          <w:rStyle w:val="None A"/>
          <w:rtl w:val="0"/>
          <w:lang w:val="en-US"/>
        </w:rPr>
        <w:t>au</w:t>
      </w:r>
      <w:r>
        <w:rPr>
          <w:rStyle w:val="None A"/>
          <w:rtl w:val="0"/>
          <w:lang w:val="en-US"/>
        </w:rPr>
        <w:t xml:space="preserve">” </w:t>
      </w:r>
      <w:r>
        <w:rPr>
          <w:rStyle w:val="None A"/>
          <w:rtl w:val="0"/>
          <w:lang w:val="en-US"/>
        </w:rPr>
        <w:t xml:space="preserve">(tree) and </w:t>
      </w:r>
      <w:r>
        <w:rPr>
          <w:rStyle w:val="None A"/>
          <w:rtl w:val="0"/>
          <w:lang w:val="en-US"/>
        </w:rPr>
        <w:t>“</w:t>
      </w:r>
      <w:r>
        <w:rPr>
          <w:rStyle w:val="None A"/>
          <w:rtl w:val="0"/>
          <w:lang w:val="en-US"/>
        </w:rPr>
        <w:t>paro paro</w:t>
      </w:r>
      <w:r>
        <w:rPr>
          <w:rStyle w:val="None A"/>
          <w:rtl w:val="0"/>
          <w:lang w:val="en-US"/>
        </w:rPr>
        <w:t xml:space="preserve">” </w:t>
      </w:r>
      <w:r>
        <w:rPr>
          <w:rStyle w:val="None A"/>
          <w:rtl w:val="0"/>
          <w:lang w:val="en-US"/>
        </w:rPr>
        <w:t xml:space="preserve">(frog). Motu is not a gendered language, however, for nomenclatural purposes we designate the genus </w:t>
      </w:r>
      <w:r>
        <w:rPr>
          <w:i w:val="1"/>
          <w:iCs w:val="1"/>
          <w:rtl w:val="0"/>
          <w:lang w:val="en-US"/>
        </w:rPr>
        <w:t>Auparoparo</w:t>
      </w:r>
      <w:r>
        <w:rPr>
          <w:rStyle w:val="None A"/>
          <w:rtl w:val="0"/>
          <w:lang w:val="en-US"/>
        </w:rPr>
        <w:t xml:space="preserve"> as feminine, thereby preserving the gender of existing species names.</w:t>
      </w:r>
      <w:bookmarkEnd w:id="15"/>
    </w:p>
    <w:p>
      <w:pPr>
        <w:pStyle w:val="Heading"/>
        <w:jc w:val="center"/>
        <w:rPr>
          <w:caps w:val="1"/>
          <w:outline w:val="0"/>
          <w:color w:val="000000"/>
          <w14:textFill>
            <w14:solidFill>
              <w14:srgbClr w14:val="000000"/>
            </w14:solidFill>
          </w14:textFill>
        </w:rPr>
      </w:pPr>
      <w:bookmarkStart w:name="discussion" w:id="16"/>
      <w:r>
        <w:rPr>
          <w:caps w:val="1"/>
          <w:outline w:val="0"/>
          <w:color w:val="000000"/>
          <w:rtl w:val="0"/>
          <w:lang w:val="en-US"/>
          <w14:textFill>
            <w14:solidFill>
              <w14:srgbClr w14:val="000000"/>
            </w14:solidFill>
          </w14:textFill>
        </w:rPr>
        <w:t>Discussion</w:t>
      </w:r>
    </w:p>
    <w:p>
      <w:pPr>
        <w:pStyle w:val="First Paragraph"/>
      </w:pPr>
      <w:r>
        <w:rPr>
          <w:rStyle w:val="None A"/>
          <w:rtl w:val="0"/>
          <w:lang w:val="en-US"/>
        </w:rPr>
        <w:t xml:space="preserve">Our phylogenetic results (Hill </w:t>
      </w:r>
      <w:r>
        <w:rPr>
          <w:i w:val="1"/>
          <w:iCs w:val="1"/>
          <w:rtl w:val="0"/>
          <w:lang w:val="en-US"/>
        </w:rPr>
        <w:t>et al.</w:t>
      </w:r>
      <w:r>
        <w:rPr>
          <w:rStyle w:val="None A"/>
          <w:rtl w:val="0"/>
          <w:lang w:val="en-US"/>
        </w:rPr>
        <w:t xml:space="preserve">, 2022; 2023b, this study) provide clarity on the classification of the problematic genus </w:t>
      </w:r>
      <w:r>
        <w:rPr>
          <w:i w:val="1"/>
          <w:iCs w:val="1"/>
          <w:rtl w:val="0"/>
          <w:lang w:val="en-US"/>
        </w:rPr>
        <w:t>Oreophryne</w:t>
      </w:r>
      <w:r>
        <w:rPr>
          <w:rStyle w:val="None A"/>
          <w:rtl w:val="0"/>
          <w:lang w:val="en-US"/>
        </w:rPr>
        <w:t xml:space="preserve"> as currently recognized. We confirm that </w:t>
      </w:r>
      <w:r>
        <w:rPr>
          <w:i w:val="1"/>
          <w:iCs w:val="1"/>
          <w:rtl w:val="0"/>
          <w:lang w:val="en-US"/>
        </w:rPr>
        <w:t>Oreophryne</w:t>
      </w:r>
      <w:r>
        <w:rPr>
          <w:rStyle w:val="None A"/>
          <w:rtl w:val="0"/>
          <w:lang w:val="en-US"/>
        </w:rPr>
        <w:t xml:space="preserve"> sensu lato is polyphyletic and consists of two reciprocally monophyletic clades that are not sister taxa (Fig.</w:t>
      </w:r>
      <w:r>
        <w:rPr>
          <w:rStyle w:val="None A"/>
          <w:rtl w:val="0"/>
          <w:lang w:val="en-US"/>
        </w:rPr>
        <w:t> </w:t>
      </w:r>
      <w:r>
        <w:rPr>
          <w:rStyle w:val="None A"/>
          <w:rtl w:val="0"/>
          <w:lang w:val="en-US"/>
        </w:rPr>
        <w:t xml:space="preserve">2). Here we designate </w:t>
      </w:r>
      <w:r>
        <w:rPr>
          <w:rStyle w:val="None A"/>
          <w:rtl w:val="0"/>
          <w:lang w:val="en-US"/>
        </w:rPr>
        <w:t>“</w:t>
      </w:r>
      <w:r>
        <w:rPr>
          <w:i w:val="1"/>
          <w:iCs w:val="1"/>
          <w:rtl w:val="0"/>
          <w:lang w:val="en-US"/>
        </w:rPr>
        <w:t>Oreophryne</w:t>
      </w:r>
      <w:r>
        <w:rPr>
          <w:rStyle w:val="None A"/>
          <w:rtl w:val="0"/>
          <w:lang w:val="en-US"/>
        </w:rPr>
        <w:t xml:space="preserve"> A</w:t>
      </w:r>
      <w:r>
        <w:rPr>
          <w:rStyle w:val="None A"/>
          <w:rtl w:val="0"/>
          <w:lang w:val="en-US"/>
        </w:rPr>
        <w:t xml:space="preserve">” </w:t>
      </w:r>
      <w:r>
        <w:rPr>
          <w:rStyle w:val="None A"/>
          <w:rtl w:val="0"/>
          <w:lang w:val="en-US"/>
        </w:rPr>
        <w:t xml:space="preserve">in Hill </w:t>
      </w:r>
      <w:r>
        <w:rPr>
          <w:i w:val="1"/>
          <w:iCs w:val="1"/>
          <w:rtl w:val="0"/>
          <w:lang w:val="en-US"/>
        </w:rPr>
        <w:t>et al.</w:t>
      </w:r>
      <w:r>
        <w:rPr>
          <w:rStyle w:val="None A"/>
          <w:rtl w:val="0"/>
          <w:lang w:val="en-US"/>
        </w:rPr>
        <w:t xml:space="preserve"> (2022) as the genus </w:t>
      </w:r>
      <w:r>
        <w:rPr>
          <w:i w:val="1"/>
          <w:iCs w:val="1"/>
          <w:rtl w:val="0"/>
          <w:lang w:val="en-US"/>
        </w:rPr>
        <w:t>Oreophryne</w:t>
      </w:r>
      <w:r>
        <w:rPr>
          <w:rStyle w:val="None A"/>
          <w:rtl w:val="0"/>
          <w:lang w:val="en-US"/>
        </w:rPr>
        <w:t xml:space="preserve"> because it contains the type species </w:t>
      </w:r>
      <w:r>
        <w:rPr>
          <w:i w:val="1"/>
          <w:iCs w:val="1"/>
          <w:rtl w:val="0"/>
          <w:lang w:val="en-US"/>
        </w:rPr>
        <w:t>Oreophryne senckenbergiana</w:t>
      </w:r>
      <w:r>
        <w:rPr>
          <w:rStyle w:val="None A"/>
          <w:rtl w:val="0"/>
          <w:lang w:val="en-US"/>
        </w:rPr>
        <w:t xml:space="preserve"> Boettger 1895 with high support. </w:t>
      </w:r>
      <w:r>
        <w:rPr>
          <w:i w:val="1"/>
          <w:iCs w:val="1"/>
          <w:rtl w:val="0"/>
          <w:lang w:val="en-US"/>
        </w:rPr>
        <w:t>Oreophryne</w:t>
      </w:r>
      <w:r>
        <w:rPr>
          <w:rStyle w:val="None A"/>
          <w:rtl w:val="0"/>
          <w:lang w:val="en-US"/>
        </w:rPr>
        <w:t xml:space="preserve"> is the earliest diverged genus in subfamily Asterophryinae originating approximately 18 MYA (Hill </w:t>
      </w:r>
      <w:r>
        <w:rPr>
          <w:i w:val="1"/>
          <w:iCs w:val="1"/>
          <w:rtl w:val="0"/>
          <w:lang w:val="en-US"/>
        </w:rPr>
        <w:t>et al.</w:t>
      </w:r>
      <w:r>
        <w:rPr>
          <w:rStyle w:val="None A"/>
          <w:rtl w:val="0"/>
          <w:lang w:val="en-US"/>
        </w:rPr>
        <w:t xml:space="preserve">, 2022), and is sister to a clade composed of all the other genera. The second clade, </w:t>
      </w:r>
      <w:r>
        <w:rPr>
          <w:rStyle w:val="None A"/>
          <w:rtl w:val="0"/>
          <w:lang w:val="en-US"/>
        </w:rPr>
        <w:t>“</w:t>
      </w:r>
      <w:r>
        <w:rPr>
          <w:i w:val="1"/>
          <w:iCs w:val="1"/>
          <w:rtl w:val="0"/>
          <w:lang w:val="en-US"/>
        </w:rPr>
        <w:t>Oreophryne</w:t>
      </w:r>
      <w:r>
        <w:rPr>
          <w:rStyle w:val="None A"/>
          <w:rtl w:val="0"/>
          <w:lang w:val="en-US"/>
        </w:rPr>
        <w:t xml:space="preserve"> B</w:t>
      </w:r>
      <w:r>
        <w:rPr>
          <w:rStyle w:val="None A"/>
          <w:rtl w:val="0"/>
          <w:lang w:val="en-US"/>
        </w:rPr>
        <w:t xml:space="preserve">” </w:t>
      </w:r>
      <w:r>
        <w:rPr>
          <w:rStyle w:val="None A"/>
          <w:rtl w:val="0"/>
          <w:lang w:val="en-US"/>
        </w:rPr>
        <w:t xml:space="preserve">in Hill </w:t>
      </w:r>
      <w:r>
        <w:rPr>
          <w:i w:val="1"/>
          <w:iCs w:val="1"/>
          <w:rtl w:val="0"/>
          <w:lang w:val="en-US"/>
        </w:rPr>
        <w:t>et al.</w:t>
      </w:r>
      <w:r>
        <w:rPr>
          <w:rStyle w:val="None A"/>
          <w:rtl w:val="0"/>
          <w:lang w:val="en-US"/>
        </w:rPr>
        <w:t xml:space="preserve"> (2022), is highly supported as a separate, non-sister genus, which originated approximately 16 MYA and contains no known species that are the types of any previously proposed genera. Thus, we designate this genus as </w:t>
      </w:r>
      <w:r>
        <w:rPr>
          <w:i w:val="1"/>
          <w:iCs w:val="1"/>
          <w:rtl w:val="0"/>
          <w:lang w:val="en-US"/>
        </w:rPr>
        <w:t>Auparoparo</w:t>
      </w:r>
      <w:r>
        <w:rPr>
          <w:rStyle w:val="None A"/>
          <w:rtl w:val="0"/>
          <w:lang w:val="en-US"/>
        </w:rPr>
        <w:t>, a tribute to the Motu language of the indigenous peoples of the region.</w:t>
      </w:r>
      <w:bookmarkEnd w:id="16"/>
    </w:p>
    <w:p>
      <w:pPr>
        <w:pStyle w:val="Heading 2"/>
      </w:pPr>
      <w:bookmarkStart w:name="X13fbfbd8c525a3c4863f3d5b115d48bbfecd3af" w:id="17"/>
      <w:r>
        <w:rPr>
          <w:rStyle w:val="None A"/>
          <w:rtl w:val="0"/>
          <w:lang w:val="en-US"/>
        </w:rPr>
        <w:t>The Difficulty with Cryptic Genera: Can we tell them apart?</w:t>
      </w:r>
    </w:p>
    <w:p>
      <w:pPr>
        <w:pStyle w:val="First Paragraph"/>
      </w:pPr>
      <w:r>
        <w:rPr>
          <w:rStyle w:val="None A"/>
          <w:rtl w:val="0"/>
          <w:lang w:val="en-US"/>
        </w:rPr>
        <w:t xml:space="preserve">Perhaps the greatest testament to the crypticism of </w:t>
      </w:r>
      <w:r>
        <w:rPr>
          <w:i w:val="1"/>
          <w:iCs w:val="1"/>
          <w:rtl w:val="0"/>
          <w:lang w:val="en-US"/>
        </w:rPr>
        <w:t>Oreophryne</w:t>
      </w:r>
      <w:r>
        <w:rPr>
          <w:rStyle w:val="None A"/>
          <w:rtl w:val="0"/>
          <w:lang w:val="en-US"/>
        </w:rPr>
        <w:t xml:space="preserve"> vs.</w:t>
      </w:r>
      <w:r>
        <w:rPr>
          <w:rStyle w:val="None A"/>
          <w:rtl w:val="0"/>
          <w:lang w:val="en-US"/>
        </w:rPr>
        <w:t> </w:t>
      </w:r>
      <w:r>
        <w:rPr>
          <w:i w:val="1"/>
          <w:iCs w:val="1"/>
          <w:rtl w:val="0"/>
          <w:lang w:val="en-US"/>
        </w:rPr>
        <w:t>Auparoparo</w:t>
      </w:r>
      <w:r>
        <w:rPr>
          <w:rStyle w:val="None A"/>
          <w:rtl w:val="0"/>
          <w:lang w:val="en-US"/>
        </w:rPr>
        <w:t xml:space="preserve"> is that no taxonomist was able to distinguish that they are separate clades, independently evolved, in the 130 years between their discovery and the present classification [Boettger (1895); this study]. These species are indeed morphologically very similar (Fig.</w:t>
      </w:r>
      <w:r>
        <w:rPr>
          <w:rStyle w:val="None A"/>
          <w:rtl w:val="0"/>
          <w:lang w:val="en-US"/>
        </w:rPr>
        <w:t> </w:t>
      </w:r>
      <w:r>
        <w:rPr>
          <w:rStyle w:val="None A"/>
          <w:rtl w:val="0"/>
          <w:lang w:val="en-US"/>
        </w:rPr>
        <w:t xml:space="preserve">1) and our results provide some clues as to why </w:t>
      </w:r>
      <w:r>
        <w:rPr>
          <w:i w:val="1"/>
          <w:iCs w:val="1"/>
          <w:rtl w:val="0"/>
          <w:lang w:val="en-US"/>
        </w:rPr>
        <w:t>Oreophryne</w:t>
      </w:r>
      <w:r>
        <w:rPr>
          <w:rStyle w:val="None A"/>
          <w:rtl w:val="0"/>
          <w:lang w:val="en-US"/>
        </w:rPr>
        <w:t xml:space="preserve"> taxonomy has been so difficult. We found morphological synapomorphies for neither </w:t>
      </w:r>
      <w:r>
        <w:rPr>
          <w:i w:val="1"/>
          <w:iCs w:val="1"/>
          <w:rtl w:val="0"/>
          <w:lang w:val="en-US"/>
        </w:rPr>
        <w:t>Auparoparo</w:t>
      </w:r>
      <w:r>
        <w:rPr>
          <w:rStyle w:val="None A"/>
          <w:rtl w:val="0"/>
          <w:lang w:val="en-US"/>
        </w:rPr>
        <w:t xml:space="preserve"> nor </w:t>
      </w:r>
      <w:r>
        <w:rPr>
          <w:i w:val="1"/>
          <w:iCs w:val="1"/>
          <w:rtl w:val="0"/>
          <w:lang w:val="en-US"/>
        </w:rPr>
        <w:t>Oreophryne</w:t>
      </w:r>
      <w:r>
        <w:rPr>
          <w:rStyle w:val="None A"/>
          <w:rtl w:val="0"/>
          <w:lang w:val="en-US"/>
        </w:rPr>
        <w:t>, and moreover, no morphological features that can diagnose either clade.</w:t>
      </w:r>
    </w:p>
    <w:p>
      <w:pPr>
        <w:pStyle w:val="Body Text"/>
      </w:pPr>
      <w:r>
        <w:rPr>
          <w:rStyle w:val="None A"/>
          <w:rtl w:val="0"/>
          <w:lang w:val="en-US"/>
        </w:rPr>
        <w:t xml:space="preserve">The traditional basis for assigning species to </w:t>
      </w:r>
      <w:r>
        <w:rPr>
          <w:i w:val="1"/>
          <w:iCs w:val="1"/>
          <w:rtl w:val="0"/>
          <w:lang w:val="en-US"/>
        </w:rPr>
        <w:t>Oreophryne</w:t>
      </w:r>
      <w:r>
        <w:rPr>
          <w:rStyle w:val="None A"/>
          <w:rtl w:val="0"/>
          <w:lang w:val="en-US"/>
        </w:rPr>
        <w:t xml:space="preserve"> has primarily relied on a signature pectoral anatomy (whether original or revised diagnosis, Parker, 1934; Zweifel, 2003). Our phylogenetic results clearly show that this trait appears more than once, in both </w:t>
      </w:r>
      <w:r>
        <w:rPr>
          <w:i w:val="1"/>
          <w:iCs w:val="1"/>
          <w:rtl w:val="0"/>
          <w:lang w:val="en-US"/>
        </w:rPr>
        <w:t>Oreophryne</w:t>
      </w:r>
      <w:r>
        <w:rPr>
          <w:rStyle w:val="None A"/>
          <w:rtl w:val="0"/>
          <w:lang w:val="en-US"/>
        </w:rPr>
        <w:t xml:space="preserve"> and </w:t>
      </w:r>
      <w:r>
        <w:rPr>
          <w:i w:val="1"/>
          <w:iCs w:val="1"/>
          <w:rtl w:val="0"/>
          <w:lang w:val="en-US"/>
        </w:rPr>
        <w:t>Auparaparo</w:t>
      </w:r>
      <w:r>
        <w:rPr>
          <w:rStyle w:val="None A"/>
          <w:rtl w:val="0"/>
          <w:lang w:val="en-US"/>
        </w:rPr>
        <w:t xml:space="preserve">, is either a symplesiomorphy (shared ancestral character) or a result of convergent or parallel evolution, and perhaps adaptive for arboreality. Thus, the pectoral anatomy is not a reliable diagnostic character in differentiating between </w:t>
      </w:r>
      <w:r>
        <w:rPr>
          <w:i w:val="1"/>
          <w:iCs w:val="1"/>
          <w:rtl w:val="0"/>
          <w:lang w:val="en-US"/>
        </w:rPr>
        <w:t>Oreophryne</w:t>
      </w:r>
      <w:r>
        <w:rPr>
          <w:rStyle w:val="None A"/>
          <w:rtl w:val="0"/>
          <w:lang w:val="en-US"/>
        </w:rPr>
        <w:t xml:space="preserve"> and </w:t>
      </w:r>
      <w:r>
        <w:rPr>
          <w:i w:val="1"/>
          <w:iCs w:val="1"/>
          <w:rtl w:val="0"/>
          <w:lang w:val="en-US"/>
        </w:rPr>
        <w:t>Auparoparo</w:t>
      </w:r>
      <w:r>
        <w:rPr>
          <w:rStyle w:val="None A"/>
          <w:rtl w:val="0"/>
          <w:lang w:val="en-US"/>
        </w:rPr>
        <w:t xml:space="preserve">. In studies across a wide diversity of anurans, Soliz </w:t>
      </w:r>
      <w:r>
        <w:rPr>
          <w:i w:val="1"/>
          <w:iCs w:val="1"/>
          <w:rtl w:val="0"/>
          <w:lang w:val="en-US"/>
        </w:rPr>
        <w:t>et al.</w:t>
      </w:r>
      <w:r>
        <w:rPr>
          <w:rStyle w:val="None A"/>
          <w:rtl w:val="0"/>
          <w:lang w:val="en-US"/>
        </w:rPr>
        <w:t xml:space="preserve"> (2025) found that anatomical variation of the pectoral girdle corresponds with functional and ecological lifestyle demands, whereas Engelkes </w:t>
      </w:r>
      <w:r>
        <w:rPr>
          <w:i w:val="1"/>
          <w:iCs w:val="1"/>
          <w:rtl w:val="0"/>
          <w:lang w:val="en-US"/>
        </w:rPr>
        <w:t>et al.</w:t>
      </w:r>
      <w:r>
        <w:rPr>
          <w:rStyle w:val="None A"/>
          <w:rtl w:val="0"/>
          <w:lang w:val="en-US"/>
        </w:rPr>
        <w:t xml:space="preserve"> (2020) found strong phylogenetic influence in the shape of the pectoral girdle. The pectoral girdle would be excellent for further study within Asterophryinae, as there are high elevation terrestrial species of </w:t>
      </w:r>
      <w:r>
        <w:rPr>
          <w:i w:val="1"/>
          <w:iCs w:val="1"/>
          <w:rtl w:val="0"/>
          <w:lang w:val="en-US"/>
        </w:rPr>
        <w:t>Oreophryne</w:t>
      </w:r>
      <w:r>
        <w:rPr>
          <w:rStyle w:val="None A"/>
          <w:rtl w:val="0"/>
          <w:lang w:val="en-US"/>
        </w:rPr>
        <w:t xml:space="preserve"> sensu lato that possess the same pectoral trait (Zweifel </w:t>
      </w:r>
      <w:r>
        <w:rPr>
          <w:i w:val="1"/>
          <w:iCs w:val="1"/>
          <w:rtl w:val="0"/>
          <w:lang w:val="en-US"/>
        </w:rPr>
        <w:t>et al.</w:t>
      </w:r>
      <w:r>
        <w:rPr>
          <w:rStyle w:val="None A"/>
          <w:rtl w:val="0"/>
          <w:lang w:val="en-US"/>
        </w:rPr>
        <w:t>, 2005), as well as a few arboreal species within other genera (</w:t>
      </w:r>
      <w:r>
        <w:rPr>
          <w:i w:val="1"/>
          <w:iCs w:val="1"/>
          <w:rtl w:val="0"/>
          <w:lang w:val="en-US"/>
        </w:rPr>
        <w:t>Cophixalus</w:t>
      </w:r>
      <w:r>
        <w:rPr>
          <w:rStyle w:val="None A"/>
          <w:rtl w:val="0"/>
          <w:lang w:val="en-US"/>
        </w:rPr>
        <w:t xml:space="preserve">, </w:t>
      </w:r>
      <w:r>
        <w:rPr>
          <w:i w:val="1"/>
          <w:iCs w:val="1"/>
          <w:rtl w:val="0"/>
          <w:lang w:val="en-US"/>
        </w:rPr>
        <w:t>Asterophrys</w:t>
      </w:r>
      <w:r>
        <w:rPr>
          <w:rStyle w:val="None A"/>
          <w:rtl w:val="0"/>
          <w:lang w:val="en-US"/>
        </w:rPr>
        <w:t xml:space="preserve">, </w:t>
      </w:r>
      <w:r>
        <w:rPr>
          <w:i w:val="1"/>
          <w:iCs w:val="1"/>
          <w:rtl w:val="0"/>
          <w:lang w:val="en-US"/>
        </w:rPr>
        <w:t>Xenorhina</w:t>
      </w:r>
      <w:r>
        <w:rPr>
          <w:rStyle w:val="None A"/>
          <w:rtl w:val="0"/>
          <w:lang w:val="en-US"/>
        </w:rPr>
        <w:t>) with unstudied pectoral morphology.</w:t>
      </w:r>
    </w:p>
    <w:p>
      <w:pPr>
        <w:pStyle w:val="Body Text"/>
      </w:pPr>
      <w:r>
        <w:rPr>
          <w:rStyle w:val="None A"/>
          <w:rtl w:val="0"/>
          <w:lang w:val="en-US"/>
        </w:rPr>
        <w:t xml:space="preserve">We further rexamined additional characters previously used to diagnose </w:t>
      </w:r>
      <w:r>
        <w:rPr>
          <w:i w:val="1"/>
          <w:iCs w:val="1"/>
          <w:rtl w:val="0"/>
          <w:lang w:val="en-US"/>
        </w:rPr>
        <w:t>Oreophryne</w:t>
      </w:r>
      <w:r>
        <w:rPr>
          <w:rStyle w:val="None A"/>
          <w:rtl w:val="0"/>
          <w:lang w:val="en-US"/>
        </w:rPr>
        <w:t xml:space="preserve"> as well as characters conventionally used to diagnose species of frogs. We conclude that pectoral girdle connector type (Parker, 1934) and relative lengths of the 3rd and 5th toe are uninformative and the degree of toe webbing is variable. It was previously suggested that species in </w:t>
      </w:r>
      <w:r>
        <w:rPr>
          <w:i w:val="1"/>
          <w:iCs w:val="1"/>
          <w:rtl w:val="0"/>
          <w:lang w:val="en-US"/>
        </w:rPr>
        <w:t>Oreophryne</w:t>
      </w:r>
      <w:r>
        <w:rPr>
          <w:rStyle w:val="None A"/>
          <w:rtl w:val="0"/>
          <w:lang w:val="en-US"/>
        </w:rPr>
        <w:t xml:space="preserve"> sensu lato could be divided into two groups based on possessing a cartilaginous or ligamentous connection between the procoracoid cartilages and the scapula (Kraus, 2013), with roughly half possessing each type (Parker, 1934). However, we found that cartilaginous and ligamentous connectors are common across both genera (Table</w:t>
      </w:r>
      <w:r>
        <w:rPr>
          <w:rStyle w:val="None A"/>
          <w:rtl w:val="0"/>
          <w:lang w:val="en-US"/>
        </w:rPr>
        <w:t> </w:t>
      </w:r>
      <w:r>
        <w:rPr>
          <w:rStyle w:val="None A"/>
          <w:rtl w:val="0"/>
          <w:lang w:val="en-US"/>
        </w:rPr>
        <w:t xml:space="preserve">3); therefore, these traits are not synapmorphies for </w:t>
      </w:r>
      <w:r>
        <w:rPr>
          <w:i w:val="1"/>
          <w:iCs w:val="1"/>
          <w:rtl w:val="0"/>
          <w:lang w:val="en-US"/>
        </w:rPr>
        <w:t>Oreophryne</w:t>
      </w:r>
      <w:r>
        <w:rPr>
          <w:rStyle w:val="None A"/>
          <w:rtl w:val="0"/>
          <w:lang w:val="en-US"/>
        </w:rPr>
        <w:t xml:space="preserve"> or </w:t>
      </w:r>
      <w:r>
        <w:rPr>
          <w:i w:val="1"/>
          <w:iCs w:val="1"/>
          <w:rtl w:val="0"/>
          <w:lang w:val="en-US"/>
        </w:rPr>
        <w:t>Auparoparo</w:t>
      </w:r>
      <w:r>
        <w:rPr>
          <w:rStyle w:val="None A"/>
          <w:rtl w:val="0"/>
          <w:lang w:val="en-US"/>
        </w:rPr>
        <w:t xml:space="preserve"> and do not indicate monophyly for these clades. Of species with toe webbing, </w:t>
      </w:r>
      <w:r>
        <w:rPr>
          <w:i w:val="1"/>
          <w:iCs w:val="1"/>
          <w:rtl w:val="0"/>
          <w:lang w:val="en-US"/>
        </w:rPr>
        <w:t>Oreophryne</w:t>
      </w:r>
      <w:r>
        <w:rPr>
          <w:rStyle w:val="None A"/>
          <w:rtl w:val="0"/>
          <w:lang w:val="en-US"/>
        </w:rPr>
        <w:t xml:space="preserve"> tends to be described as having </w:t>
      </w:r>
      <w:r>
        <w:rPr>
          <w:rStyle w:val="None A"/>
          <w:rtl w:val="0"/>
          <w:lang w:val="en-US"/>
        </w:rPr>
        <w:t>“</w:t>
      </w:r>
      <w:r>
        <w:rPr>
          <w:rStyle w:val="None A"/>
          <w:rtl w:val="0"/>
          <w:lang w:val="en-US"/>
        </w:rPr>
        <w:t>well webbed</w:t>
      </w:r>
      <w:r>
        <w:rPr>
          <w:rStyle w:val="None A"/>
          <w:rtl w:val="0"/>
          <w:lang w:val="en-US"/>
        </w:rPr>
        <w:t xml:space="preserve">” </w:t>
      </w:r>
      <w:r>
        <w:rPr>
          <w:rStyle w:val="None A"/>
          <w:rtl w:val="0"/>
          <w:lang w:val="en-US"/>
        </w:rPr>
        <w:t xml:space="preserve">toes compared to </w:t>
      </w:r>
      <w:r>
        <w:rPr>
          <w:i w:val="1"/>
          <w:iCs w:val="1"/>
          <w:rtl w:val="0"/>
          <w:lang w:val="en-US"/>
        </w:rPr>
        <w:t>Auparoparo</w:t>
      </w:r>
      <w:r>
        <w:rPr>
          <w:rStyle w:val="None A"/>
          <w:rtl w:val="0"/>
          <w:lang w:val="en-US"/>
        </w:rPr>
        <w:t>’</w:t>
      </w:r>
      <w:r>
        <w:rPr>
          <w:rStyle w:val="None A"/>
          <w:rtl w:val="0"/>
          <w:lang w:val="en-US"/>
        </w:rPr>
        <w:t xml:space="preserve">s </w:t>
      </w:r>
      <w:r>
        <w:rPr>
          <w:rStyle w:val="None A"/>
          <w:rtl w:val="0"/>
          <w:lang w:val="en-US"/>
        </w:rPr>
        <w:t>“</w:t>
      </w:r>
      <w:r>
        <w:rPr>
          <w:rStyle w:val="None A"/>
          <w:rtl w:val="0"/>
          <w:lang w:val="en-US"/>
        </w:rPr>
        <w:t>basal</w:t>
      </w:r>
      <w:r>
        <w:rPr>
          <w:rStyle w:val="None A"/>
          <w:rtl w:val="0"/>
          <w:lang w:val="en-US"/>
        </w:rPr>
        <w:t xml:space="preserve">” </w:t>
      </w:r>
      <w:r>
        <w:rPr>
          <w:rStyle w:val="None A"/>
          <w:rtl w:val="0"/>
          <w:lang w:val="en-US"/>
        </w:rPr>
        <w:t>webbing (Table</w:t>
      </w:r>
      <w:r>
        <w:rPr>
          <w:rStyle w:val="None A"/>
          <w:rtl w:val="0"/>
          <w:lang w:val="en-US"/>
        </w:rPr>
        <w:t> </w:t>
      </w:r>
      <w:r>
        <w:rPr>
          <w:rStyle w:val="None A"/>
          <w:rtl w:val="0"/>
          <w:lang w:val="en-US"/>
        </w:rPr>
        <w:t xml:space="preserve">3). However, the presence of intra-specific variability combined with subjectivity in judging relative landmarks (e.g., </w:t>
      </w:r>
      <w:r>
        <w:rPr>
          <w:rStyle w:val="None A"/>
          <w:rtl w:val="0"/>
          <w:lang w:val="en-US"/>
        </w:rPr>
        <w:t>“</w:t>
      </w:r>
      <w:r>
        <w:rPr>
          <w:rStyle w:val="None A"/>
          <w:rtl w:val="0"/>
          <w:lang w:val="en-US"/>
        </w:rPr>
        <w:t>reaching the penultimate tubercle</w:t>
      </w:r>
      <w:r>
        <w:rPr>
          <w:rStyle w:val="None A"/>
          <w:rtl w:val="0"/>
          <w:lang w:val="en-US"/>
        </w:rPr>
        <w:t>”</w:t>
      </w:r>
      <w:r>
        <w:rPr>
          <w:rStyle w:val="None A"/>
          <w:rtl w:val="0"/>
          <w:lang w:val="en-US"/>
        </w:rPr>
        <w:t xml:space="preserve">, </w:t>
      </w:r>
      <w:r>
        <w:rPr>
          <w:rStyle w:val="None A"/>
          <w:rtl w:val="0"/>
          <w:lang w:val="en-US"/>
        </w:rPr>
        <w:t>“</w:t>
      </w:r>
      <w:r>
        <w:rPr>
          <w:rStyle w:val="None A"/>
          <w:rtl w:val="0"/>
          <w:lang w:val="en-US"/>
        </w:rPr>
        <w:t>webbed 1/3 length of 5th toe</w:t>
      </w:r>
      <w:r>
        <w:rPr>
          <w:rStyle w:val="None A"/>
          <w:rtl w:val="0"/>
          <w:lang w:val="en-US"/>
        </w:rPr>
        <w:t>”</w:t>
      </w:r>
      <w:r>
        <w:rPr>
          <w:rStyle w:val="None A"/>
          <w:rtl w:val="0"/>
          <w:lang w:val="en-US"/>
        </w:rPr>
        <w:t>, etc.), makes this feature difficult to standardize for generic diagnostic use. Many of the morphological traits proposed by Parker (1934) and Zweifel (2003) may in fact be a result of homoplasy via convergent lifestyle or parallel evolution, and while they may prove useful for ecomorphological identification or species diagnoses in combination with other traits, they are not informative for generic diagnosis.</w:t>
      </w:r>
    </w:p>
    <w:p>
      <w:pPr>
        <w:pStyle w:val="Body Text"/>
      </w:pPr>
      <w:r>
        <w:rPr>
          <w:rStyle w:val="None A"/>
          <w:rtl w:val="0"/>
          <w:lang w:val="en-US"/>
        </w:rPr>
        <w:t xml:space="preserve">We found only two characters with potential for imperfectly distinguishing the genera: relative digital pad size (Parker, 1934; Zweifel, 1956), and call type (e.g., Kraus, 2016). The relative widths of the digit pads differs between genera: </w:t>
      </w:r>
      <w:r>
        <w:rPr>
          <w:i w:val="1"/>
          <w:iCs w:val="1"/>
          <w:rtl w:val="0"/>
          <w:lang w:val="en-US"/>
        </w:rPr>
        <w:t>Auparoparo</w:t>
      </w:r>
      <w:r>
        <w:rPr>
          <w:rStyle w:val="None A"/>
          <w:rtl w:val="0"/>
          <w:lang w:val="en-US"/>
        </w:rPr>
        <w:t xml:space="preserve"> tends to have visibly larger finger pads in comparison to toe pads, whereas in </w:t>
      </w:r>
      <w:r>
        <w:rPr>
          <w:i w:val="1"/>
          <w:iCs w:val="1"/>
          <w:rtl w:val="0"/>
          <w:lang w:val="en-US"/>
        </w:rPr>
        <w:t>Oreophryne</w:t>
      </w:r>
      <w:r>
        <w:rPr>
          <w:rStyle w:val="None A"/>
          <w:rtl w:val="0"/>
          <w:lang w:val="en-US"/>
        </w:rPr>
        <w:t xml:space="preserve"> the finger and toe pads are roughly equal in size (Fig.</w:t>
      </w:r>
      <w:r>
        <w:rPr>
          <w:rStyle w:val="None A"/>
          <w:rtl w:val="0"/>
          <w:lang w:val="en-US"/>
        </w:rPr>
        <w:t> </w:t>
      </w:r>
      <w:r>
        <w:rPr>
          <w:rStyle w:val="None A"/>
          <w:rtl w:val="0"/>
          <w:lang w:val="en-US"/>
        </w:rPr>
        <w:t>1, bottom row), although there is some overlap in finger to toe pad ratio (Table</w:t>
      </w:r>
      <w:r>
        <w:rPr>
          <w:rStyle w:val="None A"/>
          <w:rtl w:val="0"/>
          <w:lang w:val="en-US"/>
        </w:rPr>
        <w:t> </w:t>
      </w:r>
      <w:r>
        <w:rPr>
          <w:rStyle w:val="None A"/>
          <w:rtl w:val="0"/>
          <w:lang w:val="en-US"/>
        </w:rPr>
        <w:t xml:space="preserve">3). In some cases, </w:t>
      </w:r>
      <w:r>
        <w:rPr>
          <w:i w:val="1"/>
          <w:iCs w:val="1"/>
          <w:rtl w:val="0"/>
          <w:lang w:val="en-US"/>
        </w:rPr>
        <w:t>Auparoparo</w:t>
      </w:r>
      <w:r>
        <w:rPr>
          <w:rStyle w:val="None A"/>
          <w:rtl w:val="0"/>
          <w:lang w:val="en-US"/>
        </w:rPr>
        <w:t>’</w:t>
      </w:r>
      <w:r>
        <w:rPr>
          <w:rStyle w:val="None A"/>
          <w:rtl w:val="0"/>
          <w:lang w:val="en-US"/>
        </w:rPr>
        <w:t xml:space="preserve">s finger pads display T-shapes while the toes are often rounder and narrower. Whether there is any performance advantage in larger finger pads compared to toes is unknown. Furthermore, a handful of high-elevation </w:t>
      </w:r>
      <w:r>
        <w:rPr>
          <w:i w:val="1"/>
          <w:iCs w:val="1"/>
          <w:rtl w:val="0"/>
          <w:lang w:val="en-US"/>
        </w:rPr>
        <w:t>Oreophryne</w:t>
      </w:r>
      <w:r>
        <w:rPr>
          <w:rStyle w:val="None A"/>
          <w:rtl w:val="0"/>
          <w:lang w:val="en-US"/>
        </w:rPr>
        <w:t xml:space="preserve"> species not included in our phylogeny and yet to be diagnosed by molecular phylogenetic analysis have evolved terrestrial or fossorial habits and possess smaller digital pads compared to their presumed arboreal relatives (Zweifel </w:t>
      </w:r>
      <w:r>
        <w:rPr>
          <w:i w:val="1"/>
          <w:iCs w:val="1"/>
          <w:rtl w:val="0"/>
          <w:lang w:val="en-US"/>
        </w:rPr>
        <w:t>et al.</w:t>
      </w:r>
      <w:r>
        <w:rPr>
          <w:rStyle w:val="None A"/>
          <w:rtl w:val="0"/>
          <w:lang w:val="en-US"/>
        </w:rPr>
        <w:t>, 2005).</w:t>
      </w:r>
    </w:p>
    <w:p>
      <w:pPr>
        <w:pStyle w:val="Body Text"/>
      </w:pPr>
      <w:r>
        <w:rPr>
          <w:rStyle w:val="None A"/>
          <w:rtl w:val="0"/>
          <w:lang w:val="en-US"/>
        </w:rPr>
        <w:t xml:space="preserve">Call features are increasingly used for diagnosing species of </w:t>
      </w:r>
      <w:r>
        <w:rPr>
          <w:i w:val="1"/>
          <w:iCs w:val="1"/>
          <w:rtl w:val="0"/>
          <w:lang w:val="en-US"/>
        </w:rPr>
        <w:t>Oreophryne</w:t>
      </w:r>
      <w:r>
        <w:rPr>
          <w:rStyle w:val="None A"/>
          <w:rtl w:val="0"/>
          <w:lang w:val="en-US"/>
        </w:rPr>
        <w:t xml:space="preserve">, with advertisement call types commonly categorized as rattle, honk, whinny, peeping, or clicking (Kraus, 2016). We found honk or peep call types are only found in </w:t>
      </w:r>
      <w:r>
        <w:rPr>
          <w:i w:val="1"/>
          <w:iCs w:val="1"/>
          <w:rtl w:val="0"/>
          <w:lang w:val="en-US"/>
        </w:rPr>
        <w:t>Oroephryne</w:t>
      </w:r>
      <w:r>
        <w:rPr>
          <w:rStyle w:val="None A"/>
          <w:rtl w:val="0"/>
          <w:lang w:val="en-US"/>
        </w:rPr>
        <w:t xml:space="preserve"> species in our sample, while whinny calls are only found in </w:t>
      </w:r>
      <w:r>
        <w:rPr>
          <w:i w:val="1"/>
          <w:iCs w:val="1"/>
          <w:rtl w:val="0"/>
          <w:lang w:val="en-US"/>
        </w:rPr>
        <w:t>Auparoparo</w:t>
      </w:r>
      <w:r>
        <w:rPr>
          <w:rStyle w:val="None A"/>
          <w:rtl w:val="0"/>
          <w:lang w:val="en-US"/>
        </w:rPr>
        <w:t xml:space="preserve"> species, and rattle calls are found in both genera (Table</w:t>
      </w:r>
      <w:r>
        <w:rPr>
          <w:rStyle w:val="None A"/>
          <w:rtl w:val="0"/>
          <w:lang w:val="en-US"/>
        </w:rPr>
        <w:t> </w:t>
      </w:r>
      <w:r>
        <w:rPr>
          <w:rStyle w:val="None A"/>
          <w:rtl w:val="0"/>
          <w:lang w:val="en-US"/>
        </w:rPr>
        <w:t xml:space="preserve">3). We note that several authors described species of both genera, thus the difference between genera cannot be attributed to the investigator. However, more complete sampling may add further complexity. As far as we are aware there has been no comprehensive acoustic analysis across </w:t>
      </w:r>
      <w:r>
        <w:rPr>
          <w:i w:val="1"/>
          <w:iCs w:val="1"/>
          <w:rtl w:val="0"/>
          <w:lang w:val="en-US"/>
        </w:rPr>
        <w:t>Oreophryne</w:t>
      </w:r>
      <w:r>
        <w:rPr>
          <w:rStyle w:val="None A"/>
          <w:rtl w:val="0"/>
          <w:lang w:val="en-US"/>
        </w:rPr>
        <w:t xml:space="preserve"> sensu lato. More research is needed to explore call diversity both between species and across genera to understand call evolution and whether there any features that are distinctive of genera.</w:t>
      </w:r>
      <w:bookmarkEnd w:id="17"/>
    </w:p>
    <w:p>
      <w:pPr>
        <w:pStyle w:val="Heading 2"/>
        <w:jc w:val="center"/>
        <w:rPr>
          <w:outline w:val="0"/>
          <w:color w:val="000000"/>
          <w14:textFill>
            <w14:solidFill>
              <w14:srgbClr w14:val="000000"/>
            </w14:solidFill>
          </w14:textFill>
        </w:rPr>
      </w:pPr>
      <w:bookmarkStart w:name="geographicdistribution1" w:id="18"/>
      <w:r>
        <w:rPr>
          <w:outline w:val="0"/>
          <w:color w:val="000000"/>
          <w:rtl w:val="0"/>
          <w:lang w:val="en-US"/>
          <w14:textFill>
            <w14:solidFill>
              <w14:srgbClr w14:val="000000"/>
            </w14:solidFill>
          </w14:textFill>
        </w:rPr>
        <w:t>Geographic Distribution</w:t>
      </w:r>
    </w:p>
    <w:p>
      <w:pPr>
        <w:pStyle w:val="First Paragraph"/>
      </w:pPr>
      <w:r>
        <w:rPr>
          <w:rStyle w:val="None A"/>
          <w:rtl w:val="0"/>
          <w:lang w:val="en-US"/>
        </w:rPr>
        <w:t xml:space="preserve">Both </w:t>
      </w:r>
      <w:r>
        <w:rPr>
          <w:i w:val="1"/>
          <w:iCs w:val="1"/>
          <w:rtl w:val="0"/>
          <w:lang w:val="en-US"/>
        </w:rPr>
        <w:t>Oreophryne</w:t>
      </w:r>
      <w:r>
        <w:rPr>
          <w:rStyle w:val="None A"/>
          <w:rtl w:val="0"/>
          <w:lang w:val="en-US"/>
        </w:rPr>
        <w:t xml:space="preserve"> and </w:t>
      </w:r>
      <w:r>
        <w:rPr>
          <w:i w:val="1"/>
          <w:iCs w:val="1"/>
          <w:rtl w:val="0"/>
          <w:lang w:val="en-US"/>
        </w:rPr>
        <w:t>Auparoparo</w:t>
      </w:r>
      <w:r>
        <w:rPr>
          <w:rStyle w:val="None A"/>
          <w:rtl w:val="0"/>
          <w:lang w:val="en-US"/>
        </w:rPr>
        <w:t xml:space="preserve"> are geographically centered in the mainland New Guinea. </w:t>
      </w:r>
      <w:r>
        <w:rPr>
          <w:i w:val="1"/>
          <w:iCs w:val="1"/>
          <w:rtl w:val="0"/>
          <w:lang w:val="en-US"/>
        </w:rPr>
        <w:t>Oreophryne</w:t>
      </w:r>
      <w:r>
        <w:rPr>
          <w:rStyle w:val="None A"/>
          <w:rtl w:val="0"/>
          <w:lang w:val="en-US"/>
        </w:rPr>
        <w:t xml:space="preserve"> extends southward to the Louisiade Archipelago and northward to the South Philippine Islands (Hill </w:t>
      </w:r>
      <w:r>
        <w:rPr>
          <w:i w:val="1"/>
          <w:iCs w:val="1"/>
          <w:rtl w:val="0"/>
          <w:lang w:val="en-US"/>
        </w:rPr>
        <w:t>et al.</w:t>
      </w:r>
      <w:r>
        <w:rPr>
          <w:rStyle w:val="None A"/>
          <w:rtl w:val="0"/>
          <w:lang w:val="en-US"/>
        </w:rPr>
        <w:t xml:space="preserve">, 2023b). Addition of </w:t>
      </w:r>
      <w:r>
        <w:rPr>
          <w:i w:val="1"/>
          <w:iCs w:val="1"/>
          <w:rtl w:val="0"/>
          <w:lang w:val="en-US"/>
        </w:rPr>
        <w:t>O. moluccensis</w:t>
      </w:r>
      <w:r>
        <w:rPr>
          <w:rStyle w:val="None A"/>
          <w:rtl w:val="0"/>
          <w:lang w:val="en-US"/>
        </w:rPr>
        <w:t xml:space="preserve"> expands the known range eastward to North Maluku, Indonesia (Fig.</w:t>
      </w:r>
      <w:r>
        <w:rPr>
          <w:rStyle w:val="None A"/>
          <w:rtl w:val="0"/>
          <w:lang w:val="en-US"/>
        </w:rPr>
        <w:t> </w:t>
      </w:r>
      <w:r>
        <w:rPr>
          <w:rStyle w:val="None A"/>
          <w:rtl w:val="0"/>
          <w:lang w:val="en-US"/>
        </w:rPr>
        <w:t>3).</w:t>
      </w:r>
    </w:p>
    <w:p>
      <w:pPr>
        <w:pStyle w:val="Body Text"/>
      </w:pPr>
      <w:r>
        <w:rPr>
          <w:rStyle w:val="None A"/>
          <w:rtl w:val="0"/>
          <w:lang w:val="en-US"/>
        </w:rPr>
        <w:t xml:space="preserve">The known distribution of </w:t>
      </w:r>
      <w:r>
        <w:rPr>
          <w:i w:val="1"/>
          <w:iCs w:val="1"/>
          <w:rtl w:val="0"/>
          <w:lang w:val="en-US"/>
        </w:rPr>
        <w:t>Auparoparo</w:t>
      </w:r>
      <w:r>
        <w:rPr>
          <w:rStyle w:val="None A"/>
          <w:rtl w:val="0"/>
          <w:lang w:val="en-US"/>
        </w:rPr>
        <w:t xml:space="preserve"> is mainly clustered in the southeastern tip of mainland Papua New Guinea (in the East Papuan Composite Terrane) and satellite islands with two species in Sulawesi, Indonesia. This suggests the possiblity of of interesting plate tectonics resulting in this biogeographic distribution. Exploration of intermediate localities may result in as yet undescribed or undiscovered species of </w:t>
      </w:r>
      <w:r>
        <w:rPr>
          <w:i w:val="1"/>
          <w:iCs w:val="1"/>
          <w:rtl w:val="0"/>
          <w:lang w:val="en-US"/>
        </w:rPr>
        <w:t>Auparoparo</w:t>
      </w:r>
      <w:r>
        <w:rPr>
          <w:rStyle w:val="None A"/>
          <w:rtl w:val="0"/>
          <w:lang w:val="en-US"/>
        </w:rPr>
        <w:t xml:space="preserve">. The geographic range is sure to grow with additional phylogenetic sampling. For example </w:t>
      </w:r>
      <w:r>
        <w:rPr>
          <w:i w:val="1"/>
          <w:iCs w:val="1"/>
          <w:rtl w:val="0"/>
          <w:lang w:val="en-US"/>
        </w:rPr>
        <w:t>Oreophryne</w:t>
      </w:r>
      <w:r>
        <w:rPr>
          <w:rStyle w:val="None A"/>
          <w:rtl w:val="0"/>
          <w:lang w:val="en-US"/>
        </w:rPr>
        <w:t xml:space="preserve"> (sensu lato) </w:t>
      </w:r>
      <w:r>
        <w:rPr>
          <w:i w:val="1"/>
          <w:iCs w:val="1"/>
          <w:rtl w:val="0"/>
          <w:lang w:val="en-US"/>
        </w:rPr>
        <w:t>chlorops</w:t>
      </w:r>
      <w:r>
        <w:rPr>
          <w:rStyle w:val="None A"/>
          <w:rtl w:val="0"/>
          <w:lang w:val="en-US"/>
        </w:rPr>
        <w:t xml:space="preserve"> (G</w:t>
      </w:r>
      <w:r>
        <w:rPr>
          <w:rStyle w:val="None A"/>
          <w:rtl w:val="0"/>
          <w:lang w:val="en-US"/>
        </w:rPr>
        <w:t>ü</w:t>
      </w:r>
      <w:r>
        <w:rPr>
          <w:rStyle w:val="None A"/>
          <w:rtl w:val="0"/>
          <w:lang w:val="en-US"/>
        </w:rPr>
        <w:t xml:space="preserve">nther </w:t>
      </w:r>
      <w:r>
        <w:rPr>
          <w:i w:val="1"/>
          <w:iCs w:val="1"/>
          <w:rtl w:val="0"/>
          <w:lang w:val="en-US"/>
        </w:rPr>
        <w:t>et al.</w:t>
      </w:r>
      <w:r>
        <w:rPr>
          <w:rStyle w:val="None A"/>
          <w:rtl w:val="0"/>
          <w:lang w:val="en-US"/>
        </w:rPr>
        <w:t>, 2023) is a very large (SVL &gt; 40mm) species recently discovered from mid-elevation mountains of the bird</w:t>
      </w:r>
      <w:r>
        <w:rPr>
          <w:rStyle w:val="None A"/>
          <w:rtl w:val="0"/>
          <w:lang w:val="en-US"/>
        </w:rPr>
        <w:t>ʻ</w:t>
      </w:r>
      <w:r>
        <w:rPr>
          <w:rStyle w:val="None A"/>
          <w:rtl w:val="0"/>
          <w:lang w:val="en-US"/>
        </w:rPr>
        <w:t xml:space="preserve">s neck region of Western Papua with clearly enlarged finger pads relative to toe pads. If confirmed as </w:t>
      </w:r>
      <w:r>
        <w:rPr>
          <w:i w:val="1"/>
          <w:iCs w:val="1"/>
          <w:rtl w:val="0"/>
          <w:lang w:val="en-US"/>
        </w:rPr>
        <w:t>Auparoparo</w:t>
      </w:r>
      <w:r>
        <w:rPr>
          <w:rStyle w:val="None A"/>
          <w:rtl w:val="0"/>
          <w:lang w:val="en-US"/>
        </w:rPr>
        <w:t xml:space="preserve">, it would significantly expand the range of </w:t>
      </w:r>
      <w:r>
        <w:rPr>
          <w:i w:val="1"/>
          <w:iCs w:val="1"/>
          <w:rtl w:val="0"/>
          <w:lang w:val="en-US"/>
        </w:rPr>
        <w:t>Auparoparo</w:t>
      </w:r>
      <w:r>
        <w:rPr>
          <w:rStyle w:val="None A"/>
          <w:rtl w:val="0"/>
          <w:lang w:val="en-US"/>
        </w:rPr>
        <w:t xml:space="preserve"> across New Guinea Island.</w:t>
      </w:r>
    </w:p>
    <w:p>
      <w:pPr>
        <w:pStyle w:val="Body Text"/>
      </w:pPr>
      <w:r>
        <w:rPr>
          <w:rStyle w:val="None A"/>
          <w:rtl w:val="0"/>
          <w:lang w:val="en-US"/>
        </w:rPr>
        <w:t xml:space="preserve">We found geographic range overlap between </w:t>
      </w:r>
      <w:r>
        <w:rPr>
          <w:i w:val="1"/>
          <w:iCs w:val="1"/>
          <w:rtl w:val="0"/>
          <w:lang w:val="en-US"/>
        </w:rPr>
        <w:t>Oreophryne</w:t>
      </w:r>
      <w:r>
        <w:rPr>
          <w:rStyle w:val="None A"/>
          <w:rtl w:val="0"/>
          <w:lang w:val="en-US"/>
        </w:rPr>
        <w:t xml:space="preserve"> and </w:t>
      </w:r>
      <w:r>
        <w:rPr>
          <w:i w:val="1"/>
          <w:iCs w:val="1"/>
          <w:rtl w:val="0"/>
          <w:lang w:val="en-US"/>
        </w:rPr>
        <w:t>Auparoparo</w:t>
      </w:r>
      <w:r>
        <w:rPr>
          <w:rStyle w:val="None A"/>
          <w:rtl w:val="0"/>
          <w:lang w:val="en-US"/>
        </w:rPr>
        <w:t xml:space="preserve"> at multiple localities: on the mainland along the Mt. Dayman Foothills, at the Mt. Simpson Massif, Mt. Trafalgar, and on the oceanic islands of Normanby and Fergusson (both nearshore islands), and Rossel island (hundreds of kilometers offshore), which presents interesting questions regarding biogeography as well as their ecological relationships. For example, </w:t>
      </w:r>
      <w:r>
        <w:rPr>
          <w:i w:val="1"/>
          <w:iCs w:val="1"/>
          <w:rtl w:val="0"/>
          <w:lang w:val="en-US"/>
        </w:rPr>
        <w:t>Oreophryne inornata</w:t>
      </w:r>
      <w:r>
        <w:rPr>
          <w:rStyle w:val="None A"/>
          <w:rtl w:val="0"/>
          <w:lang w:val="en-US"/>
        </w:rPr>
        <w:t xml:space="preserve"> and </w:t>
      </w:r>
      <w:r>
        <w:rPr>
          <w:i w:val="1"/>
          <w:iCs w:val="1"/>
          <w:rtl w:val="0"/>
          <w:lang w:val="en-US"/>
        </w:rPr>
        <w:t>Auparoparo insulana</w:t>
      </w:r>
      <w:r>
        <w:rPr>
          <w:rStyle w:val="None A"/>
          <w:rtl w:val="0"/>
          <w:lang w:val="en-US"/>
        </w:rPr>
        <w:t xml:space="preserve"> have been collected at the same site (Goodenough Island) and even the same microhabitats (Zweifel, 1956). Do these species occupy the same niche, and what is the temporal history of each colonization? Are both genera also present in the nearby islands of Normanby and Fergusson (all part of the D</w:t>
      </w:r>
      <w:r>
        <w:rPr>
          <w:rStyle w:val="None A"/>
          <w:rtl w:val="0"/>
          <w:lang w:val="en-US"/>
        </w:rPr>
        <w:t>’</w:t>
      </w:r>
      <w:r>
        <w:rPr>
          <w:rStyle w:val="None A"/>
          <w:rtl w:val="0"/>
          <w:lang w:val="en-US"/>
        </w:rPr>
        <w:t xml:space="preserve">Entrecasteaux Archipelago)? Obtaining additional geographical samples for inclusion in phylogenetic analysis should be a high priority to gain a more complete understanding of the geographic distribution and evolutionary history of both </w:t>
      </w:r>
      <w:r>
        <w:rPr>
          <w:i w:val="1"/>
          <w:iCs w:val="1"/>
          <w:rtl w:val="0"/>
          <w:lang w:val="en-US"/>
        </w:rPr>
        <w:t>Oreophryne</w:t>
      </w:r>
      <w:r>
        <w:rPr>
          <w:rStyle w:val="None A"/>
          <w:rtl w:val="0"/>
          <w:lang w:val="en-US"/>
        </w:rPr>
        <w:t xml:space="preserve"> and </w:t>
      </w:r>
      <w:r>
        <w:rPr>
          <w:i w:val="1"/>
          <w:iCs w:val="1"/>
          <w:rtl w:val="0"/>
          <w:lang w:val="en-US"/>
        </w:rPr>
        <w:t>Auparoparo</w:t>
      </w:r>
      <w:r>
        <w:rPr>
          <w:rStyle w:val="None A"/>
          <w:rtl w:val="0"/>
          <w:lang w:val="en-US"/>
        </w:rPr>
        <w:t>.</w:t>
      </w:r>
      <w:bookmarkEnd w:id="18"/>
    </w:p>
    <w:p>
      <w:pPr>
        <w:pStyle w:val="Heading 2"/>
        <w:jc w:val="center"/>
        <w:rPr>
          <w:outline w:val="0"/>
          <w:color w:val="000000"/>
          <w14:textFill>
            <w14:solidFill>
              <w14:srgbClr w14:val="000000"/>
            </w14:solidFill>
          </w14:textFill>
        </w:rPr>
      </w:pPr>
      <w:bookmarkStart w:name="howtoavoidamisleadingclassification" w:id="19"/>
      <w:r>
        <w:rPr>
          <w:outline w:val="0"/>
          <w:color w:val="000000"/>
          <w:rtl w:val="0"/>
          <w:lang w:val="en-US"/>
          <w14:textFill>
            <w14:solidFill>
              <w14:srgbClr w14:val="000000"/>
            </w14:solidFill>
          </w14:textFill>
        </w:rPr>
        <w:t>How to Avoid a Misleading Classification</w:t>
      </w:r>
    </w:p>
    <w:p>
      <w:pPr>
        <w:pStyle w:val="First Paragraph"/>
      </w:pPr>
      <w:r>
        <w:rPr>
          <w:rStyle w:val="None A"/>
          <w:rtl w:val="0"/>
          <w:lang w:val="en-US"/>
        </w:rPr>
        <w:t xml:space="preserve">We adopt an explicitly phylogenetic framework for the new taxonomy of the genera </w:t>
      </w:r>
      <w:r>
        <w:rPr>
          <w:i w:val="1"/>
          <w:iCs w:val="1"/>
          <w:rtl w:val="0"/>
          <w:lang w:val="en-US"/>
        </w:rPr>
        <w:t>Oreophryne</w:t>
      </w:r>
      <w:r>
        <w:rPr>
          <w:rStyle w:val="None A"/>
          <w:rtl w:val="0"/>
          <w:lang w:val="en-US"/>
        </w:rPr>
        <w:t xml:space="preserve"> and </w:t>
      </w:r>
      <w:r>
        <w:rPr>
          <w:i w:val="1"/>
          <w:iCs w:val="1"/>
          <w:rtl w:val="0"/>
          <w:lang w:val="en-US"/>
        </w:rPr>
        <w:t>Auparoparo</w:t>
      </w:r>
      <w:r>
        <w:rPr>
          <w:rStyle w:val="None A"/>
          <w:rtl w:val="0"/>
          <w:lang w:val="en-US"/>
        </w:rPr>
        <w:t xml:space="preserve">, and to our knowledge, this is the first time that phylogenetic nomenclature has been applied within the subfamily Asterophryinae. A phylogenetic definition of genera is advantageous especially because Asterophryinae is an adaptive radiation. While we are increasingly confident that at least 16 genera are indeed monophyletic, nevertheless, very short branch lengths separate many of the genera along the backbone [Hill </w:t>
      </w:r>
      <w:r>
        <w:rPr>
          <w:i w:val="1"/>
          <w:iCs w:val="1"/>
          <w:rtl w:val="0"/>
          <w:lang w:val="en-US"/>
        </w:rPr>
        <w:t>et al.</w:t>
      </w:r>
      <w:r>
        <w:rPr>
          <w:rStyle w:val="None A"/>
          <w:rtl w:val="0"/>
          <w:lang w:val="en-US"/>
        </w:rPr>
        <w:t xml:space="preserve"> (2022); this study]. A maximum-crown-clade definition with multiple external specifiers is robust to uncertainty (i.e., rearrangements of order) along the backbone. We define each genus as the largest crown clade including the internal specifier species for the clade (i.e., the type species of the genus) but not the internal specifier species of other asterophryine genera. For long-studied groups such as Asterophryinae, it may not be possible to obtain a genetic sample for type species that were collected in the 1800</w:t>
      </w:r>
      <w:r>
        <w:rPr>
          <w:rStyle w:val="None A"/>
          <w:rtl w:val="0"/>
          <w:lang w:val="en-US"/>
        </w:rPr>
        <w:t>ʻ</w:t>
      </w:r>
      <w:r>
        <w:rPr>
          <w:rStyle w:val="None A"/>
          <w:rtl w:val="0"/>
          <w:lang w:val="en-US"/>
        </w:rPr>
        <w:t>s and early 1900</w:t>
      </w:r>
      <w:r>
        <w:rPr>
          <w:rStyle w:val="None A"/>
          <w:rtl w:val="0"/>
          <w:lang w:val="en-US"/>
        </w:rPr>
        <w:t>ʻ</w:t>
      </w:r>
      <w:r>
        <w:rPr>
          <w:rStyle w:val="None A"/>
          <w:rtl w:val="0"/>
          <w:lang w:val="en-US"/>
        </w:rPr>
        <w:t xml:space="preserve">s, as these locations may be uncertain and/or remote, it may be necessary to use a genetic sample from another species of the genus as a proxy for the type species. Nevertheless, is increasingly clear that for </w:t>
      </w:r>
      <w:r>
        <w:rPr>
          <w:i w:val="1"/>
          <w:iCs w:val="1"/>
          <w:rtl w:val="0"/>
          <w:lang w:val="en-US"/>
        </w:rPr>
        <w:t>Oreophryne</w:t>
      </w:r>
      <w:r>
        <w:rPr>
          <w:rStyle w:val="None A"/>
          <w:rtl w:val="0"/>
          <w:lang w:val="en-US"/>
        </w:rPr>
        <w:t xml:space="preserve"> and </w:t>
      </w:r>
      <w:r>
        <w:rPr>
          <w:i w:val="1"/>
          <w:iCs w:val="1"/>
          <w:rtl w:val="0"/>
          <w:lang w:val="en-US"/>
        </w:rPr>
        <w:t>Auparoparo</w:t>
      </w:r>
      <w:r>
        <w:rPr>
          <w:rStyle w:val="None A"/>
          <w:rtl w:val="0"/>
          <w:lang w:val="en-US"/>
        </w:rPr>
        <w:t>, a molecular phylogenetic approach is required for final confirmation of taxonomy.</w:t>
      </w:r>
    </w:p>
    <w:p>
      <w:pPr>
        <w:pStyle w:val="Body Text"/>
      </w:pPr>
      <w:r>
        <w:rPr>
          <w:rStyle w:val="None A"/>
          <w:rtl w:val="0"/>
          <w:lang w:val="en-US"/>
        </w:rPr>
        <w:t xml:space="preserve">Furthermore, a phylogenetic definition provides guidance for robust classification. It is imperative that when assiging new species to either </w:t>
      </w:r>
      <w:r>
        <w:rPr>
          <w:i w:val="1"/>
          <w:iCs w:val="1"/>
          <w:rtl w:val="0"/>
          <w:lang w:val="en-US"/>
        </w:rPr>
        <w:t>Oreophryne</w:t>
      </w:r>
      <w:r>
        <w:rPr>
          <w:rStyle w:val="None A"/>
          <w:rtl w:val="0"/>
          <w:lang w:val="en-US"/>
        </w:rPr>
        <w:t xml:space="preserve"> or </w:t>
      </w:r>
      <w:r>
        <w:rPr>
          <w:i w:val="1"/>
          <w:iCs w:val="1"/>
          <w:rtl w:val="0"/>
          <w:lang w:val="en-US"/>
        </w:rPr>
        <w:t>Auparoparo</w:t>
      </w:r>
      <w:r>
        <w:rPr>
          <w:rStyle w:val="None A"/>
          <w:rtl w:val="0"/>
          <w:lang w:val="en-US"/>
        </w:rPr>
        <w:t xml:space="preserve">, molecular confirmation requires </w:t>
      </w:r>
      <w:r>
        <w:rPr>
          <w:rStyle w:val="None A"/>
          <w:rtl w:val="0"/>
          <w:lang w:val="en-US"/>
        </w:rPr>
        <w:t xml:space="preserve">– </w:t>
      </w:r>
      <w:r>
        <w:rPr>
          <w:rStyle w:val="None A"/>
          <w:rtl w:val="0"/>
          <w:lang w:val="en-US"/>
        </w:rPr>
        <w:t xml:space="preserve">at minimum </w:t>
      </w:r>
      <w:r>
        <w:rPr>
          <w:rStyle w:val="None A"/>
          <w:rtl w:val="0"/>
          <w:lang w:val="en-US"/>
        </w:rPr>
        <w:t xml:space="preserve">– </w:t>
      </w:r>
      <w:r>
        <w:rPr>
          <w:rStyle w:val="None A"/>
          <w:rtl w:val="0"/>
          <w:lang w:val="en-US"/>
        </w:rPr>
        <w:t xml:space="preserve">inclusion of members of the other clade to correctly identify the genus level clade. For example, a phylogenetic analysis with only </w:t>
      </w:r>
      <w:r>
        <w:rPr>
          <w:i w:val="1"/>
          <w:iCs w:val="1"/>
          <w:rtl w:val="0"/>
          <w:lang w:val="en-US"/>
        </w:rPr>
        <w:t>Oreophryne</w:t>
      </w:r>
      <w:r>
        <w:rPr>
          <w:rStyle w:val="None A"/>
          <w:rtl w:val="0"/>
          <w:lang w:val="en-US"/>
        </w:rPr>
        <w:t xml:space="preserve"> sensu lato and outgroups to Asterophryinae will show incorrect grouping of </w:t>
      </w:r>
      <w:r>
        <w:rPr>
          <w:i w:val="1"/>
          <w:iCs w:val="1"/>
          <w:rtl w:val="0"/>
          <w:lang w:val="en-US"/>
        </w:rPr>
        <w:t>Oreophryne</w:t>
      </w:r>
      <w:r>
        <w:rPr>
          <w:rStyle w:val="None A"/>
          <w:rtl w:val="0"/>
          <w:lang w:val="en-US"/>
        </w:rPr>
        <w:t xml:space="preserve"> and </w:t>
      </w:r>
      <w:r>
        <w:rPr>
          <w:i w:val="1"/>
          <w:iCs w:val="1"/>
          <w:rtl w:val="0"/>
          <w:lang w:val="en-US"/>
        </w:rPr>
        <w:t>Auparoparo</w:t>
      </w:r>
      <w:r>
        <w:rPr>
          <w:rStyle w:val="None A"/>
          <w:rtl w:val="0"/>
          <w:lang w:val="en-US"/>
        </w:rPr>
        <w:t xml:space="preserve"> species because of the lack of intervening species assigned to other Asterophryinae genera. An additional difficulty here is that each clade, </w:t>
      </w:r>
      <w:r>
        <w:rPr>
          <w:i w:val="1"/>
          <w:iCs w:val="1"/>
          <w:rtl w:val="0"/>
          <w:lang w:val="en-US"/>
        </w:rPr>
        <w:t>Oreophryne</w:t>
      </w:r>
      <w:r>
        <w:rPr>
          <w:rStyle w:val="None A"/>
          <w:rtl w:val="0"/>
          <w:lang w:val="en-US"/>
        </w:rPr>
        <w:t xml:space="preserve"> and </w:t>
      </w:r>
      <w:r>
        <w:rPr>
          <w:i w:val="1"/>
          <w:iCs w:val="1"/>
          <w:rtl w:val="0"/>
          <w:lang w:val="en-US"/>
        </w:rPr>
        <w:t>Auparoparo</w:t>
      </w:r>
      <w:r>
        <w:rPr>
          <w:rStyle w:val="None A"/>
          <w:rtl w:val="0"/>
          <w:lang w:val="en-US"/>
        </w:rPr>
        <w:t xml:space="preserve">, contains subclades with deep histories (Hill </w:t>
      </w:r>
      <w:r>
        <w:rPr>
          <w:i w:val="1"/>
          <w:iCs w:val="1"/>
          <w:rtl w:val="0"/>
          <w:lang w:val="en-US"/>
        </w:rPr>
        <w:t>et al.</w:t>
      </w:r>
      <w:r>
        <w:rPr>
          <w:rStyle w:val="None A"/>
          <w:rtl w:val="0"/>
          <w:lang w:val="en-US"/>
        </w:rPr>
        <w:t xml:space="preserve">, 2023a), so we recommend the inclusion of additional intervening species assigned to other Asterophryinae genera, particularly </w:t>
      </w:r>
      <w:r>
        <w:rPr>
          <w:i w:val="1"/>
          <w:iCs w:val="1"/>
          <w:rtl w:val="0"/>
          <w:lang w:val="en-US"/>
        </w:rPr>
        <w:t>Cophixalus</w:t>
      </w:r>
      <w:r>
        <w:rPr>
          <w:rStyle w:val="None A"/>
          <w:rtl w:val="0"/>
          <w:lang w:val="en-US"/>
        </w:rPr>
        <w:t xml:space="preserve"> and </w:t>
      </w:r>
      <w:r>
        <w:rPr>
          <w:i w:val="1"/>
          <w:iCs w:val="1"/>
          <w:rtl w:val="0"/>
          <w:lang w:val="en-US"/>
        </w:rPr>
        <w:t>Paedophryne</w:t>
      </w:r>
      <w:r>
        <w:rPr>
          <w:rStyle w:val="None A"/>
          <w:rtl w:val="0"/>
          <w:lang w:val="en-US"/>
        </w:rPr>
        <w:t xml:space="preserve">, to reduce the potential for long-branch attraction and more clearly resolve the </w:t>
      </w:r>
      <w:r>
        <w:rPr>
          <w:rStyle w:val="None A"/>
          <w:rtl w:val="0"/>
          <w:lang w:val="en-US"/>
        </w:rPr>
        <w:t>“</w:t>
      </w:r>
      <w:r>
        <w:rPr>
          <w:rStyle w:val="None A"/>
          <w:rtl w:val="0"/>
          <w:lang w:val="en-US"/>
        </w:rPr>
        <w:t>boundaries</w:t>
      </w:r>
      <w:r>
        <w:rPr>
          <w:rStyle w:val="None A"/>
          <w:rtl w:val="0"/>
          <w:lang w:val="en-US"/>
        </w:rPr>
        <w:t xml:space="preserve">” </w:t>
      </w:r>
      <w:r>
        <w:rPr>
          <w:rStyle w:val="None A"/>
          <w:rtl w:val="0"/>
          <w:lang w:val="en-US"/>
        </w:rPr>
        <w:t>of each monophyletic clade.</w:t>
      </w:r>
    </w:p>
    <w:p>
      <w:pPr>
        <w:pStyle w:val="Body Text"/>
      </w:pPr>
      <w:r>
        <w:rPr>
          <w:rStyle w:val="None A"/>
          <w:rtl w:val="0"/>
          <w:lang w:val="en-US"/>
        </w:rPr>
        <w:t>This study furthermore highlights the importance of taxonomic sampling for robust phylogenetic results. Developing an orderly taxonomy in a clade with over 350 named species (with a sizeable proportion of specimens in museum collections that are yet to be described, A. Allison, unpublished) would be that much more challenging without the benefit of generic diagnoses that follow evolutionary history.</w:t>
      </w:r>
      <w:bookmarkEnd w:id="19"/>
    </w:p>
    <w:p>
      <w:pPr>
        <w:pStyle w:val="Heading 2"/>
        <w:jc w:val="center"/>
        <w:rPr>
          <w:outline w:val="0"/>
          <w:color w:val="000000"/>
          <w14:textFill>
            <w14:solidFill>
              <w14:srgbClr w14:val="000000"/>
            </w14:solidFill>
          </w14:textFill>
        </w:rPr>
      </w:pPr>
      <w:bookmarkStart w:name="conclusionwhythenamesmatter" w:id="20"/>
      <w:r>
        <w:rPr>
          <w:outline w:val="0"/>
          <w:color w:val="000000"/>
          <w:rtl w:val="0"/>
          <w:lang w:val="en-US"/>
          <w14:textFill>
            <w14:solidFill>
              <w14:srgbClr w14:val="000000"/>
            </w14:solidFill>
          </w14:textFill>
        </w:rPr>
        <w:t>Conclusion: Why the Names Matter</w:t>
      </w:r>
    </w:p>
    <w:p>
      <w:pPr>
        <w:pStyle w:val="First Paragraph"/>
      </w:pPr>
      <w:r>
        <w:rPr>
          <w:rStyle w:val="None A"/>
          <w:rtl w:val="0"/>
          <w:lang w:val="en-US"/>
        </w:rPr>
        <w:t xml:space="preserve">Clarifying the generic structure also facilitates appreciation for the patterns of diversification within Asterophryinae. The evolutionary history of this subfamily is characterized by several interesting trends across genera: 1) a burst of ecological and species diversification leading to generic-level clades occurring early in the history of the subfamily (Hill </w:t>
      </w:r>
      <w:r>
        <w:rPr>
          <w:i w:val="1"/>
          <w:iCs w:val="1"/>
          <w:rtl w:val="0"/>
          <w:lang w:val="en-US"/>
        </w:rPr>
        <w:t>et al.</w:t>
      </w:r>
      <w:r>
        <w:rPr>
          <w:rStyle w:val="None A"/>
          <w:rtl w:val="0"/>
          <w:lang w:val="en-US"/>
        </w:rPr>
        <w:t xml:space="preserve">, 2022), 2) a tendency toward niche conservatism within genera, and 3) simultaneous dispersal of multiple genera to offshore islands (Hill </w:t>
      </w:r>
      <w:r>
        <w:rPr>
          <w:i w:val="1"/>
          <w:iCs w:val="1"/>
          <w:rtl w:val="0"/>
          <w:lang w:val="en-US"/>
        </w:rPr>
        <w:t>et al.</w:t>
      </w:r>
      <w:r>
        <w:rPr>
          <w:rStyle w:val="None A"/>
          <w:rtl w:val="0"/>
          <w:lang w:val="en-US"/>
        </w:rPr>
        <w:t xml:space="preserve">, 2022, 2023a) revealing the very strong influence of plate tectonics for explaining the historical dispersal patterns of this group. Finally, without distinct generic names for the two clades represented by </w:t>
      </w:r>
      <w:r>
        <w:rPr>
          <w:i w:val="1"/>
          <w:iCs w:val="1"/>
          <w:rtl w:val="0"/>
          <w:lang w:val="en-US"/>
        </w:rPr>
        <w:t>Oreophyne</w:t>
      </w:r>
      <w:r>
        <w:rPr>
          <w:rStyle w:val="None A"/>
          <w:rtl w:val="0"/>
          <w:lang w:val="en-US"/>
        </w:rPr>
        <w:t xml:space="preserve"> and </w:t>
      </w:r>
      <w:r>
        <w:rPr>
          <w:i w:val="1"/>
          <w:iCs w:val="1"/>
          <w:rtl w:val="0"/>
          <w:lang w:val="en-US"/>
        </w:rPr>
        <w:t>Auparoparo</w:t>
      </w:r>
      <w:r>
        <w:rPr>
          <w:rStyle w:val="None A"/>
          <w:rtl w:val="0"/>
          <w:lang w:val="en-US"/>
        </w:rPr>
        <w:t>, it becomes much more difficult to appreciate independently evolutionary histories embodied by each clade, that aboreality has evolved at least twice in two large clades of Asterophyrinae, and would make it very difficult to appreciate the impressive paralleism embodied by these speciose and successful genera. An accurate and informative taxonomy serves to advance our understanding of Papuan microhylids and their very interesting evolutionary history leading to further discovery.</w:t>
      </w:r>
    </w:p>
    <w:p>
      <w:pPr>
        <w:pStyle w:val="Body Text"/>
      </w:pPr>
      <w:r>
        <w:rPr>
          <w:rStyle w:val="None A"/>
          <w:rtl w:val="0"/>
          <w:lang w:val="en-US"/>
        </w:rPr>
        <w:t>Lastly, we emphasize that future naming of species, genera, and higher taxa should seek to recognize the language of the indigenous stewards of the land and ecosystem from which they were discovered (Gillman &amp; Wright, 2020). This is especially true of Asterophryinae frogs, whose awe-inspiring diversity mirrors the rich cultural beauty and historical complexity of Papuan people.</w:t>
      </w:r>
      <w:bookmarkEnd w:id="20"/>
    </w:p>
    <w:p>
      <w:pPr>
        <w:pStyle w:val="Heading"/>
        <w:jc w:val="center"/>
        <w:rPr>
          <w:caps w:val="1"/>
          <w:outline w:val="0"/>
          <w:color w:val="000000"/>
          <w14:textFill>
            <w14:solidFill>
              <w14:srgbClr w14:val="000000"/>
            </w14:solidFill>
          </w14:textFill>
        </w:rPr>
      </w:pPr>
      <w:bookmarkStart w:name="acknowledgements" w:id="21"/>
      <w:r>
        <w:rPr>
          <w:caps w:val="1"/>
          <w:outline w:val="0"/>
          <w:color w:val="000000"/>
          <w:rtl w:val="0"/>
          <w:lang w:val="en-US"/>
          <w14:textFill>
            <w14:solidFill>
              <w14:srgbClr w14:val="000000"/>
            </w14:solidFill>
          </w14:textFill>
        </w:rPr>
        <w:t>Acknowledgements</w:t>
      </w:r>
    </w:p>
    <w:p>
      <w:pPr>
        <w:pStyle w:val="First Paragraph"/>
      </w:pPr>
      <w:r>
        <w:rPr>
          <w:rStyle w:val="None A"/>
          <w:rtl w:val="0"/>
          <w:lang w:val="en-US"/>
        </w:rPr>
        <w:t>We thank Ben Evans and Iqbal Setiadi for generously providing samples critical for this study, and Ethan Hill for his guidance and training on the molecular and bioinformatics work. We are grateful to Molly Hagemann and Samantha Shizuru for their excellent assistance in accessing Bishop Museum Vertebrate Zoology Collections and data. We thank Kevin de Queiroz for sharing expert knowledge on phylogenetic and zoological nomenclature, and Neal Evenhuis for sharing expert knowledge on type species. We thank Kevin de Queiroz, Brianna Correa, and Alexis Shulga for provided comments which greatly improved the manuscript. This is publication 234 from the School of Life Sciences, University of Hawai</w:t>
      </w:r>
      <w:r>
        <w:rPr>
          <w:rStyle w:val="None A"/>
          <w:rtl w:val="0"/>
          <w:lang w:val="en-US"/>
        </w:rPr>
        <w:t>ʻ</w:t>
      </w:r>
      <w:r>
        <w:rPr>
          <w:rStyle w:val="None A"/>
          <w:rtl w:val="0"/>
          <w:lang w:val="en-US"/>
        </w:rPr>
        <w:t>i at M</w:t>
      </w:r>
      <w:r>
        <w:rPr>
          <w:rStyle w:val="None A"/>
          <w:rtl w:val="0"/>
          <w:lang w:val="en-US"/>
        </w:rPr>
        <w:t>ā</w:t>
      </w:r>
      <w:r>
        <w:rPr>
          <w:rStyle w:val="None A"/>
          <w:rtl w:val="0"/>
          <w:lang w:val="en-US"/>
        </w:rPr>
        <w:t>noa and 2026-004 from the Pacific Biological Survey, Bishop Museum.</w:t>
      </w:r>
      <w:bookmarkEnd w:id="21"/>
    </w:p>
    <w:p>
      <w:pPr>
        <w:pStyle w:val="Heading"/>
        <w:jc w:val="center"/>
        <w:rPr>
          <w:outline w:val="0"/>
          <w:color w:val="000000"/>
          <w14:textFill>
            <w14:solidFill>
              <w14:srgbClr w14:val="000000"/>
            </w14:solidFill>
          </w14:textFill>
        </w:rPr>
      </w:pPr>
      <w:bookmarkStart w:name="creditstatement" w:id="22"/>
      <w:r>
        <w:rPr>
          <w:outline w:val="0"/>
          <w:color w:val="000000"/>
          <w:rtl w:val="0"/>
          <w:lang w:val="en-US"/>
          <w14:textFill>
            <w14:solidFill>
              <w14:srgbClr w14:val="000000"/>
            </w14:solidFill>
          </w14:textFill>
        </w:rPr>
        <w:t xml:space="preserve">CRediT </w:t>
      </w:r>
      <w:r>
        <w:rPr>
          <w:caps w:val="1"/>
          <w:outline w:val="0"/>
          <w:color w:val="000000"/>
          <w:rtl w:val="0"/>
          <w:lang w:val="en-US"/>
          <w14:textFill>
            <w14:solidFill>
              <w14:srgbClr w14:val="000000"/>
            </w14:solidFill>
          </w14:textFill>
        </w:rPr>
        <w:t>Statement</w:t>
      </w:r>
    </w:p>
    <w:p>
      <w:pPr>
        <w:pStyle w:val="First Paragraph"/>
      </w:pPr>
      <w:r>
        <w:rPr>
          <w:b w:val="1"/>
          <w:bCs w:val="1"/>
          <w:rtl w:val="0"/>
          <w:lang w:val="en-US"/>
        </w:rPr>
        <w:t>Allison R. Fisher</w:t>
      </w:r>
      <w:r>
        <w:rPr>
          <w:rStyle w:val="None A"/>
          <w:rtl w:val="0"/>
          <w:lang w:val="en-US"/>
        </w:rPr>
        <w:t xml:space="preserve"> (Conceptualization, Methodology, Data Collecting, Analysis, Writing, Reviewing, and Editing), </w:t>
      </w:r>
      <w:r>
        <w:rPr>
          <w:b w:val="1"/>
          <w:bCs w:val="1"/>
          <w:rtl w:val="0"/>
          <w:lang w:val="en-US"/>
        </w:rPr>
        <w:t>Ke Cao</w:t>
      </w:r>
      <w:r>
        <w:rPr>
          <w:rStyle w:val="None A"/>
          <w:rtl w:val="0"/>
          <w:lang w:val="en-US"/>
        </w:rPr>
        <w:t xml:space="preserve"> (Data Collecting, Analysis, Writing, Editing), </w:t>
      </w:r>
      <w:r>
        <w:rPr>
          <w:b w:val="1"/>
          <w:bCs w:val="1"/>
          <w:rtl w:val="0"/>
          <w:lang w:val="en-US"/>
        </w:rPr>
        <w:t>Allen Allison</w:t>
      </w:r>
      <w:r>
        <w:rPr>
          <w:rStyle w:val="None A"/>
          <w:rtl w:val="0"/>
          <w:lang w:val="en-US"/>
        </w:rPr>
        <w:t xml:space="preserve"> (Conceptualization, Writing, Reviewing, and Editing), </w:t>
      </w:r>
      <w:r>
        <w:rPr>
          <w:b w:val="1"/>
          <w:bCs w:val="1"/>
          <w:rtl w:val="0"/>
          <w:lang w:val="en-US"/>
        </w:rPr>
        <w:t>Bulisa Iova</w:t>
      </w:r>
      <w:r>
        <w:rPr>
          <w:rStyle w:val="None A"/>
          <w:rtl w:val="0"/>
          <w:lang w:val="en-US"/>
        </w:rPr>
        <w:t xml:space="preserve"> (Collections, Land Access, Writing), and </w:t>
      </w:r>
      <w:r>
        <w:rPr>
          <w:b w:val="1"/>
          <w:bCs w:val="1"/>
          <w:rtl w:val="0"/>
          <w:lang w:val="en-US"/>
        </w:rPr>
        <w:t>Marguerite A. Butler</w:t>
      </w:r>
      <w:r>
        <w:rPr>
          <w:rStyle w:val="None A"/>
          <w:rtl w:val="0"/>
          <w:lang w:val="en-US"/>
        </w:rPr>
        <w:t xml:space="preserve"> (Conceptualization, Analysis, Visualization, Supervision, Writing, Editing)</w:t>
      </w:r>
      <w:bookmarkEnd w:id="22"/>
    </w:p>
    <w:p>
      <w:pPr>
        <w:pStyle w:val="Body Text"/>
        <w:widowControl w:val="0"/>
        <w:spacing w:line="240" w:lineRule="auto"/>
      </w:pPr>
    </w:p>
    <w:p>
      <w:pPr>
        <w:pStyle w:val="Heading"/>
        <w:jc w:val="center"/>
        <w:rPr>
          <w:caps w:val="1"/>
          <w:outline w:val="0"/>
          <w:color w:val="000000"/>
          <w14:textFill>
            <w14:solidFill>
              <w14:srgbClr w14:val="000000"/>
            </w14:solidFill>
          </w14:textFill>
        </w:rPr>
      </w:pPr>
      <w:bookmarkStart w:name="conflictofinterest" w:id="23"/>
      <w:r>
        <w:rPr>
          <w:rStyle w:val="Heading.0"/>
          <w:caps w:val="1"/>
          <w:outline w:val="0"/>
          <w:color w:val="000000"/>
          <w:rtl w:val="0"/>
          <w:lang w:val="en-US"/>
          <w14:textFill>
            <w14:solidFill>
              <w14:srgbClr w14:val="000000"/>
            </w14:solidFill>
          </w14:textFill>
        </w:rPr>
        <w:t>Conflict of Interest</w:t>
      </w:r>
    </w:p>
    <w:p>
      <w:pPr>
        <w:pStyle w:val="First Paragraph"/>
      </w:pPr>
      <w:r>
        <w:rPr>
          <w:rStyle w:val="None A"/>
          <w:rtl w:val="0"/>
          <w:lang w:val="en-US"/>
        </w:rPr>
        <w:t>The authors declare no conflict of interest.</w:t>
      </w:r>
      <w:bookmarkEnd w:id="23"/>
    </w:p>
    <w:p>
      <w:pPr>
        <w:pStyle w:val="Heading"/>
        <w:jc w:val="center"/>
        <w:rPr>
          <w:caps w:val="1"/>
          <w:outline w:val="0"/>
          <w:color w:val="000000"/>
          <w14:textFill>
            <w14:solidFill>
              <w14:srgbClr w14:val="000000"/>
            </w14:solidFill>
          </w14:textFill>
        </w:rPr>
      </w:pPr>
      <w:bookmarkStart w:name="funding" w:id="24"/>
      <w:r>
        <w:rPr>
          <w:rStyle w:val="Heading.0"/>
          <w:caps w:val="1"/>
          <w:outline w:val="0"/>
          <w:color w:val="000000"/>
          <w:rtl w:val="0"/>
          <w:lang w:val="en-US"/>
          <w14:textFill>
            <w14:solidFill>
              <w14:srgbClr w14:val="000000"/>
            </w14:solidFill>
          </w14:textFill>
        </w:rPr>
        <w:t>Funding</w:t>
      </w:r>
    </w:p>
    <w:p>
      <w:pPr>
        <w:pStyle w:val="First Paragraph"/>
      </w:pPr>
      <w:r>
        <w:rPr>
          <w:rStyle w:val="None A"/>
          <w:rtl w:val="0"/>
          <w:lang w:val="en-US"/>
        </w:rPr>
        <w:t>This study was made possible by a grant from the National Science Foundation awarded to M.A.B. (DEB-1145733). Many of the specimens examined were collected under grants awareded to A.A. (DEB-0103794, DEB-0445213, DEB-4001715). We gratefully acknowledge support from the School of Life Sciences and the Chancellor</w:t>
      </w:r>
      <w:r>
        <w:rPr>
          <w:rStyle w:val="None A"/>
          <w:rtl w:val="0"/>
          <w:lang w:val="en-US"/>
        </w:rPr>
        <w:t>ʻ</w:t>
      </w:r>
      <w:r>
        <w:rPr>
          <w:rStyle w:val="None A"/>
          <w:rtl w:val="0"/>
          <w:lang w:val="en-US"/>
        </w:rPr>
        <w:t>s Office, University of Hawai</w:t>
      </w:r>
      <w:r>
        <w:rPr>
          <w:rStyle w:val="None A"/>
          <w:rtl w:val="0"/>
          <w:lang w:val="en-US"/>
        </w:rPr>
        <w:t>’</w:t>
      </w:r>
      <w:r>
        <w:rPr>
          <w:rStyle w:val="None A"/>
          <w:rtl w:val="0"/>
          <w:lang w:val="en-US"/>
        </w:rPr>
        <w:t>i at M</w:t>
      </w:r>
      <w:r>
        <w:rPr>
          <w:rStyle w:val="None A"/>
          <w:rtl w:val="0"/>
          <w:lang w:val="en-US"/>
        </w:rPr>
        <w:t>ā</w:t>
      </w:r>
      <w:r>
        <w:rPr>
          <w:rStyle w:val="None A"/>
          <w:rtl w:val="0"/>
          <w:lang w:val="en-US"/>
        </w:rPr>
        <w:t xml:space="preserve">noa. University of Hawaii Information Technology Services </w:t>
      </w:r>
      <w:r>
        <w:rPr>
          <w:rStyle w:val="None A"/>
          <w:rtl w:val="0"/>
          <w:lang w:val="en-US"/>
        </w:rPr>
        <w:t xml:space="preserve">– </w:t>
      </w:r>
      <w:r>
        <w:rPr>
          <w:rStyle w:val="None A"/>
          <w:rtl w:val="0"/>
          <w:lang w:val="en-US"/>
        </w:rPr>
        <w:t>Cyberinfrastructure resources were funded in part by a National Science Foundation Major Research Instrumentation award (CNS-1920304).</w:t>
      </w:r>
      <w:bookmarkEnd w:id="24"/>
    </w:p>
    <w:p>
      <w:pPr>
        <w:pStyle w:val="Heading"/>
        <w:jc w:val="center"/>
        <w:rPr>
          <w:rStyle w:val="Heading.0"/>
          <w:caps w:val="1"/>
          <w:outline w:val="0"/>
          <w:color w:val="000000"/>
          <w14:textFill>
            <w14:solidFill>
              <w14:srgbClr w14:val="000000"/>
            </w14:solidFill>
          </w14:textFill>
        </w:rPr>
      </w:pPr>
      <w:bookmarkStart w:name="dataavailabilitystatement" w:id="25"/>
      <w:r>
        <w:rPr>
          <w:rStyle w:val="Heading.0"/>
          <w:caps w:val="1"/>
          <w:outline w:val="0"/>
          <w:color w:val="000000"/>
          <w:rtl w:val="0"/>
          <w:lang w:val="en-US"/>
          <w14:textFill>
            <w14:solidFill>
              <w14:srgbClr w14:val="000000"/>
            </w14:solidFill>
          </w14:textFill>
        </w:rPr>
        <w:t>Data Availability Statement</w:t>
      </w:r>
    </w:p>
    <w:p>
      <w:pPr>
        <w:pStyle w:val="First Paragraph"/>
      </w:pPr>
      <w:r>
        <w:rPr>
          <w:rStyle w:val="None A"/>
          <w:rtl w:val="0"/>
          <w:lang w:val="en-US"/>
        </w:rPr>
        <w:t xml:space="preserve">The data underlying this article are available in the GenBank Nucleotide Database [accession numbers PV703761-PV703777] at </w:t>
      </w:r>
      <w:r>
        <w:rPr>
          <w:rStyle w:val="Hyperlink.0"/>
        </w:rPr>
        <w:fldChar w:fldCharType="begin" w:fldLock="0"/>
      </w:r>
      <w:r>
        <w:rPr>
          <w:rStyle w:val="Hyperlink.0"/>
        </w:rPr>
        <w:instrText xml:space="preserve"> HYPERLINK "https://www.ncbi.nlm.nih.gov/genbank/"</w:instrText>
      </w:r>
      <w:r>
        <w:rPr>
          <w:rStyle w:val="Hyperlink.0"/>
        </w:rPr>
        <w:fldChar w:fldCharType="separate" w:fldLock="0"/>
      </w:r>
      <w:r>
        <w:rPr>
          <w:rStyle w:val="Hyperlink.0"/>
          <w:rtl w:val="0"/>
        </w:rPr>
        <w:t>https://www.ncbi.nlm.nih.gov/genbank/</w:t>
      </w:r>
      <w:r>
        <w:rPr/>
        <w:fldChar w:fldCharType="end" w:fldLock="0"/>
      </w:r>
      <w:r>
        <w:rPr>
          <w:rStyle w:val="None A"/>
          <w:rtl w:val="0"/>
        </w:rPr>
        <w:t xml:space="preserve">. The codes and datafiles needed to reproduce these results can be found at </w:t>
      </w:r>
      <w:r>
        <w:rPr>
          <w:rStyle w:val="Hyperlink.0"/>
        </w:rPr>
        <w:fldChar w:fldCharType="begin" w:fldLock="0"/>
      </w:r>
      <w:r>
        <w:rPr>
          <w:rStyle w:val="Hyperlink.0"/>
        </w:rPr>
        <w:instrText xml:space="preserve"> HYPERLINK "https://github.com/mbutler808/Fisher_et_al_2026_BJLS_Hiding_In_The_Trees"</w:instrText>
      </w:r>
      <w:r>
        <w:rPr>
          <w:rStyle w:val="Hyperlink.0"/>
        </w:rPr>
        <w:fldChar w:fldCharType="separate" w:fldLock="0"/>
      </w:r>
      <w:r>
        <w:rPr>
          <w:rStyle w:val="Hyperlink.0"/>
          <w:rtl w:val="0"/>
        </w:rPr>
        <w:t>https://github.com/mbutler808/Fisher_et_al_2026_BJLS_Hiding_In_The_Trees</w:t>
      </w:r>
      <w:r>
        <w:rPr/>
        <w:fldChar w:fldCharType="end" w:fldLock="0"/>
      </w:r>
      <w:r>
        <w:rPr>
          <w:rStyle w:val="None A"/>
          <w:rtl w:val="0"/>
        </w:rPr>
        <w:t xml:space="preserve"> with DOI [supplied upon publication].</w:t>
      </w:r>
      <w:bookmarkEnd w:id="25"/>
    </w:p>
    <w:p>
      <w:pPr>
        <w:pStyle w:val="Heading"/>
        <w:spacing w:line="480" w:lineRule="auto"/>
        <w:jc w:val="center"/>
        <w:rPr>
          <w:caps w:val="1"/>
          <w:outline w:val="0"/>
          <w:color w:val="000000"/>
          <w14:textFill>
            <w14:solidFill>
              <w14:srgbClr w14:val="000000"/>
            </w14:solidFill>
          </w14:textFill>
        </w:rPr>
      </w:pPr>
      <w:bookmarkStart w:name="references" w:id="26"/>
      <w:r>
        <w:rPr>
          <w:rStyle w:val="Heading.0"/>
          <w:caps w:val="1"/>
          <w:outline w:val="0"/>
          <w:color w:val="000000"/>
          <w:rtl w:val="0"/>
          <w:lang w:val="en-US"/>
          <w14:textFill>
            <w14:solidFill>
              <w14:srgbClr w14:val="000000"/>
            </w14:solidFill>
          </w14:textFill>
        </w:rPr>
        <w:t>References</w:t>
      </w:r>
      <w:bookmarkEnd w:id="26"/>
    </w:p>
    <w:p>
      <w:pPr>
        <w:pStyle w:val="Body A"/>
        <w:spacing w:line="480" w:lineRule="auto"/>
        <w:ind w:left="360" w:hanging="360"/>
      </w:pPr>
      <w:bookmarkStart w:name="refAhl1933" w:id="27"/>
      <w:r>
        <w:rPr>
          <w:rStyle w:val="None"/>
          <w:b w:val="1"/>
          <w:bCs w:val="1"/>
          <w:rtl w:val="0"/>
        </w:rPr>
        <w:t>A</w:t>
      </w:r>
      <w:bookmarkEnd w:id="27"/>
      <w:bookmarkStart w:name="refs" w:id="28"/>
      <w:r>
        <w:rPr>
          <w:rStyle w:val="None"/>
          <w:b w:val="1"/>
          <w:bCs w:val="1"/>
          <w:rtl w:val="0"/>
          <w:lang w:val="de-DE"/>
        </w:rPr>
        <w:t>hl E</w:t>
      </w:r>
      <w:r>
        <w:rPr>
          <w:rStyle w:val="None A"/>
          <w:rtl w:val="0"/>
        </w:rPr>
        <w:t xml:space="preserve">. </w:t>
      </w:r>
      <w:r>
        <w:rPr>
          <w:rStyle w:val="None"/>
          <w:b w:val="1"/>
          <w:bCs w:val="1"/>
          <w:rtl w:val="0"/>
        </w:rPr>
        <w:t>1933</w:t>
      </w:r>
      <w:r>
        <w:rPr>
          <w:rStyle w:val="None"/>
          <w:rtl w:val="0"/>
          <w:lang w:val="de-DE"/>
        </w:rPr>
        <w:t>. Ergebnisse der Celebes-und Halmaheira-Expedition Heinrich 1930</w:t>
      </w:r>
      <w:r>
        <w:rPr>
          <w:rStyle w:val="None A"/>
          <w:rtl w:val="0"/>
        </w:rPr>
        <w:t>–</w:t>
      </w:r>
      <w:r>
        <w:rPr>
          <w:rStyle w:val="None A"/>
          <w:rtl w:val="0"/>
        </w:rPr>
        <w:t xml:space="preserve">32. </w:t>
      </w:r>
      <w:r>
        <w:rPr>
          <w:rStyle w:val="None"/>
          <w:i w:val="1"/>
          <w:iCs w:val="1"/>
          <w:rtl w:val="0"/>
          <w:lang w:val="de-DE"/>
        </w:rPr>
        <w:t>Mitteilungen aus dem Zoologischen Museum in Berlin</w:t>
      </w:r>
      <w:r>
        <w:rPr>
          <w:rStyle w:val="None A"/>
          <w:rtl w:val="0"/>
        </w:rPr>
        <w:t xml:space="preserve"> </w:t>
      </w:r>
      <w:r>
        <w:rPr>
          <w:rStyle w:val="None"/>
          <w:b w:val="1"/>
          <w:bCs w:val="1"/>
          <w:rtl w:val="0"/>
        </w:rPr>
        <w:t>19</w:t>
      </w:r>
      <w:r>
        <w:rPr>
          <w:rStyle w:val="None A"/>
          <w:rtl w:val="0"/>
        </w:rPr>
        <w:t>: 577</w:t>
      </w:r>
      <w:r>
        <w:rPr>
          <w:rStyle w:val="None A"/>
          <w:rtl w:val="0"/>
        </w:rPr>
        <w:t>–</w:t>
      </w:r>
      <w:r>
        <w:rPr>
          <w:rStyle w:val="None A"/>
          <w:rtl w:val="0"/>
        </w:rPr>
        <w:t>583.</w:t>
      </w:r>
      <w:bookmarkEnd w:id="28"/>
    </w:p>
    <w:p>
      <w:pPr>
        <w:pStyle w:val="Body A"/>
        <w:spacing w:line="480" w:lineRule="auto"/>
        <w:ind w:left="360" w:hanging="360"/>
      </w:pPr>
      <w:bookmarkStart w:name="refAlcala1986" w:id="29"/>
      <w:r>
        <w:rPr>
          <w:rStyle w:val="None"/>
          <w:b w:val="1"/>
          <w:bCs w:val="1"/>
          <w:rtl w:val="0"/>
          <w:lang w:val="es-ES_tradnl"/>
        </w:rPr>
        <w:t>Alcala AC</w:t>
      </w:r>
      <w:r>
        <w:rPr>
          <w:rStyle w:val="None A"/>
          <w:rtl w:val="0"/>
        </w:rPr>
        <w:t xml:space="preserve">. </w:t>
      </w:r>
      <w:r>
        <w:rPr>
          <w:rStyle w:val="None"/>
          <w:b w:val="1"/>
          <w:bCs w:val="1"/>
          <w:rtl w:val="0"/>
        </w:rPr>
        <w:t>1986</w:t>
      </w:r>
      <w:r>
        <w:rPr>
          <w:rStyle w:val="None A"/>
          <w:rtl w:val="0"/>
        </w:rPr>
        <w:t xml:space="preserve">. </w:t>
      </w:r>
      <w:r>
        <w:rPr>
          <w:rStyle w:val="Hyperlink.1"/>
        </w:rPr>
        <w:fldChar w:fldCharType="begin" w:fldLock="0"/>
      </w:r>
      <w:r>
        <w:rPr>
          <w:rStyle w:val="Hyperlink.1"/>
        </w:rPr>
        <w:instrText xml:space="preserve"> HYPERLINK "https://books.google.com/books?id=QKMtAAAAMAAJ"</w:instrText>
      </w:r>
      <w:r>
        <w:rPr>
          <w:rStyle w:val="Hyperlink.1"/>
        </w:rPr>
        <w:fldChar w:fldCharType="separate" w:fldLock="0"/>
      </w:r>
      <w:r>
        <w:rPr>
          <w:rStyle w:val="Hyperlink.1"/>
          <w:rtl w:val="0"/>
          <w:lang w:val="en-US"/>
        </w:rPr>
        <w:t>Guide to Philippine Flora and Fauna: Amphibians and Reptiles</w:t>
      </w:r>
      <w:r>
        <w:rPr/>
        <w:fldChar w:fldCharType="end" w:fldLock="0"/>
      </w:r>
      <w:r>
        <w:rPr>
          <w:rStyle w:val="None"/>
          <w:rtl w:val="0"/>
          <w:lang w:val="en-US"/>
        </w:rPr>
        <w:t xml:space="preserve"> (Natural Resources Management Center (Philippines), Ed.). Natural Resources Management Center, Ministry of Natural Resources; University of the Philippines.</w:t>
      </w:r>
      <w:bookmarkEnd w:id="29"/>
    </w:p>
    <w:p>
      <w:pPr>
        <w:pStyle w:val="Body A"/>
        <w:spacing w:line="480" w:lineRule="auto"/>
        <w:ind w:left="360" w:hanging="360"/>
      </w:pPr>
      <w:bookmarkStart w:name="refBalinton2015" w:id="30"/>
      <w:r>
        <w:rPr>
          <w:rStyle w:val="None"/>
          <w:b w:val="1"/>
          <w:bCs w:val="1"/>
          <w:rtl w:val="0"/>
        </w:rPr>
        <w:t>Balinton RB &amp; de la Se</w:t>
      </w:r>
      <w:r>
        <w:rPr>
          <w:rStyle w:val="None"/>
          <w:b w:val="1"/>
          <w:bCs w:val="1"/>
          <w:rtl w:val="0"/>
          <w:lang w:val="es-ES_tradnl"/>
        </w:rPr>
        <w:t>ñ</w:t>
      </w:r>
      <w:r>
        <w:rPr>
          <w:rStyle w:val="None"/>
          <w:b w:val="1"/>
          <w:bCs w:val="1"/>
          <w:rtl w:val="0"/>
          <w:lang w:val="it-IT"/>
        </w:rPr>
        <w:t>a CA</w:t>
      </w:r>
      <w:r>
        <w:rPr>
          <w:rStyle w:val="None A"/>
          <w:rtl w:val="0"/>
        </w:rPr>
        <w:t xml:space="preserve">. </w:t>
      </w:r>
      <w:r>
        <w:rPr>
          <w:rStyle w:val="None"/>
          <w:b w:val="1"/>
          <w:bCs w:val="1"/>
          <w:rtl w:val="0"/>
        </w:rPr>
        <w:t>2015</w:t>
      </w:r>
      <w:r>
        <w:rPr>
          <w:rStyle w:val="None A"/>
          <w:rtl w:val="0"/>
        </w:rPr>
        <w:t xml:space="preserve">. </w:t>
      </w:r>
      <w:r>
        <w:rPr>
          <w:rStyle w:val="Hyperlink.2"/>
        </w:rPr>
        <w:fldChar w:fldCharType="begin" w:fldLock="0"/>
      </w:r>
      <w:r>
        <w:rPr>
          <w:rStyle w:val="Hyperlink.2"/>
        </w:rPr>
        <w:instrText xml:space="preserve"> HYPERLINK "https://api.semanticscholar.org/CorpusID:202544117"</w:instrText>
      </w:r>
      <w:r>
        <w:rPr>
          <w:rStyle w:val="Hyperlink.2"/>
        </w:rPr>
        <w:fldChar w:fldCharType="separate" w:fldLock="0"/>
      </w:r>
      <w:r>
        <w:rPr>
          <w:rStyle w:val="Hyperlink.2"/>
          <w:rtl w:val="0"/>
          <w:lang w:val="en-US"/>
        </w:rPr>
        <w:t xml:space="preserve">Karyotype of a rare minute frog, </w:t>
      </w:r>
      <w:r>
        <w:rPr>
          <w:rStyle w:val="Hyperlink.1.0"/>
          <w:rtl w:val="0"/>
        </w:rPr>
        <w:t>Oreophryne</w:t>
      </w:r>
      <w:r>
        <w:rPr>
          <w:rStyle w:val="None"/>
          <w:outline w:val="0"/>
          <w:color w:val="000000"/>
          <w:u w:val="single" w:color="000000"/>
          <w:rtl w:val="0"/>
          <w:lang w:val="it-IT"/>
          <w14:textFill>
            <w14:solidFill>
              <w14:srgbClr w14:val="000000"/>
            </w14:solidFill>
          </w14:textFill>
        </w:rPr>
        <w:t xml:space="preserve"> cf. anulata (Anura: Microhylidae), in Agusan Marsh, Mindanao, Philippines</w:t>
      </w:r>
      <w:r>
        <w:rPr/>
        <w:fldChar w:fldCharType="end" w:fldLock="0"/>
      </w:r>
      <w:r>
        <w:rPr>
          <w:rStyle w:val="None A"/>
          <w:rtl w:val="0"/>
        </w:rPr>
        <w:t xml:space="preserve">. </w:t>
      </w:r>
      <w:r>
        <w:rPr>
          <w:rStyle w:val="None"/>
          <w:i w:val="1"/>
          <w:iCs w:val="1"/>
          <w:rtl w:val="0"/>
          <w:lang w:val="en-US"/>
        </w:rPr>
        <w:t>The Herpetological Bulletin</w:t>
      </w:r>
      <w:r>
        <w:rPr>
          <w:rStyle w:val="None A"/>
          <w:rtl w:val="0"/>
        </w:rPr>
        <w:t>.</w:t>
      </w:r>
      <w:bookmarkEnd w:id="30"/>
    </w:p>
    <w:p>
      <w:pPr>
        <w:pStyle w:val="Body A"/>
        <w:spacing w:line="480" w:lineRule="auto"/>
        <w:ind w:left="360" w:hanging="360"/>
      </w:pPr>
      <w:bookmarkStart w:name="refBoettger1895" w:id="31"/>
      <w:r>
        <w:rPr>
          <w:rStyle w:val="None"/>
          <w:b w:val="1"/>
          <w:bCs w:val="1"/>
          <w:rtl w:val="0"/>
          <w:lang w:val="nl-NL"/>
        </w:rPr>
        <w:t>Boettger O</w:t>
      </w:r>
      <w:r>
        <w:rPr>
          <w:rStyle w:val="None A"/>
          <w:rtl w:val="0"/>
        </w:rPr>
        <w:t xml:space="preserve">. </w:t>
      </w:r>
      <w:r>
        <w:rPr>
          <w:rStyle w:val="None"/>
          <w:b w:val="1"/>
          <w:bCs w:val="1"/>
          <w:rtl w:val="0"/>
        </w:rPr>
        <w:t>1895</w:t>
      </w:r>
      <w:r>
        <w:rPr>
          <w:rStyle w:val="None"/>
          <w:rtl w:val="0"/>
          <w:lang w:val="de-DE"/>
        </w:rPr>
        <w:t>. Liste der Reptilien und Batrachier der Insel Halmaheira nach den Sammlungen Prof. Dr. W. K</w:t>
      </w:r>
      <w:r>
        <w:rPr>
          <w:rStyle w:val="None A"/>
          <w:rtl w:val="0"/>
        </w:rPr>
        <w:t>ü</w:t>
      </w:r>
      <w:r>
        <w:rPr>
          <w:rStyle w:val="None"/>
          <w:rtl w:val="0"/>
          <w:lang w:val="en-US"/>
        </w:rPr>
        <w:t>kenthal</w:t>
      </w:r>
      <w:r>
        <w:rPr>
          <w:rStyle w:val="None"/>
          <w:rtl w:val="1"/>
        </w:rPr>
        <w:t>’</w:t>
      </w:r>
      <w:r>
        <w:rPr>
          <w:rStyle w:val="None"/>
          <w:rtl w:val="0"/>
          <w:lang w:val="pt-PT"/>
        </w:rPr>
        <w:t xml:space="preserve">s. </w:t>
      </w:r>
      <w:r>
        <w:rPr>
          <w:rStyle w:val="None"/>
          <w:i w:val="1"/>
          <w:iCs w:val="1"/>
          <w:rtl w:val="0"/>
          <w:lang w:val="de-DE"/>
        </w:rPr>
        <w:t>Zoologischer Anzeiger</w:t>
      </w:r>
      <w:r>
        <w:rPr>
          <w:rStyle w:val="None A"/>
          <w:rtl w:val="0"/>
        </w:rPr>
        <w:t xml:space="preserve"> </w:t>
      </w:r>
      <w:r>
        <w:rPr>
          <w:rStyle w:val="None"/>
          <w:b w:val="1"/>
          <w:bCs w:val="1"/>
          <w:rtl w:val="0"/>
        </w:rPr>
        <w:t>18</w:t>
      </w:r>
      <w:r>
        <w:rPr>
          <w:rStyle w:val="None A"/>
          <w:rtl w:val="0"/>
        </w:rPr>
        <w:t>: 129</w:t>
      </w:r>
      <w:r>
        <w:rPr>
          <w:rStyle w:val="None A"/>
          <w:rtl w:val="0"/>
        </w:rPr>
        <w:t>–</w:t>
      </w:r>
      <w:r>
        <w:rPr>
          <w:rStyle w:val="None A"/>
          <w:rtl w:val="0"/>
        </w:rPr>
        <w:t>138.</w:t>
      </w:r>
      <w:bookmarkEnd w:id="31"/>
    </w:p>
    <w:p>
      <w:pPr>
        <w:pStyle w:val="Body A"/>
        <w:spacing w:line="480" w:lineRule="auto"/>
        <w:ind w:left="360" w:hanging="360"/>
      </w:pPr>
      <w:bookmarkStart w:name="refBoulenger1888" w:id="32"/>
      <w:r>
        <w:rPr>
          <w:rStyle w:val="None"/>
          <w:b w:val="1"/>
          <w:bCs w:val="1"/>
          <w:rtl w:val="0"/>
        </w:rPr>
        <w:t>Boulenger GA</w:t>
      </w:r>
      <w:r>
        <w:rPr>
          <w:rStyle w:val="None A"/>
          <w:rtl w:val="0"/>
        </w:rPr>
        <w:t xml:space="preserve">. </w:t>
      </w:r>
      <w:r>
        <w:rPr>
          <w:rStyle w:val="None"/>
          <w:b w:val="1"/>
          <w:bCs w:val="1"/>
          <w:rtl w:val="0"/>
        </w:rPr>
        <w:t>1888</w:t>
      </w:r>
      <w:r>
        <w:rPr>
          <w:rStyle w:val="None"/>
          <w:rtl w:val="0"/>
          <w:lang w:val="en-US"/>
        </w:rPr>
        <w:t xml:space="preserve">. Descriptions of new reptiles and batrachians obtained by Mr. H. O. Forbes in New Guinea. </w:t>
      </w:r>
      <w:r>
        <w:rPr>
          <w:rStyle w:val="None"/>
          <w:i w:val="1"/>
          <w:iCs w:val="1"/>
          <w:rtl w:val="0"/>
          <w:lang w:val="en-US"/>
        </w:rPr>
        <w:t>Annals and Magazine of Natural History, Series 6,</w:t>
      </w:r>
      <w:r>
        <w:rPr>
          <w:rStyle w:val="None A"/>
          <w:rtl w:val="0"/>
        </w:rPr>
        <w:t xml:space="preserve"> </w:t>
      </w:r>
      <w:r>
        <w:rPr>
          <w:rStyle w:val="None"/>
          <w:b w:val="1"/>
          <w:bCs w:val="1"/>
          <w:rtl w:val="0"/>
        </w:rPr>
        <w:t>1</w:t>
      </w:r>
      <w:r>
        <w:rPr>
          <w:rStyle w:val="None"/>
          <w:rtl w:val="0"/>
          <w:lang w:val="ru-RU"/>
        </w:rPr>
        <w:t>: 343</w:t>
      </w:r>
      <w:r>
        <w:rPr>
          <w:rStyle w:val="None A"/>
          <w:rtl w:val="0"/>
        </w:rPr>
        <w:t>–</w:t>
      </w:r>
      <w:r>
        <w:rPr>
          <w:rStyle w:val="None A"/>
          <w:rtl w:val="0"/>
        </w:rPr>
        <w:t>346.</w:t>
      </w:r>
      <w:bookmarkEnd w:id="32"/>
    </w:p>
    <w:p>
      <w:pPr>
        <w:pStyle w:val="Body A"/>
        <w:spacing w:line="480" w:lineRule="auto"/>
        <w:ind w:left="360" w:hanging="360"/>
      </w:pPr>
      <w:bookmarkStart w:name="refBoulenger1890" w:id="33"/>
      <w:r>
        <w:rPr>
          <w:rStyle w:val="None"/>
          <w:b w:val="1"/>
          <w:bCs w:val="1"/>
          <w:rtl w:val="0"/>
        </w:rPr>
        <w:t>Boulenger GA</w:t>
      </w:r>
      <w:r>
        <w:rPr>
          <w:rStyle w:val="None A"/>
          <w:rtl w:val="0"/>
        </w:rPr>
        <w:t xml:space="preserve">. </w:t>
      </w:r>
      <w:r>
        <w:rPr>
          <w:rStyle w:val="None"/>
          <w:b w:val="1"/>
          <w:bCs w:val="1"/>
          <w:rtl w:val="0"/>
        </w:rPr>
        <w:t>1890</w:t>
      </w:r>
      <w:r>
        <w:rPr>
          <w:rStyle w:val="None"/>
          <w:rtl w:val="0"/>
          <w:lang w:val="en-US"/>
        </w:rPr>
        <w:t xml:space="preserve">. Second report on additions to the batrachian collection in the Natural-History Museum. </w:t>
      </w:r>
      <w:r>
        <w:rPr>
          <w:rStyle w:val="None"/>
          <w:i w:val="1"/>
          <w:iCs w:val="1"/>
          <w:rtl w:val="0"/>
          <w:lang w:val="en-US"/>
        </w:rPr>
        <w:t>Proceedings of the Zoological Society of London</w:t>
      </w:r>
      <w:r>
        <w:rPr>
          <w:rStyle w:val="None A"/>
          <w:rtl w:val="0"/>
        </w:rPr>
        <w:t>: 323</w:t>
      </w:r>
      <w:r>
        <w:rPr>
          <w:rStyle w:val="None A"/>
          <w:rtl w:val="0"/>
        </w:rPr>
        <w:t>–</w:t>
      </w:r>
      <w:r>
        <w:rPr>
          <w:rStyle w:val="None A"/>
          <w:rtl w:val="0"/>
        </w:rPr>
        <w:t>328.</w:t>
      </w:r>
      <w:bookmarkEnd w:id="33"/>
    </w:p>
    <w:p>
      <w:pPr>
        <w:pStyle w:val="Body A"/>
        <w:spacing w:line="480" w:lineRule="auto"/>
        <w:ind w:left="360" w:hanging="360"/>
      </w:pPr>
      <w:bookmarkStart w:name="refBoulenger1896" w:id="34"/>
      <w:r>
        <w:rPr>
          <w:rStyle w:val="None"/>
          <w:b w:val="1"/>
          <w:bCs w:val="1"/>
          <w:rtl w:val="0"/>
        </w:rPr>
        <w:t>Boulenger GA</w:t>
      </w:r>
      <w:r>
        <w:rPr>
          <w:rStyle w:val="None A"/>
          <w:rtl w:val="0"/>
        </w:rPr>
        <w:t xml:space="preserve">. </w:t>
      </w:r>
      <w:r>
        <w:rPr>
          <w:rStyle w:val="None"/>
          <w:b w:val="1"/>
          <w:bCs w:val="1"/>
          <w:rtl w:val="0"/>
        </w:rPr>
        <w:t>1896</w:t>
      </w:r>
      <w:r>
        <w:rPr>
          <w:rStyle w:val="None A"/>
          <w:rtl w:val="0"/>
        </w:rPr>
        <w:t xml:space="preserve">. </w:t>
      </w:r>
      <w:r>
        <w:rPr>
          <w:rStyle w:val="Hyperlink.2"/>
        </w:rPr>
        <w:fldChar w:fldCharType="begin" w:fldLock="0"/>
      </w:r>
      <w:r>
        <w:rPr>
          <w:rStyle w:val="Hyperlink.2"/>
        </w:rPr>
        <w:instrText xml:space="preserve"> HYPERLINK "https://www.biodiversitylibrary.org/item/53362"</w:instrText>
      </w:r>
      <w:r>
        <w:rPr>
          <w:rStyle w:val="Hyperlink.2"/>
        </w:rPr>
        <w:fldChar w:fldCharType="separate" w:fldLock="0"/>
      </w:r>
      <w:r>
        <w:rPr>
          <w:rStyle w:val="Hyperlink.2"/>
          <w:rtl w:val="0"/>
          <w:lang w:val="en-US"/>
        </w:rPr>
        <w:t>Descriptions of new reptiles and batrachians obtained by Mr. Alfred Everett in Celebes and Jampea</w:t>
      </w:r>
      <w:r>
        <w:rPr/>
        <w:fldChar w:fldCharType="end" w:fldLock="0"/>
      </w:r>
      <w:r>
        <w:rPr>
          <w:rStyle w:val="None A"/>
          <w:rtl w:val="0"/>
        </w:rPr>
        <w:t xml:space="preserve">. </w:t>
      </w:r>
      <w:r>
        <w:rPr>
          <w:rStyle w:val="None"/>
          <w:i w:val="1"/>
          <w:iCs w:val="1"/>
          <w:rtl w:val="0"/>
          <w:lang w:val="en-US"/>
        </w:rPr>
        <w:t>The Annals and magazine of natural history; zoology, botany, and geology, Series 6</w:t>
      </w:r>
      <w:r>
        <w:rPr>
          <w:rStyle w:val="None A"/>
          <w:rtl w:val="0"/>
        </w:rPr>
        <w:t xml:space="preserve"> </w:t>
      </w:r>
      <w:r>
        <w:rPr>
          <w:rStyle w:val="None"/>
          <w:b w:val="1"/>
          <w:bCs w:val="1"/>
          <w:rtl w:val="0"/>
        </w:rPr>
        <w:t>18</w:t>
      </w:r>
      <w:r>
        <w:rPr>
          <w:rStyle w:val="None A"/>
          <w:rtl w:val="0"/>
        </w:rPr>
        <w:t>: 62</w:t>
      </w:r>
      <w:r>
        <w:rPr>
          <w:rStyle w:val="None A"/>
          <w:rtl w:val="0"/>
        </w:rPr>
        <w:t>–</w:t>
      </w:r>
      <w:r>
        <w:rPr>
          <w:rStyle w:val="None A"/>
          <w:rtl w:val="0"/>
        </w:rPr>
        <w:t>64.</w:t>
      </w:r>
      <w:bookmarkEnd w:id="34"/>
    </w:p>
    <w:p>
      <w:pPr>
        <w:pStyle w:val="Body A"/>
        <w:spacing w:line="480" w:lineRule="auto"/>
        <w:ind w:left="360" w:hanging="360"/>
      </w:pPr>
      <w:bookmarkStart w:name="refBoulenger1897" w:id="35"/>
      <w:r>
        <w:rPr>
          <w:rStyle w:val="None"/>
          <w:b w:val="1"/>
          <w:bCs w:val="1"/>
          <w:rtl w:val="0"/>
        </w:rPr>
        <w:t>Boulenger GA</w:t>
      </w:r>
      <w:r>
        <w:rPr>
          <w:rStyle w:val="None A"/>
          <w:rtl w:val="0"/>
        </w:rPr>
        <w:t xml:space="preserve">. </w:t>
      </w:r>
      <w:r>
        <w:rPr>
          <w:rStyle w:val="None"/>
          <w:b w:val="1"/>
          <w:bCs w:val="1"/>
          <w:rtl w:val="0"/>
        </w:rPr>
        <w:t>1897</w:t>
      </w:r>
      <w:r>
        <w:rPr>
          <w:rStyle w:val="None"/>
          <w:rtl w:val="0"/>
          <w:lang w:val="en-US"/>
        </w:rPr>
        <w:t xml:space="preserve">. Descriptions of new lizards and frogs from Mount Victoria, Owen Stanley Range, New Guinea, collected by Mr. A. S. Anthony. </w:t>
      </w:r>
      <w:r>
        <w:rPr>
          <w:rStyle w:val="None"/>
          <w:i w:val="1"/>
          <w:iCs w:val="1"/>
          <w:rtl w:val="0"/>
          <w:lang w:val="en-US"/>
        </w:rPr>
        <w:t>Annals and Magazine of Natural History, Series 6</w:t>
      </w:r>
      <w:r>
        <w:rPr>
          <w:rStyle w:val="None A"/>
          <w:rtl w:val="0"/>
        </w:rPr>
        <w:t xml:space="preserve"> </w:t>
      </w:r>
      <w:r>
        <w:rPr>
          <w:rStyle w:val="None"/>
          <w:b w:val="1"/>
          <w:bCs w:val="1"/>
          <w:rtl w:val="0"/>
        </w:rPr>
        <w:t>19</w:t>
      </w:r>
      <w:r>
        <w:rPr>
          <w:rStyle w:val="None A"/>
          <w:rtl w:val="0"/>
        </w:rPr>
        <w:t>: 6</w:t>
      </w:r>
      <w:r>
        <w:rPr>
          <w:rStyle w:val="None A"/>
          <w:rtl w:val="0"/>
        </w:rPr>
        <w:t>–</w:t>
      </w:r>
      <w:r>
        <w:rPr>
          <w:rStyle w:val="None A"/>
          <w:rtl w:val="0"/>
        </w:rPr>
        <w:t>13.</w:t>
      </w:r>
      <w:bookmarkEnd w:id="35"/>
    </w:p>
    <w:p>
      <w:pPr>
        <w:pStyle w:val="Body A"/>
        <w:spacing w:line="480" w:lineRule="auto"/>
        <w:ind w:left="360" w:hanging="360"/>
      </w:pPr>
      <w:bookmarkStart w:name="refBoulenger1898a" w:id="36"/>
      <w:r>
        <w:rPr>
          <w:rStyle w:val="None"/>
          <w:b w:val="1"/>
          <w:bCs w:val="1"/>
          <w:rtl w:val="0"/>
        </w:rPr>
        <w:t>Boulenger GA</w:t>
      </w:r>
      <w:r>
        <w:rPr>
          <w:rStyle w:val="None A"/>
          <w:rtl w:val="0"/>
        </w:rPr>
        <w:t xml:space="preserve">. </w:t>
      </w:r>
      <w:r>
        <w:rPr>
          <w:rStyle w:val="None"/>
          <w:b w:val="1"/>
          <w:bCs w:val="1"/>
          <w:rtl w:val="0"/>
        </w:rPr>
        <w:t>1898B</w:t>
      </w:r>
      <w:r>
        <w:rPr>
          <w:rStyle w:val="None"/>
          <w:rtl w:val="0"/>
          <w:lang w:val="en-US"/>
        </w:rPr>
        <w:t xml:space="preserve">. Fourth report on additions to the batrachian collection in the Natural-History Museum. </w:t>
      </w:r>
      <w:r>
        <w:rPr>
          <w:rStyle w:val="None"/>
          <w:i w:val="1"/>
          <w:iCs w:val="1"/>
          <w:rtl w:val="0"/>
          <w:lang w:val="en-US"/>
        </w:rPr>
        <w:t>Proceedings of the Zoological Society of London</w:t>
      </w:r>
      <w:r>
        <w:rPr>
          <w:rStyle w:val="None A"/>
          <w:rtl w:val="0"/>
        </w:rPr>
        <w:t>: 473</w:t>
      </w:r>
      <w:r>
        <w:rPr>
          <w:rStyle w:val="None A"/>
          <w:rtl w:val="0"/>
        </w:rPr>
        <w:t>–</w:t>
      </w:r>
      <w:r>
        <w:rPr>
          <w:rStyle w:val="None A"/>
          <w:rtl w:val="0"/>
        </w:rPr>
        <w:t>482.</w:t>
      </w:r>
      <w:bookmarkEnd w:id="36"/>
    </w:p>
    <w:p>
      <w:pPr>
        <w:pStyle w:val="Body A"/>
        <w:spacing w:line="480" w:lineRule="auto"/>
        <w:ind w:left="360" w:hanging="360"/>
      </w:pPr>
      <w:bookmarkStart w:name="refBoulenger1898" w:id="37"/>
      <w:r>
        <w:rPr>
          <w:rStyle w:val="None"/>
          <w:b w:val="1"/>
          <w:bCs w:val="1"/>
          <w:rtl w:val="0"/>
        </w:rPr>
        <w:t>Boulenger GA</w:t>
      </w:r>
      <w:r>
        <w:rPr>
          <w:rStyle w:val="None A"/>
          <w:rtl w:val="0"/>
        </w:rPr>
        <w:t xml:space="preserve">. </w:t>
      </w:r>
      <w:r>
        <w:rPr>
          <w:rStyle w:val="None"/>
          <w:b w:val="1"/>
          <w:bCs w:val="1"/>
          <w:rtl w:val="0"/>
        </w:rPr>
        <w:t>1898A</w:t>
      </w:r>
      <w:r>
        <w:rPr>
          <w:rStyle w:val="None"/>
          <w:rtl w:val="0"/>
          <w:lang w:val="en-US"/>
        </w:rPr>
        <w:t xml:space="preserve">. An account of the reptiles and batrachians collected by Dr. L. Loria in British New Guinea. </w:t>
      </w:r>
      <w:r>
        <w:rPr>
          <w:rStyle w:val="None"/>
          <w:i w:val="1"/>
          <w:iCs w:val="1"/>
          <w:rtl w:val="0"/>
          <w:lang w:val="it-IT"/>
        </w:rPr>
        <w:t>Annali del Museo civico di storia naturale di Genova, Serie 2</w:t>
      </w:r>
      <w:r>
        <w:rPr>
          <w:rStyle w:val="None A"/>
          <w:rtl w:val="0"/>
        </w:rPr>
        <w:t xml:space="preserve"> </w:t>
      </w:r>
      <w:r>
        <w:rPr>
          <w:rStyle w:val="None"/>
          <w:b w:val="1"/>
          <w:bCs w:val="1"/>
          <w:rtl w:val="0"/>
        </w:rPr>
        <w:t>18</w:t>
      </w:r>
      <w:r>
        <w:rPr>
          <w:rStyle w:val="None A"/>
          <w:rtl w:val="0"/>
        </w:rPr>
        <w:t>: 695</w:t>
      </w:r>
      <w:r>
        <w:rPr>
          <w:rStyle w:val="None A"/>
          <w:rtl w:val="0"/>
        </w:rPr>
        <w:t>–</w:t>
      </w:r>
      <w:r>
        <w:rPr>
          <w:rStyle w:val="None A"/>
          <w:rtl w:val="0"/>
        </w:rPr>
        <w:t>710.</w:t>
      </w:r>
      <w:bookmarkEnd w:id="37"/>
    </w:p>
    <w:p>
      <w:pPr>
        <w:pStyle w:val="Body A"/>
        <w:spacing w:line="480" w:lineRule="auto"/>
        <w:ind w:left="360" w:hanging="360"/>
      </w:pPr>
      <w:bookmarkStart w:name="refBrown2015" w:id="38"/>
      <w:r>
        <w:rPr>
          <w:rStyle w:val="None"/>
          <w:b w:val="1"/>
          <w:bCs w:val="1"/>
          <w:rtl w:val="0"/>
          <w:lang w:val="de-DE"/>
        </w:rPr>
        <w:t>Brown RM, Siler CD, Richards SJ, Diesmos AC &amp; Cannatella DC</w:t>
      </w:r>
      <w:r>
        <w:rPr>
          <w:rStyle w:val="None A"/>
          <w:rtl w:val="0"/>
        </w:rPr>
        <w:t xml:space="preserve">. </w:t>
      </w:r>
      <w:r>
        <w:rPr>
          <w:rStyle w:val="None"/>
          <w:b w:val="1"/>
          <w:bCs w:val="1"/>
          <w:rtl w:val="0"/>
        </w:rPr>
        <w:t>2015</w:t>
      </w:r>
      <w:r>
        <w:rPr>
          <w:rStyle w:val="None A"/>
          <w:rtl w:val="0"/>
        </w:rPr>
        <w:t xml:space="preserve">. </w:t>
      </w:r>
      <w:r>
        <w:rPr>
          <w:rStyle w:val="Hyperlink.2"/>
        </w:rPr>
        <w:fldChar w:fldCharType="begin" w:fldLock="0"/>
      </w:r>
      <w:r>
        <w:rPr>
          <w:rStyle w:val="Hyperlink.2"/>
        </w:rPr>
        <w:instrText xml:space="preserve"> HYPERLINK "https://doi.org/10.1111/zoj.12232"</w:instrText>
      </w:r>
      <w:r>
        <w:rPr>
          <w:rStyle w:val="Hyperlink.2"/>
        </w:rPr>
        <w:fldChar w:fldCharType="separate" w:fldLock="0"/>
      </w:r>
      <w:r>
        <w:rPr>
          <w:rStyle w:val="Hyperlink.2"/>
          <w:rtl w:val="0"/>
          <w:lang w:val="en-US"/>
        </w:rPr>
        <w:t>Multilocus phylogeny and a new classification for Southeast Asian and Melanesian forest frogs (family Ceratobatrachidae)</w:t>
      </w:r>
      <w:r>
        <w:rPr/>
        <w:fldChar w:fldCharType="end" w:fldLock="0"/>
      </w:r>
      <w:r>
        <w:rPr>
          <w:rStyle w:val="None A"/>
          <w:rtl w:val="0"/>
        </w:rPr>
        <w:t xml:space="preserve">. </w:t>
      </w:r>
      <w:r>
        <w:rPr>
          <w:rStyle w:val="None"/>
          <w:i w:val="1"/>
          <w:iCs w:val="1"/>
          <w:rtl w:val="0"/>
          <w:lang w:val="en-US"/>
        </w:rPr>
        <w:t>Zoological Journal of the Linnean Society</w:t>
      </w:r>
      <w:r>
        <w:rPr>
          <w:rStyle w:val="None A"/>
          <w:rtl w:val="0"/>
        </w:rPr>
        <w:t xml:space="preserve"> </w:t>
      </w:r>
      <w:r>
        <w:rPr>
          <w:rStyle w:val="None"/>
          <w:b w:val="1"/>
          <w:bCs w:val="1"/>
          <w:rtl w:val="0"/>
          <w:lang w:val="ru-RU"/>
        </w:rPr>
        <w:t>174</w:t>
      </w:r>
      <w:r>
        <w:rPr>
          <w:rStyle w:val="None A"/>
          <w:rtl w:val="0"/>
        </w:rPr>
        <w:t>: 130</w:t>
      </w:r>
      <w:r>
        <w:rPr>
          <w:rStyle w:val="None A"/>
          <w:rtl w:val="0"/>
        </w:rPr>
        <w:t>–</w:t>
      </w:r>
      <w:r>
        <w:rPr>
          <w:rStyle w:val="None A"/>
          <w:rtl w:val="0"/>
        </w:rPr>
        <w:t>168.</w:t>
      </w:r>
      <w:bookmarkEnd w:id="38"/>
    </w:p>
    <w:p>
      <w:pPr>
        <w:pStyle w:val="Body A"/>
        <w:spacing w:line="480" w:lineRule="auto"/>
        <w:ind w:left="360" w:hanging="360"/>
      </w:pPr>
      <w:bookmarkStart w:name="refChernomor2016" w:id="39"/>
      <w:r>
        <w:rPr>
          <w:rStyle w:val="None"/>
          <w:b w:val="1"/>
          <w:bCs w:val="1"/>
          <w:rtl w:val="0"/>
        </w:rPr>
        <w:t>Chernomor O, Haeseler A von &amp; Minh BQ</w:t>
      </w:r>
      <w:r>
        <w:rPr>
          <w:rStyle w:val="None A"/>
          <w:rtl w:val="0"/>
        </w:rPr>
        <w:t xml:space="preserve">. </w:t>
      </w:r>
      <w:r>
        <w:rPr>
          <w:rStyle w:val="None"/>
          <w:b w:val="1"/>
          <w:bCs w:val="1"/>
          <w:rtl w:val="0"/>
        </w:rPr>
        <w:t>2016</w:t>
      </w:r>
      <w:r>
        <w:rPr>
          <w:rStyle w:val="None A"/>
          <w:rtl w:val="0"/>
        </w:rPr>
        <w:t xml:space="preserve">. </w:t>
      </w:r>
      <w:r>
        <w:rPr>
          <w:rStyle w:val="Hyperlink.2"/>
        </w:rPr>
        <w:fldChar w:fldCharType="begin" w:fldLock="0"/>
      </w:r>
      <w:r>
        <w:rPr>
          <w:rStyle w:val="Hyperlink.2"/>
        </w:rPr>
        <w:instrText xml:space="preserve"> HYPERLINK "https://doi.org/10.1093/sysbio/syw037"</w:instrText>
      </w:r>
      <w:r>
        <w:rPr>
          <w:rStyle w:val="Hyperlink.2"/>
        </w:rPr>
        <w:fldChar w:fldCharType="separate" w:fldLock="0"/>
      </w:r>
      <w:r>
        <w:rPr>
          <w:rStyle w:val="Hyperlink.2"/>
          <w:rtl w:val="0"/>
          <w:lang w:val="en-US"/>
        </w:rPr>
        <w:t>Terrace aware data structure for phylogenomic inference from supermatrices</w:t>
      </w:r>
      <w:r>
        <w:rPr/>
        <w:fldChar w:fldCharType="end" w:fldLock="0"/>
      </w:r>
      <w:r>
        <w:rPr>
          <w:rStyle w:val="None A"/>
          <w:rtl w:val="0"/>
        </w:rPr>
        <w:t xml:space="preserve">. </w:t>
      </w:r>
      <w:r>
        <w:rPr>
          <w:rStyle w:val="None"/>
          <w:i w:val="1"/>
          <w:iCs w:val="1"/>
          <w:rtl w:val="0"/>
          <w:lang w:val="en-US"/>
        </w:rPr>
        <w:t>Systematic Biology</w:t>
      </w:r>
      <w:r>
        <w:rPr>
          <w:rStyle w:val="None A"/>
          <w:rtl w:val="0"/>
        </w:rPr>
        <w:t xml:space="preserve"> </w:t>
      </w:r>
      <w:r>
        <w:rPr>
          <w:rStyle w:val="None"/>
          <w:b w:val="1"/>
          <w:bCs w:val="1"/>
          <w:rtl w:val="0"/>
        </w:rPr>
        <w:t>65</w:t>
      </w:r>
      <w:r>
        <w:rPr>
          <w:rStyle w:val="None A"/>
          <w:rtl w:val="0"/>
        </w:rPr>
        <w:t>: 997</w:t>
      </w:r>
      <w:r>
        <w:rPr>
          <w:rStyle w:val="None A"/>
          <w:rtl w:val="0"/>
        </w:rPr>
        <w:t>–</w:t>
      </w:r>
      <w:r>
        <w:rPr>
          <w:rStyle w:val="None A"/>
          <w:rtl w:val="0"/>
        </w:rPr>
        <w:t>1008.</w:t>
      </w:r>
      <w:bookmarkEnd w:id="39"/>
    </w:p>
    <w:p>
      <w:pPr>
        <w:pStyle w:val="Body A"/>
        <w:spacing w:line="480" w:lineRule="auto"/>
        <w:ind w:left="360" w:hanging="360"/>
      </w:pPr>
      <w:bookmarkStart w:name="refdeQueiroz2020" w:id="40"/>
      <w:r>
        <w:rPr>
          <w:rStyle w:val="None"/>
          <w:b w:val="1"/>
          <w:bCs w:val="1"/>
          <w:rtl w:val="0"/>
          <w:lang w:val="pt-PT"/>
        </w:rPr>
        <w:t>de Queiroz, Kevin &amp; Cantino P</w:t>
      </w:r>
      <w:r>
        <w:rPr>
          <w:rStyle w:val="None A"/>
          <w:rtl w:val="0"/>
        </w:rPr>
        <w:t xml:space="preserve">. </w:t>
      </w:r>
      <w:r>
        <w:rPr>
          <w:rStyle w:val="None"/>
          <w:b w:val="1"/>
          <w:bCs w:val="1"/>
          <w:rtl w:val="0"/>
        </w:rPr>
        <w:t>2020</w:t>
      </w:r>
      <w:r>
        <w:rPr>
          <w:rStyle w:val="None A"/>
          <w:rtl w:val="0"/>
        </w:rPr>
        <w:t xml:space="preserve">. </w:t>
      </w:r>
      <w:r>
        <w:rPr>
          <w:rStyle w:val="Hyperlink.1"/>
        </w:rPr>
        <w:fldChar w:fldCharType="begin" w:fldLock="0"/>
      </w:r>
      <w:r>
        <w:rPr>
          <w:rStyle w:val="Hyperlink.1"/>
        </w:rPr>
        <w:instrText xml:space="preserve"> HYPERLINK "https://doi.org/10.1201/9780429446320"</w:instrText>
      </w:r>
      <w:r>
        <w:rPr>
          <w:rStyle w:val="Hyperlink.1"/>
        </w:rPr>
        <w:fldChar w:fldCharType="separate" w:fldLock="0"/>
      </w:r>
      <w:r>
        <w:rPr>
          <w:rStyle w:val="Hyperlink.1"/>
          <w:rtl w:val="0"/>
          <w:lang w:val="en-US"/>
        </w:rPr>
        <w:t>International Code of Phylogenetic Nomenclature (PhyloCode)</w:t>
      </w:r>
      <w:r>
        <w:rPr/>
        <w:fldChar w:fldCharType="end" w:fldLock="0"/>
      </w:r>
      <w:r>
        <w:rPr>
          <w:rStyle w:val="None"/>
          <w:rtl w:val="0"/>
          <w:lang w:val="pt-PT"/>
        </w:rPr>
        <w:t>. CRC Press.</w:t>
      </w:r>
      <w:bookmarkEnd w:id="40"/>
    </w:p>
    <w:p>
      <w:pPr>
        <w:pStyle w:val="Body A"/>
        <w:spacing w:line="480" w:lineRule="auto"/>
        <w:ind w:left="360" w:hanging="360"/>
      </w:pPr>
      <w:bookmarkStart w:name="refdeQueiroz1990" w:id="41"/>
      <w:r>
        <w:rPr>
          <w:rStyle w:val="None"/>
          <w:b w:val="1"/>
          <w:bCs w:val="1"/>
          <w:rtl w:val="0"/>
          <w:lang w:val="pt-PT"/>
        </w:rPr>
        <w:t>de Queiroz K &amp; Gauthier J</w:t>
      </w:r>
      <w:r>
        <w:rPr>
          <w:rStyle w:val="None A"/>
          <w:rtl w:val="0"/>
        </w:rPr>
        <w:t xml:space="preserve">. </w:t>
      </w:r>
      <w:r>
        <w:rPr>
          <w:rStyle w:val="None"/>
          <w:b w:val="1"/>
          <w:bCs w:val="1"/>
          <w:rtl w:val="0"/>
        </w:rPr>
        <w:t>1990</w:t>
      </w:r>
      <w:r>
        <w:rPr>
          <w:rStyle w:val="None A"/>
          <w:rtl w:val="0"/>
        </w:rPr>
        <w:t xml:space="preserve">. </w:t>
      </w:r>
      <w:r>
        <w:rPr>
          <w:rStyle w:val="Hyperlink.2"/>
        </w:rPr>
        <w:fldChar w:fldCharType="begin" w:fldLock="0"/>
      </w:r>
      <w:r>
        <w:rPr>
          <w:rStyle w:val="Hyperlink.2"/>
        </w:rPr>
        <w:instrText xml:space="preserve"> HYPERLINK "https://doi.org/10.2307/2992353"</w:instrText>
      </w:r>
      <w:r>
        <w:rPr>
          <w:rStyle w:val="Hyperlink.2"/>
        </w:rPr>
        <w:fldChar w:fldCharType="separate" w:fldLock="0"/>
      </w:r>
      <w:r>
        <w:rPr>
          <w:rStyle w:val="Hyperlink.2"/>
          <w:rtl w:val="0"/>
          <w:lang w:val="en-US"/>
        </w:rPr>
        <w:t>Phylogeny as a central principle in taxonomy - phylogenetic definitions of taxon names</w:t>
      </w:r>
      <w:r>
        <w:rPr/>
        <w:fldChar w:fldCharType="end" w:fldLock="0"/>
      </w:r>
      <w:r>
        <w:rPr>
          <w:rStyle w:val="None A"/>
          <w:rtl w:val="0"/>
        </w:rPr>
        <w:t xml:space="preserve">. </w:t>
      </w:r>
      <w:r>
        <w:rPr>
          <w:rStyle w:val="None"/>
          <w:i w:val="1"/>
          <w:iCs w:val="1"/>
          <w:rtl w:val="0"/>
          <w:lang w:val="en-US"/>
        </w:rPr>
        <w:t>Systematic Zoology</w:t>
      </w:r>
      <w:r>
        <w:rPr>
          <w:rStyle w:val="None A"/>
          <w:rtl w:val="0"/>
        </w:rPr>
        <w:t xml:space="preserve"> </w:t>
      </w:r>
      <w:r>
        <w:rPr>
          <w:rStyle w:val="None"/>
          <w:b w:val="1"/>
          <w:bCs w:val="1"/>
          <w:rtl w:val="0"/>
        </w:rPr>
        <w:t>39</w:t>
      </w:r>
      <w:r>
        <w:rPr>
          <w:rStyle w:val="None A"/>
          <w:rtl w:val="0"/>
        </w:rPr>
        <w:t>: 307</w:t>
      </w:r>
      <w:r>
        <w:rPr>
          <w:rStyle w:val="None A"/>
          <w:rtl w:val="0"/>
        </w:rPr>
        <w:t>–</w:t>
      </w:r>
      <w:r>
        <w:rPr>
          <w:rStyle w:val="None A"/>
          <w:rtl w:val="0"/>
        </w:rPr>
        <w:t>322.</w:t>
      </w:r>
      <w:bookmarkEnd w:id="41"/>
    </w:p>
    <w:p>
      <w:pPr>
        <w:pStyle w:val="Body A"/>
        <w:spacing w:line="480" w:lineRule="auto"/>
        <w:ind w:left="360" w:hanging="360"/>
      </w:pPr>
      <w:bookmarkStart w:name="refdeQueiroz1992" w:id="42"/>
      <w:r>
        <w:rPr>
          <w:rStyle w:val="None"/>
          <w:b w:val="1"/>
          <w:bCs w:val="1"/>
          <w:rtl w:val="0"/>
          <w:lang w:val="pt-PT"/>
        </w:rPr>
        <w:t>de Queiroz K &amp; Gauthier J</w:t>
      </w:r>
      <w:r>
        <w:rPr>
          <w:rStyle w:val="None A"/>
          <w:rtl w:val="0"/>
        </w:rPr>
        <w:t xml:space="preserve">. </w:t>
      </w:r>
      <w:r>
        <w:rPr>
          <w:rStyle w:val="None"/>
          <w:b w:val="1"/>
          <w:bCs w:val="1"/>
          <w:rtl w:val="0"/>
        </w:rPr>
        <w:t>1992</w:t>
      </w:r>
      <w:r>
        <w:rPr>
          <w:rStyle w:val="None A"/>
          <w:rtl w:val="0"/>
        </w:rPr>
        <w:t xml:space="preserve">. </w:t>
      </w:r>
      <w:r>
        <w:rPr>
          <w:rStyle w:val="Hyperlink.2"/>
        </w:rPr>
        <w:fldChar w:fldCharType="begin" w:fldLock="0"/>
      </w:r>
      <w:r>
        <w:rPr>
          <w:rStyle w:val="Hyperlink.2"/>
        </w:rPr>
        <w:instrText xml:space="preserve"> HYPERLINK "https://doi.org/10.1146/annurev.ecolsys.23.1.449"</w:instrText>
      </w:r>
      <w:r>
        <w:rPr>
          <w:rStyle w:val="Hyperlink.2"/>
        </w:rPr>
        <w:fldChar w:fldCharType="separate" w:fldLock="0"/>
      </w:r>
      <w:r>
        <w:rPr>
          <w:rStyle w:val="Hyperlink.2"/>
          <w:rtl w:val="0"/>
          <w:lang w:val="en-US"/>
        </w:rPr>
        <w:t>Phylogenetic taxonomy</w:t>
      </w:r>
      <w:r>
        <w:rPr/>
        <w:fldChar w:fldCharType="end" w:fldLock="0"/>
      </w:r>
      <w:r>
        <w:rPr>
          <w:rStyle w:val="None A"/>
          <w:rtl w:val="0"/>
        </w:rPr>
        <w:t xml:space="preserve">. </w:t>
      </w:r>
      <w:r>
        <w:rPr>
          <w:rStyle w:val="None"/>
          <w:i w:val="1"/>
          <w:iCs w:val="1"/>
          <w:rtl w:val="0"/>
          <w:lang w:val="en-US"/>
        </w:rPr>
        <w:t>Annual Review of Ecology, Evolution, and Systematics</w:t>
      </w:r>
      <w:r>
        <w:rPr>
          <w:rStyle w:val="None A"/>
          <w:rtl w:val="0"/>
        </w:rPr>
        <w:t xml:space="preserve"> </w:t>
      </w:r>
      <w:r>
        <w:rPr>
          <w:rStyle w:val="None"/>
          <w:b w:val="1"/>
          <w:bCs w:val="1"/>
          <w:rtl w:val="0"/>
        </w:rPr>
        <w:t>23</w:t>
      </w:r>
      <w:r>
        <w:rPr>
          <w:rStyle w:val="None A"/>
          <w:rtl w:val="0"/>
        </w:rPr>
        <w:t>: 449</w:t>
      </w:r>
      <w:r>
        <w:rPr>
          <w:rStyle w:val="None A"/>
          <w:rtl w:val="0"/>
        </w:rPr>
        <w:t>–</w:t>
      </w:r>
      <w:r>
        <w:rPr>
          <w:rStyle w:val="None A"/>
          <w:rtl w:val="0"/>
        </w:rPr>
        <w:t>480.</w:t>
      </w:r>
      <w:bookmarkEnd w:id="42"/>
    </w:p>
    <w:p>
      <w:pPr>
        <w:pStyle w:val="Body A"/>
        <w:spacing w:line="480" w:lineRule="auto"/>
        <w:ind w:left="360" w:hanging="360"/>
      </w:pPr>
      <w:bookmarkStart w:name="refdeQueiroz1994" w:id="43"/>
      <w:r>
        <w:rPr>
          <w:rStyle w:val="None"/>
          <w:b w:val="1"/>
          <w:bCs w:val="1"/>
          <w:rtl w:val="0"/>
          <w:lang w:val="pt-PT"/>
        </w:rPr>
        <w:t>de Queiroz K &amp; Gauthier J</w:t>
      </w:r>
      <w:r>
        <w:rPr>
          <w:rStyle w:val="None A"/>
          <w:rtl w:val="0"/>
        </w:rPr>
        <w:t xml:space="preserve">. </w:t>
      </w:r>
      <w:r>
        <w:rPr>
          <w:rStyle w:val="None"/>
          <w:b w:val="1"/>
          <w:bCs w:val="1"/>
          <w:rtl w:val="0"/>
        </w:rPr>
        <w:t>1994</w:t>
      </w:r>
      <w:r>
        <w:rPr>
          <w:rStyle w:val="None A"/>
          <w:rtl w:val="0"/>
        </w:rPr>
        <w:t xml:space="preserve">. </w:t>
      </w:r>
      <w:r>
        <w:rPr>
          <w:rStyle w:val="Hyperlink.2"/>
        </w:rPr>
        <w:fldChar w:fldCharType="begin" w:fldLock="0"/>
      </w:r>
      <w:r>
        <w:rPr>
          <w:rStyle w:val="Hyperlink.2"/>
        </w:rPr>
        <w:instrText xml:space="preserve"> HYPERLINK "https://doi.org/10.1016/0169-5347(94)90231-3"</w:instrText>
      </w:r>
      <w:r>
        <w:rPr>
          <w:rStyle w:val="Hyperlink.2"/>
        </w:rPr>
        <w:fldChar w:fldCharType="separate" w:fldLock="0"/>
      </w:r>
      <w:r>
        <w:rPr>
          <w:rStyle w:val="Hyperlink.2"/>
          <w:rtl w:val="0"/>
          <w:lang w:val="en-US"/>
        </w:rPr>
        <w:t>Toward a phylogenetic system of biological nomenclature</w:t>
      </w:r>
      <w:r>
        <w:rPr/>
        <w:fldChar w:fldCharType="end" w:fldLock="0"/>
      </w:r>
      <w:r>
        <w:rPr>
          <w:rStyle w:val="None A"/>
          <w:rtl w:val="0"/>
        </w:rPr>
        <w:t xml:space="preserve">. </w:t>
      </w:r>
      <w:r>
        <w:rPr>
          <w:rStyle w:val="None"/>
          <w:i w:val="1"/>
          <w:iCs w:val="1"/>
          <w:rtl w:val="0"/>
          <w:lang w:val="en-US"/>
        </w:rPr>
        <w:t>Trends in Ecology &amp; Evolution</w:t>
      </w:r>
      <w:r>
        <w:rPr>
          <w:rStyle w:val="None A"/>
          <w:rtl w:val="0"/>
        </w:rPr>
        <w:t xml:space="preserve"> </w:t>
      </w:r>
      <w:r>
        <w:rPr>
          <w:rStyle w:val="None"/>
          <w:b w:val="1"/>
          <w:bCs w:val="1"/>
          <w:rtl w:val="0"/>
        </w:rPr>
        <w:t>9</w:t>
      </w:r>
      <w:r>
        <w:rPr>
          <w:rStyle w:val="None A"/>
          <w:rtl w:val="0"/>
        </w:rPr>
        <w:t>: 27</w:t>
      </w:r>
      <w:r>
        <w:rPr>
          <w:rStyle w:val="None A"/>
          <w:rtl w:val="0"/>
        </w:rPr>
        <w:t>–</w:t>
      </w:r>
      <w:r>
        <w:rPr>
          <w:rStyle w:val="None A"/>
          <w:rtl w:val="0"/>
        </w:rPr>
        <w:t>31.</w:t>
      </w:r>
      <w:bookmarkEnd w:id="43"/>
    </w:p>
    <w:p>
      <w:pPr>
        <w:pStyle w:val="Body A"/>
        <w:spacing w:line="480" w:lineRule="auto"/>
        <w:ind w:left="360" w:hanging="360"/>
      </w:pPr>
      <w:bookmarkStart w:name="refdeSa2012" w:id="44"/>
      <w:r>
        <w:rPr>
          <w:rStyle w:val="None"/>
          <w:b w:val="1"/>
          <w:bCs w:val="1"/>
          <w:rtl w:val="0"/>
          <w:lang w:val="de-DE"/>
        </w:rPr>
        <w:t>de Sa RO, Streicher JW, Sekonyela R, Forlani MC, Loader SP, Greenbaum E, Richards S &amp; Haddad CFB</w:t>
      </w:r>
      <w:r>
        <w:rPr>
          <w:rStyle w:val="None A"/>
          <w:rtl w:val="0"/>
        </w:rPr>
        <w:t xml:space="preserve">. </w:t>
      </w:r>
      <w:r>
        <w:rPr>
          <w:rStyle w:val="None"/>
          <w:b w:val="1"/>
          <w:bCs w:val="1"/>
          <w:rtl w:val="0"/>
        </w:rPr>
        <w:t>2012</w:t>
      </w:r>
      <w:r>
        <w:rPr>
          <w:rStyle w:val="None A"/>
          <w:rtl w:val="0"/>
        </w:rPr>
        <w:t xml:space="preserve">. </w:t>
      </w:r>
      <w:r>
        <w:rPr>
          <w:rStyle w:val="Hyperlink.2"/>
        </w:rPr>
        <w:fldChar w:fldCharType="begin" w:fldLock="0"/>
      </w:r>
      <w:r>
        <w:rPr>
          <w:rStyle w:val="Hyperlink.2"/>
        </w:rPr>
        <w:instrText xml:space="preserve"> HYPERLINK "https://doi.org/%2525257B10.1186/1471-2148-12-241%2525257D"</w:instrText>
      </w:r>
      <w:r>
        <w:rPr>
          <w:rStyle w:val="Hyperlink.2"/>
        </w:rPr>
        <w:fldChar w:fldCharType="separate" w:fldLock="0"/>
      </w:r>
      <w:r>
        <w:rPr>
          <w:rStyle w:val="Hyperlink.2"/>
          <w:rtl w:val="0"/>
          <w:lang w:val="en-US"/>
        </w:rPr>
        <w:t>Molecular phylogeny of microhylid frogs (Anura: Microhylidae) with emphasis on relationships among New World genera</w:t>
      </w:r>
      <w:r>
        <w:rPr/>
        <w:fldChar w:fldCharType="end" w:fldLock="0"/>
      </w:r>
      <w:r>
        <w:rPr>
          <w:rStyle w:val="None A"/>
          <w:rtl w:val="0"/>
        </w:rPr>
        <w:t xml:space="preserve">. </w:t>
      </w:r>
      <w:r>
        <w:rPr>
          <w:rStyle w:val="None"/>
          <w:i w:val="1"/>
          <w:iCs w:val="1"/>
          <w:rtl w:val="0"/>
          <w:lang w:val="en-US"/>
        </w:rPr>
        <w:t>BMC Evolutionary Biology</w:t>
      </w:r>
      <w:r>
        <w:rPr>
          <w:rStyle w:val="None A"/>
          <w:rtl w:val="0"/>
        </w:rPr>
        <w:t xml:space="preserve"> </w:t>
      </w:r>
      <w:r>
        <w:rPr>
          <w:rStyle w:val="None"/>
          <w:b w:val="1"/>
          <w:bCs w:val="1"/>
          <w:rtl w:val="0"/>
        </w:rPr>
        <w:t>12</w:t>
      </w:r>
      <w:r>
        <w:rPr>
          <w:rStyle w:val="None A"/>
          <w:rtl w:val="0"/>
        </w:rPr>
        <w:t>.</w:t>
      </w:r>
      <w:bookmarkEnd w:id="44"/>
    </w:p>
    <w:p>
      <w:pPr>
        <w:pStyle w:val="Body A"/>
        <w:spacing w:line="480" w:lineRule="auto"/>
        <w:ind w:left="360" w:hanging="360"/>
      </w:pPr>
      <w:bookmarkStart w:name="refDunnington2023" w:id="45"/>
      <w:r>
        <w:rPr>
          <w:rStyle w:val="None"/>
          <w:b w:val="1"/>
          <w:bCs w:val="1"/>
          <w:rtl w:val="0"/>
          <w:lang w:val="en-US"/>
        </w:rPr>
        <w:t>Dunnington D</w:t>
      </w:r>
      <w:r>
        <w:rPr>
          <w:rStyle w:val="None A"/>
          <w:rtl w:val="0"/>
        </w:rPr>
        <w:t xml:space="preserve">. </w:t>
      </w:r>
      <w:r>
        <w:rPr>
          <w:rStyle w:val="None"/>
          <w:b w:val="1"/>
          <w:bCs w:val="1"/>
          <w:rtl w:val="0"/>
        </w:rPr>
        <w:t>2023</w:t>
      </w:r>
      <w:r>
        <w:rPr>
          <w:rStyle w:val="None A"/>
          <w:rtl w:val="0"/>
        </w:rPr>
        <w:t xml:space="preserve">. </w:t>
      </w:r>
      <w:r>
        <w:rPr>
          <w:rStyle w:val="Hyperlink.1"/>
        </w:rPr>
        <w:fldChar w:fldCharType="begin" w:fldLock="0"/>
      </w:r>
      <w:r>
        <w:rPr>
          <w:rStyle w:val="Hyperlink.1"/>
        </w:rPr>
        <w:instrText xml:space="preserve"> HYPERLINK "https://CRAN.R-project.org/package=ggspatial"</w:instrText>
      </w:r>
      <w:r>
        <w:rPr>
          <w:rStyle w:val="Hyperlink.1"/>
        </w:rPr>
        <w:fldChar w:fldCharType="separate" w:fldLock="0"/>
      </w:r>
      <w:r>
        <w:rPr>
          <w:rStyle w:val="Hyperlink.1"/>
          <w:rtl w:val="0"/>
          <w:lang w:val="en-US"/>
        </w:rPr>
        <w:t>ggspatial: Spatial Data Framework for ggplot2</w:t>
      </w:r>
      <w:r>
        <w:rPr/>
        <w:fldChar w:fldCharType="end" w:fldLock="0"/>
      </w:r>
      <w:r>
        <w:rPr>
          <w:rStyle w:val="None A"/>
          <w:rtl w:val="0"/>
        </w:rPr>
        <w:t>.</w:t>
      </w:r>
      <w:bookmarkEnd w:id="45"/>
    </w:p>
    <w:p>
      <w:pPr>
        <w:pStyle w:val="Body A"/>
        <w:spacing w:line="480" w:lineRule="auto"/>
        <w:ind w:left="360" w:hanging="360"/>
      </w:pPr>
      <w:bookmarkStart w:name="refEdgar2004" w:id="46"/>
      <w:r>
        <w:rPr>
          <w:rStyle w:val="None"/>
          <w:b w:val="1"/>
          <w:bCs w:val="1"/>
          <w:rtl w:val="0"/>
        </w:rPr>
        <w:t>Edgar RC</w:t>
      </w:r>
      <w:r>
        <w:rPr>
          <w:rStyle w:val="None A"/>
          <w:rtl w:val="0"/>
        </w:rPr>
        <w:t xml:space="preserve">. </w:t>
      </w:r>
      <w:r>
        <w:rPr>
          <w:rStyle w:val="None"/>
          <w:b w:val="1"/>
          <w:bCs w:val="1"/>
          <w:rtl w:val="0"/>
        </w:rPr>
        <w:t>2004</w:t>
      </w:r>
      <w:r>
        <w:rPr>
          <w:rStyle w:val="None A"/>
          <w:rtl w:val="0"/>
        </w:rPr>
        <w:t xml:space="preserve">. </w:t>
      </w:r>
      <w:r>
        <w:rPr>
          <w:rStyle w:val="Hyperlink.2"/>
        </w:rPr>
        <w:fldChar w:fldCharType="begin" w:fldLock="0"/>
      </w:r>
      <w:r>
        <w:rPr>
          <w:rStyle w:val="Hyperlink.2"/>
        </w:rPr>
        <w:instrText xml:space="preserve"> HYPERLINK "https://doi.org/10.1186/1471-2105-5-113"</w:instrText>
      </w:r>
      <w:r>
        <w:rPr>
          <w:rStyle w:val="Hyperlink.2"/>
        </w:rPr>
        <w:fldChar w:fldCharType="separate" w:fldLock="0"/>
      </w:r>
      <w:r>
        <w:rPr>
          <w:rStyle w:val="Hyperlink.2"/>
          <w:rtl w:val="0"/>
          <w:lang w:val="en-US"/>
        </w:rPr>
        <w:t>Muscle: a multiple sequence alignment method with reduced time and space complexity</w:t>
      </w:r>
      <w:r>
        <w:rPr/>
        <w:fldChar w:fldCharType="end" w:fldLock="0"/>
      </w:r>
      <w:r>
        <w:rPr>
          <w:rStyle w:val="None A"/>
          <w:rtl w:val="0"/>
        </w:rPr>
        <w:t xml:space="preserve">. </w:t>
      </w:r>
      <w:r>
        <w:rPr>
          <w:rStyle w:val="None"/>
          <w:i w:val="1"/>
          <w:iCs w:val="1"/>
          <w:rtl w:val="0"/>
        </w:rPr>
        <w:t>BMC Bioinformatics</w:t>
      </w:r>
      <w:r>
        <w:rPr>
          <w:rStyle w:val="None A"/>
          <w:rtl w:val="0"/>
        </w:rPr>
        <w:t xml:space="preserve"> </w:t>
      </w:r>
      <w:r>
        <w:rPr>
          <w:rStyle w:val="None"/>
          <w:b w:val="1"/>
          <w:bCs w:val="1"/>
          <w:rtl w:val="0"/>
        </w:rPr>
        <w:t>5</w:t>
      </w:r>
      <w:r>
        <w:rPr>
          <w:rStyle w:val="None A"/>
          <w:rtl w:val="0"/>
        </w:rPr>
        <w:t>: 113.</w:t>
      </w:r>
      <w:bookmarkEnd w:id="46"/>
    </w:p>
    <w:p>
      <w:pPr>
        <w:pStyle w:val="Body A"/>
        <w:spacing w:line="480" w:lineRule="auto"/>
        <w:ind w:left="360" w:hanging="360"/>
      </w:pPr>
      <w:bookmarkStart w:name="refEngelkes2020" w:id="47"/>
      <w:r>
        <w:rPr>
          <w:rStyle w:val="None"/>
          <w:b w:val="1"/>
          <w:bCs w:val="1"/>
          <w:rtl w:val="0"/>
          <w:lang w:val="de-DE"/>
        </w:rPr>
        <w:t>Engelkes K, Kath L, Kleinteich T, Hammel JU, Beerlink A &amp; Haas A</w:t>
      </w:r>
      <w:r>
        <w:rPr>
          <w:rStyle w:val="None A"/>
          <w:rtl w:val="0"/>
        </w:rPr>
        <w:t xml:space="preserve">. </w:t>
      </w:r>
      <w:r>
        <w:rPr>
          <w:rStyle w:val="None"/>
          <w:b w:val="1"/>
          <w:bCs w:val="1"/>
          <w:rtl w:val="0"/>
        </w:rPr>
        <w:t>2020</w:t>
      </w:r>
      <w:r>
        <w:rPr>
          <w:rStyle w:val="None A"/>
          <w:rtl w:val="0"/>
        </w:rPr>
        <w:t xml:space="preserve">. </w:t>
      </w:r>
      <w:r>
        <w:rPr>
          <w:rStyle w:val="Hyperlink.2"/>
        </w:rPr>
        <w:fldChar w:fldCharType="begin" w:fldLock="0"/>
      </w:r>
      <w:r>
        <w:rPr>
          <w:rStyle w:val="Hyperlink.2"/>
        </w:rPr>
        <w:instrText xml:space="preserve"> HYPERLINK "https://doi.org/10.1002/ece3.6784"</w:instrText>
      </w:r>
      <w:r>
        <w:rPr>
          <w:rStyle w:val="Hyperlink.2"/>
        </w:rPr>
        <w:fldChar w:fldCharType="separate" w:fldLock="0"/>
      </w:r>
      <w:r>
        <w:rPr>
          <w:rStyle w:val="Hyperlink.2"/>
          <w:rtl w:val="0"/>
          <w:lang w:val="en-US"/>
        </w:rPr>
        <w:t>Ecomorphology of the pectoral girdle in anurans (Amphibia, Anura): Shape diversity and biomechanical considerations</w:t>
      </w:r>
      <w:r>
        <w:rPr/>
        <w:fldChar w:fldCharType="end" w:fldLock="0"/>
      </w:r>
      <w:r>
        <w:rPr>
          <w:rStyle w:val="None A"/>
          <w:rtl w:val="0"/>
        </w:rPr>
        <w:t xml:space="preserve">. </w:t>
      </w:r>
      <w:r>
        <w:rPr>
          <w:rStyle w:val="None"/>
          <w:i w:val="1"/>
          <w:iCs w:val="1"/>
          <w:rtl w:val="0"/>
          <w:lang w:val="en-US"/>
        </w:rPr>
        <w:t>ECOLOGY AND EVOLUTION</w:t>
      </w:r>
      <w:r>
        <w:rPr>
          <w:rStyle w:val="None A"/>
          <w:rtl w:val="0"/>
        </w:rPr>
        <w:t xml:space="preserve"> </w:t>
      </w:r>
      <w:r>
        <w:rPr>
          <w:rStyle w:val="None"/>
          <w:b w:val="1"/>
          <w:bCs w:val="1"/>
          <w:rtl w:val="0"/>
        </w:rPr>
        <w:t>10</w:t>
      </w:r>
      <w:r>
        <w:rPr>
          <w:rStyle w:val="None A"/>
          <w:rtl w:val="0"/>
        </w:rPr>
        <w:t>: 11467</w:t>
      </w:r>
      <w:r>
        <w:rPr>
          <w:rStyle w:val="None A"/>
          <w:rtl w:val="0"/>
        </w:rPr>
        <w:t>–</w:t>
      </w:r>
      <w:r>
        <w:rPr>
          <w:rStyle w:val="None A"/>
          <w:rtl w:val="0"/>
        </w:rPr>
        <w:t>11487.</w:t>
      </w:r>
      <w:bookmarkEnd w:id="47"/>
    </w:p>
    <w:p>
      <w:pPr>
        <w:pStyle w:val="Body A"/>
        <w:spacing w:line="480" w:lineRule="auto"/>
        <w:ind w:left="360" w:hanging="360"/>
      </w:pPr>
      <w:bookmarkStart w:name="refFrost2024" w:id="48"/>
      <w:r>
        <w:rPr>
          <w:rStyle w:val="None"/>
          <w:b w:val="1"/>
          <w:bCs w:val="1"/>
          <w:rtl w:val="0"/>
          <w:lang w:val="da-DK"/>
        </w:rPr>
        <w:t>Frost DR</w:t>
      </w:r>
      <w:r>
        <w:rPr>
          <w:rStyle w:val="None A"/>
          <w:rtl w:val="0"/>
        </w:rPr>
        <w:t xml:space="preserve">. </w:t>
      </w:r>
      <w:r>
        <w:rPr>
          <w:rStyle w:val="None"/>
          <w:b w:val="1"/>
          <w:bCs w:val="1"/>
          <w:rtl w:val="0"/>
          <w:lang w:val="en-US"/>
        </w:rPr>
        <w:t>2024</w:t>
      </w:r>
      <w:r>
        <w:rPr>
          <w:rStyle w:val="None A"/>
          <w:rtl w:val="0"/>
        </w:rPr>
        <w:t xml:space="preserve">. </w:t>
      </w:r>
      <w:r>
        <w:rPr>
          <w:rStyle w:val="Hyperlink.2"/>
        </w:rPr>
        <w:fldChar w:fldCharType="begin" w:fldLock="0"/>
      </w:r>
      <w:r>
        <w:rPr>
          <w:rStyle w:val="Hyperlink.2"/>
        </w:rPr>
        <w:instrText xml:space="preserve"> HYPERLINK "https://doi.org/doi.org/10.5531/db.vz.0001"</w:instrText>
      </w:r>
      <w:r>
        <w:rPr>
          <w:rStyle w:val="Hyperlink.2"/>
        </w:rPr>
        <w:fldChar w:fldCharType="separate" w:fldLock="0"/>
      </w:r>
      <w:r>
        <w:rPr>
          <w:rStyle w:val="Hyperlink.2"/>
          <w:rtl w:val="0"/>
          <w:lang w:val="en-US"/>
        </w:rPr>
        <w:t>Amphibian Species of the World: an Online Reference. Version 6.2</w:t>
      </w:r>
      <w:r>
        <w:rPr/>
        <w:fldChar w:fldCharType="end" w:fldLock="0"/>
      </w:r>
      <w:r>
        <w:rPr>
          <w:rStyle w:val="None A"/>
          <w:rtl w:val="0"/>
        </w:rPr>
        <w:t xml:space="preserve">. </w:t>
      </w:r>
      <w:r>
        <w:rPr>
          <w:rStyle w:val="None"/>
          <w:i w:val="1"/>
          <w:iCs w:val="1"/>
          <w:rtl w:val="0"/>
          <w:lang w:val="en-US"/>
        </w:rPr>
        <w:t>American Museum of Natural History, New York, USA.</w:t>
      </w:r>
      <w:bookmarkEnd w:id="48"/>
    </w:p>
    <w:p>
      <w:pPr>
        <w:pStyle w:val="Body A"/>
        <w:spacing w:line="480" w:lineRule="auto"/>
        <w:ind w:left="360" w:hanging="360"/>
      </w:pPr>
      <w:bookmarkStart w:name="refFry1912" w:id="49"/>
      <w:r>
        <w:rPr>
          <w:rStyle w:val="None"/>
          <w:b w:val="1"/>
          <w:bCs w:val="1"/>
          <w:rtl w:val="0"/>
          <w:lang w:val="en-US"/>
        </w:rPr>
        <w:t>Fry DB</w:t>
      </w:r>
      <w:r>
        <w:rPr>
          <w:rStyle w:val="None A"/>
          <w:rtl w:val="0"/>
        </w:rPr>
        <w:t xml:space="preserve">. </w:t>
      </w:r>
      <w:r>
        <w:rPr>
          <w:rStyle w:val="None"/>
          <w:b w:val="1"/>
          <w:bCs w:val="1"/>
          <w:rtl w:val="0"/>
        </w:rPr>
        <w:t>1912</w:t>
      </w:r>
      <w:r>
        <w:rPr>
          <w:rStyle w:val="None"/>
          <w:rtl w:val="0"/>
          <w:lang w:val="en-US"/>
        </w:rPr>
        <w:t xml:space="preserve">. Description of austrochaperina, a new genus of engystomatidae from north australia. </w:t>
      </w:r>
      <w:r>
        <w:rPr>
          <w:rStyle w:val="None"/>
          <w:i w:val="1"/>
          <w:iCs w:val="1"/>
          <w:rtl w:val="0"/>
          <w:lang w:val="en-US"/>
        </w:rPr>
        <w:t>Records of the Australian Museum</w:t>
      </w:r>
      <w:r>
        <w:rPr>
          <w:rStyle w:val="None A"/>
          <w:rtl w:val="0"/>
        </w:rPr>
        <w:t xml:space="preserve"> </w:t>
      </w:r>
      <w:r>
        <w:rPr>
          <w:rStyle w:val="None"/>
          <w:b w:val="1"/>
          <w:bCs w:val="1"/>
          <w:rtl w:val="0"/>
        </w:rPr>
        <w:t>9</w:t>
      </w:r>
      <w:r>
        <w:rPr>
          <w:rStyle w:val="None A"/>
          <w:rtl w:val="0"/>
        </w:rPr>
        <w:t>: 87</w:t>
      </w:r>
      <w:r>
        <w:rPr>
          <w:rStyle w:val="None A"/>
          <w:rtl w:val="0"/>
        </w:rPr>
        <w:t>–</w:t>
      </w:r>
      <w:r>
        <w:rPr>
          <w:rStyle w:val="None A"/>
          <w:rtl w:val="0"/>
        </w:rPr>
        <w:t>106.</w:t>
      </w:r>
      <w:bookmarkEnd w:id="49"/>
    </w:p>
    <w:p>
      <w:pPr>
        <w:pStyle w:val="Body A"/>
        <w:spacing w:line="480" w:lineRule="auto"/>
        <w:ind w:left="360" w:hanging="360"/>
      </w:pPr>
      <w:bookmarkStart w:name="refGillman2020" w:id="50"/>
      <w:r>
        <w:rPr>
          <w:rStyle w:val="None"/>
          <w:b w:val="1"/>
          <w:bCs w:val="1"/>
          <w:rtl w:val="0"/>
          <w:lang w:val="en-US"/>
        </w:rPr>
        <w:t>Gillman LN &amp; Wright SD</w:t>
      </w:r>
      <w:r>
        <w:rPr>
          <w:rStyle w:val="None A"/>
          <w:rtl w:val="0"/>
        </w:rPr>
        <w:t xml:space="preserve">. </w:t>
      </w:r>
      <w:r>
        <w:rPr>
          <w:rStyle w:val="None"/>
          <w:b w:val="1"/>
          <w:bCs w:val="1"/>
          <w:rtl w:val="0"/>
        </w:rPr>
        <w:t>2020</w:t>
      </w:r>
      <w:r>
        <w:rPr>
          <w:rStyle w:val="None A"/>
          <w:rtl w:val="0"/>
        </w:rPr>
        <w:t xml:space="preserve">. </w:t>
      </w:r>
      <w:r>
        <w:rPr>
          <w:rStyle w:val="Hyperlink.2"/>
        </w:rPr>
        <w:fldChar w:fldCharType="begin" w:fldLock="0"/>
      </w:r>
      <w:r>
        <w:rPr>
          <w:rStyle w:val="Hyperlink.2"/>
        </w:rPr>
        <w:instrText xml:space="preserve"> HYPERLINK "https://doi.org/10.1038/s42003-020-01344-y"</w:instrText>
      </w:r>
      <w:r>
        <w:rPr>
          <w:rStyle w:val="Hyperlink.2"/>
        </w:rPr>
        <w:fldChar w:fldCharType="separate" w:fldLock="0"/>
      </w:r>
      <w:r>
        <w:rPr>
          <w:rStyle w:val="Hyperlink.2"/>
          <w:rtl w:val="0"/>
          <w:lang w:val="en-US"/>
        </w:rPr>
        <w:t>Restoring indigenous names in taxonomy</w:t>
      </w:r>
      <w:r>
        <w:rPr/>
        <w:fldChar w:fldCharType="end" w:fldLock="0"/>
      </w:r>
      <w:r>
        <w:rPr>
          <w:rStyle w:val="None A"/>
          <w:rtl w:val="0"/>
        </w:rPr>
        <w:t xml:space="preserve">. </w:t>
      </w:r>
      <w:r>
        <w:rPr>
          <w:rStyle w:val="None"/>
          <w:i w:val="1"/>
          <w:iCs w:val="1"/>
          <w:rtl w:val="0"/>
          <w:lang w:val="en-US"/>
        </w:rPr>
        <w:t>Communications Biology</w:t>
      </w:r>
      <w:r>
        <w:rPr>
          <w:rStyle w:val="None A"/>
          <w:rtl w:val="0"/>
        </w:rPr>
        <w:t xml:space="preserve"> </w:t>
      </w:r>
      <w:r>
        <w:rPr>
          <w:rStyle w:val="None"/>
          <w:b w:val="1"/>
          <w:bCs w:val="1"/>
          <w:rtl w:val="0"/>
        </w:rPr>
        <w:t>3</w:t>
      </w:r>
      <w:r>
        <w:rPr>
          <w:rStyle w:val="None A"/>
          <w:rtl w:val="0"/>
        </w:rPr>
        <w:t>: 609.</w:t>
      </w:r>
      <w:bookmarkEnd w:id="50"/>
    </w:p>
    <w:p>
      <w:pPr>
        <w:pStyle w:val="Body A"/>
        <w:spacing w:line="480" w:lineRule="auto"/>
        <w:ind w:left="360" w:hanging="360"/>
      </w:pPr>
      <w:bookmarkStart w:name="refGunther1858" w:id="51"/>
      <w:r>
        <w:rPr>
          <w:rStyle w:val="None"/>
          <w:b w:val="1"/>
          <w:bCs w:val="1"/>
          <w:rtl w:val="0"/>
        </w:rPr>
        <w:t>G</w:t>
      </w:r>
      <w:r>
        <w:rPr>
          <w:rStyle w:val="None"/>
          <w:b w:val="1"/>
          <w:bCs w:val="1"/>
          <w:rtl w:val="0"/>
        </w:rPr>
        <w:t>ü</w:t>
      </w:r>
      <w:r>
        <w:rPr>
          <w:rStyle w:val="None"/>
          <w:b w:val="1"/>
          <w:bCs w:val="1"/>
          <w:rtl w:val="0"/>
          <w:lang w:val="en-US"/>
        </w:rPr>
        <w:t>nther ACLG</w:t>
      </w:r>
      <w:r>
        <w:rPr>
          <w:rStyle w:val="None A"/>
          <w:rtl w:val="0"/>
        </w:rPr>
        <w:t xml:space="preserve">. </w:t>
      </w:r>
      <w:r>
        <w:rPr>
          <w:rStyle w:val="None"/>
          <w:b w:val="1"/>
          <w:bCs w:val="1"/>
          <w:rtl w:val="0"/>
        </w:rPr>
        <w:t>1858</w:t>
      </w:r>
      <w:r>
        <w:rPr>
          <w:rStyle w:val="None"/>
          <w:rtl w:val="0"/>
          <w:lang w:val="en-US"/>
        </w:rPr>
        <w:t xml:space="preserve">. On the systematic arrangement of the tailless batrachians and the structure of </w:t>
      </w:r>
      <w:r>
        <w:rPr>
          <w:rStyle w:val="None"/>
          <w:i w:val="1"/>
          <w:iCs w:val="1"/>
          <w:rtl w:val="0"/>
          <w:lang w:val="fr-FR"/>
        </w:rPr>
        <w:t>Rhinophrynus dorsalis</w:t>
      </w:r>
      <w:r>
        <w:rPr>
          <w:rStyle w:val="None A"/>
          <w:rtl w:val="0"/>
        </w:rPr>
        <w:t xml:space="preserve">. </w:t>
      </w:r>
      <w:r>
        <w:rPr>
          <w:rStyle w:val="None"/>
          <w:i w:val="1"/>
          <w:iCs w:val="1"/>
          <w:rtl w:val="0"/>
          <w:lang w:val="en-US"/>
        </w:rPr>
        <w:t>Proceedings of the Zoological Society of London</w:t>
      </w:r>
      <w:r>
        <w:rPr>
          <w:rStyle w:val="None A"/>
          <w:rtl w:val="0"/>
        </w:rPr>
        <w:t>: 339</w:t>
      </w:r>
      <w:r>
        <w:rPr>
          <w:rStyle w:val="None A"/>
          <w:rtl w:val="0"/>
        </w:rPr>
        <w:t>–</w:t>
      </w:r>
      <w:r>
        <w:rPr>
          <w:rStyle w:val="None A"/>
          <w:rtl w:val="0"/>
        </w:rPr>
        <w:t>352.</w:t>
      </w:r>
      <w:bookmarkEnd w:id="51"/>
    </w:p>
    <w:p>
      <w:pPr>
        <w:pStyle w:val="Body A"/>
        <w:spacing w:line="480" w:lineRule="auto"/>
        <w:ind w:left="360" w:hanging="360"/>
      </w:pPr>
      <w:bookmarkStart w:name="refGunther2023" w:id="52"/>
      <w:r>
        <w:rPr>
          <w:rStyle w:val="None"/>
          <w:b w:val="1"/>
          <w:bCs w:val="1"/>
          <w:rtl w:val="0"/>
        </w:rPr>
        <w:t>G</w:t>
      </w:r>
      <w:r>
        <w:rPr>
          <w:rStyle w:val="None"/>
          <w:b w:val="1"/>
          <w:bCs w:val="1"/>
          <w:rtl w:val="0"/>
        </w:rPr>
        <w:t>ü</w:t>
      </w:r>
      <w:r>
        <w:rPr>
          <w:rStyle w:val="None"/>
          <w:b w:val="1"/>
          <w:bCs w:val="1"/>
          <w:rtl w:val="0"/>
          <w:lang w:val="de-DE"/>
        </w:rPr>
        <w:t>nther R, Iskandar DT &amp; Richards SJ</w:t>
      </w:r>
      <w:r>
        <w:rPr>
          <w:rStyle w:val="None A"/>
          <w:rtl w:val="0"/>
        </w:rPr>
        <w:t xml:space="preserve">. </w:t>
      </w:r>
      <w:r>
        <w:rPr>
          <w:rStyle w:val="None"/>
          <w:b w:val="1"/>
          <w:bCs w:val="1"/>
          <w:rtl w:val="0"/>
        </w:rPr>
        <w:t>2023</w:t>
      </w:r>
      <w:r>
        <w:rPr>
          <w:rStyle w:val="None A"/>
          <w:rtl w:val="0"/>
        </w:rPr>
        <w:t xml:space="preserve">. </w:t>
      </w:r>
      <w:r>
        <w:rPr>
          <w:rStyle w:val="Hyperlink.2"/>
        </w:rPr>
        <w:fldChar w:fldCharType="begin" w:fldLock="0"/>
      </w:r>
      <w:r>
        <w:rPr>
          <w:rStyle w:val="Hyperlink.2"/>
        </w:rPr>
        <w:instrText xml:space="preserve"> HYPERLINK "https://doi.org/10.3897/vz.73.e94207"</w:instrText>
      </w:r>
      <w:r>
        <w:rPr>
          <w:rStyle w:val="Hyperlink.2"/>
        </w:rPr>
        <w:fldChar w:fldCharType="separate" w:fldLock="0"/>
      </w:r>
      <w:r>
        <w:rPr>
          <w:rStyle w:val="Hyperlink.2"/>
          <w:rtl w:val="0"/>
          <w:lang w:val="en-US"/>
        </w:rPr>
        <w:t xml:space="preserve">A new large </w:t>
      </w:r>
      <w:r>
        <w:rPr>
          <w:rStyle w:val="Hyperlink.1.0"/>
          <w:rtl w:val="0"/>
        </w:rPr>
        <w:t>Oreophryne</w:t>
      </w:r>
      <w:r>
        <w:rPr>
          <w:rStyle w:val="Hyperlink.2"/>
          <w:rtl w:val="0"/>
          <w:lang w:val="en-US"/>
        </w:rPr>
        <w:t xml:space="preserve"> species from the mountains of Papua Province, Indonesian New Guinea (Amphibia, Anura, Microhylidae)</w:t>
      </w:r>
      <w:r>
        <w:rPr/>
        <w:fldChar w:fldCharType="end" w:fldLock="0"/>
      </w:r>
      <w:r>
        <w:rPr>
          <w:rStyle w:val="None A"/>
          <w:rtl w:val="0"/>
        </w:rPr>
        <w:t xml:space="preserve">. </w:t>
      </w:r>
      <w:r>
        <w:rPr>
          <w:rStyle w:val="None"/>
          <w:i w:val="1"/>
          <w:iCs w:val="1"/>
          <w:rtl w:val="0"/>
          <w:lang w:val="en-US"/>
        </w:rPr>
        <w:t>Vertebrate Zoology</w:t>
      </w:r>
      <w:r>
        <w:rPr>
          <w:rStyle w:val="None A"/>
          <w:rtl w:val="0"/>
        </w:rPr>
        <w:t xml:space="preserve"> </w:t>
      </w:r>
      <w:r>
        <w:rPr>
          <w:rStyle w:val="None"/>
          <w:b w:val="1"/>
          <w:bCs w:val="1"/>
          <w:rtl w:val="0"/>
        </w:rPr>
        <w:t>73</w:t>
      </w:r>
      <w:r>
        <w:rPr>
          <w:rStyle w:val="None A"/>
          <w:rtl w:val="0"/>
        </w:rPr>
        <w:t>: 153</w:t>
      </w:r>
      <w:r>
        <w:rPr>
          <w:rStyle w:val="None A"/>
          <w:rtl w:val="0"/>
        </w:rPr>
        <w:t>–</w:t>
      </w:r>
      <w:r>
        <w:rPr>
          <w:rStyle w:val="None A"/>
          <w:rtl w:val="0"/>
        </w:rPr>
        <w:t>159.</w:t>
      </w:r>
      <w:bookmarkEnd w:id="52"/>
    </w:p>
    <w:p>
      <w:pPr>
        <w:pStyle w:val="Body A"/>
        <w:spacing w:line="480" w:lineRule="auto"/>
        <w:ind w:left="360" w:hanging="360"/>
      </w:pPr>
      <w:bookmarkStart w:name="refGunther2012" w:id="53"/>
      <w:r>
        <w:rPr>
          <w:rStyle w:val="None"/>
          <w:b w:val="1"/>
          <w:bCs w:val="1"/>
          <w:rtl w:val="0"/>
        </w:rPr>
        <w:t>G</w:t>
      </w:r>
      <w:r>
        <w:rPr>
          <w:rStyle w:val="None"/>
          <w:b w:val="1"/>
          <w:bCs w:val="1"/>
          <w:rtl w:val="0"/>
        </w:rPr>
        <w:t>ü</w:t>
      </w:r>
      <w:r>
        <w:rPr>
          <w:rStyle w:val="None"/>
          <w:b w:val="1"/>
          <w:bCs w:val="1"/>
          <w:rtl w:val="0"/>
          <w:lang w:val="en-US"/>
        </w:rPr>
        <w:t>nther R &amp; Richards SJ</w:t>
      </w:r>
      <w:r>
        <w:rPr>
          <w:rStyle w:val="None A"/>
          <w:rtl w:val="0"/>
        </w:rPr>
        <w:t xml:space="preserve">. </w:t>
      </w:r>
      <w:r>
        <w:rPr>
          <w:rStyle w:val="None"/>
          <w:b w:val="1"/>
          <w:bCs w:val="1"/>
          <w:rtl w:val="0"/>
        </w:rPr>
        <w:t>2012</w:t>
      </w:r>
      <w:r>
        <w:rPr>
          <w:rStyle w:val="None"/>
          <w:rtl w:val="0"/>
          <w:lang w:val="en-US"/>
        </w:rPr>
        <w:t xml:space="preserve">. Five new microhylid frog species from Enga Province, Papua New Guinea, and remarks on </w:t>
      </w:r>
      <w:r>
        <w:rPr>
          <w:rStyle w:val="None"/>
          <w:i w:val="1"/>
          <w:iCs w:val="1"/>
          <w:rtl w:val="0"/>
          <w:lang w:val="it-IT"/>
        </w:rPr>
        <w:t>Albericus alpestris</w:t>
      </w:r>
      <w:r>
        <w:rPr>
          <w:rStyle w:val="None A"/>
          <w:rtl w:val="0"/>
        </w:rPr>
        <w:t xml:space="preserve"> (Anura, Microhylidae). </w:t>
      </w:r>
      <w:r>
        <w:rPr>
          <w:rStyle w:val="None"/>
          <w:i w:val="1"/>
          <w:iCs w:val="1"/>
          <w:rtl w:val="0"/>
          <w:lang w:val="de-DE"/>
        </w:rPr>
        <w:t>VERTEBRATE ZOOLOGY</w:t>
      </w:r>
      <w:r>
        <w:rPr>
          <w:rStyle w:val="None A"/>
          <w:rtl w:val="0"/>
        </w:rPr>
        <w:t xml:space="preserve"> </w:t>
      </w:r>
      <w:r>
        <w:rPr>
          <w:rStyle w:val="None"/>
          <w:b w:val="1"/>
          <w:bCs w:val="1"/>
          <w:rtl w:val="0"/>
        </w:rPr>
        <w:t>61</w:t>
      </w:r>
      <w:r>
        <w:rPr>
          <w:rStyle w:val="None"/>
          <w:rtl w:val="0"/>
          <w:lang w:val="ru-RU"/>
        </w:rPr>
        <w:t>: 343</w:t>
      </w:r>
      <w:r>
        <w:rPr>
          <w:rStyle w:val="None A"/>
          <w:rtl w:val="0"/>
        </w:rPr>
        <w:t>–</w:t>
      </w:r>
      <w:r>
        <w:rPr>
          <w:rStyle w:val="None A"/>
          <w:rtl w:val="0"/>
        </w:rPr>
        <w:t>372.</w:t>
      </w:r>
      <w:bookmarkEnd w:id="53"/>
    </w:p>
    <w:p>
      <w:pPr>
        <w:pStyle w:val="Body A"/>
        <w:spacing w:line="480" w:lineRule="auto"/>
        <w:ind w:left="360" w:hanging="360"/>
      </w:pPr>
      <w:bookmarkStart w:name="refGunther2001" w:id="54"/>
      <w:r>
        <w:rPr>
          <w:rStyle w:val="None"/>
          <w:b w:val="1"/>
          <w:bCs w:val="1"/>
          <w:rtl w:val="0"/>
        </w:rPr>
        <w:t>G</w:t>
      </w:r>
      <w:r>
        <w:rPr>
          <w:rStyle w:val="None"/>
          <w:b w:val="1"/>
          <w:bCs w:val="1"/>
          <w:rtl w:val="0"/>
        </w:rPr>
        <w:t>ü</w:t>
      </w:r>
      <w:r>
        <w:rPr>
          <w:rStyle w:val="None"/>
          <w:b w:val="1"/>
          <w:bCs w:val="1"/>
          <w:rtl w:val="0"/>
          <w:lang w:val="de-DE"/>
        </w:rPr>
        <w:t>nther R, Richards S &amp; Iskandar DT</w:t>
      </w:r>
      <w:r>
        <w:rPr>
          <w:rStyle w:val="None A"/>
          <w:rtl w:val="0"/>
        </w:rPr>
        <w:t xml:space="preserve">. </w:t>
      </w:r>
      <w:r>
        <w:rPr>
          <w:rStyle w:val="None"/>
          <w:b w:val="1"/>
          <w:bCs w:val="1"/>
          <w:rtl w:val="0"/>
        </w:rPr>
        <w:t>2001</w:t>
      </w:r>
      <w:r>
        <w:rPr>
          <w:rStyle w:val="None"/>
          <w:rtl w:val="0"/>
          <w:lang w:val="en-US"/>
        </w:rPr>
        <w:t xml:space="preserve">. Two new species of the genus </w:t>
      </w:r>
      <w:r>
        <w:rPr>
          <w:rStyle w:val="None"/>
          <w:i w:val="1"/>
          <w:iCs w:val="1"/>
          <w:rtl w:val="0"/>
        </w:rPr>
        <w:t>Oreophryne</w:t>
      </w:r>
      <w:r>
        <w:rPr>
          <w:rStyle w:val="None"/>
          <w:rtl w:val="0"/>
          <w:lang w:val="en-US"/>
        </w:rPr>
        <w:t xml:space="preserve"> from Irian Jaya, Indonesia (Amphibia, Anura, Microhylidae). </w:t>
      </w:r>
      <w:r>
        <w:rPr>
          <w:rStyle w:val="None"/>
          <w:i w:val="1"/>
          <w:iCs w:val="1"/>
          <w:rtl w:val="0"/>
          <w:lang w:val="en-US"/>
        </w:rPr>
        <w:t>Spixiana</w:t>
      </w:r>
      <w:r>
        <w:rPr>
          <w:rStyle w:val="None A"/>
          <w:rtl w:val="0"/>
        </w:rPr>
        <w:t xml:space="preserve"> </w:t>
      </w:r>
      <w:r>
        <w:rPr>
          <w:rStyle w:val="None"/>
          <w:b w:val="1"/>
          <w:bCs w:val="1"/>
          <w:rtl w:val="0"/>
        </w:rPr>
        <w:t>24</w:t>
      </w:r>
      <w:r>
        <w:rPr>
          <w:rStyle w:val="None A"/>
          <w:rtl w:val="0"/>
        </w:rPr>
        <w:t>: 257</w:t>
      </w:r>
      <w:r>
        <w:rPr>
          <w:rStyle w:val="None A"/>
          <w:rtl w:val="0"/>
        </w:rPr>
        <w:t>–</w:t>
      </w:r>
      <w:r>
        <w:rPr>
          <w:rStyle w:val="None A"/>
          <w:rtl w:val="0"/>
        </w:rPr>
        <w:t>274.</w:t>
      </w:r>
      <w:bookmarkEnd w:id="54"/>
    </w:p>
    <w:p>
      <w:pPr>
        <w:pStyle w:val="Body A"/>
        <w:spacing w:line="480" w:lineRule="auto"/>
        <w:ind w:left="360" w:hanging="360"/>
      </w:pPr>
      <w:bookmarkStart w:name="refHill2022" w:id="55"/>
      <w:r>
        <w:rPr>
          <w:rStyle w:val="None"/>
          <w:b w:val="1"/>
          <w:bCs w:val="1"/>
          <w:rtl w:val="0"/>
          <w:lang w:val="de-DE"/>
        </w:rPr>
        <w:t>Hill EC, Fraser CJ, Gao DF, Jarman MJ, Henry ER, Iova B, Allison A &amp; Butler MA</w:t>
      </w:r>
      <w:r>
        <w:rPr>
          <w:rStyle w:val="None A"/>
          <w:rtl w:val="0"/>
        </w:rPr>
        <w:t xml:space="preserve">. </w:t>
      </w:r>
      <w:r>
        <w:rPr>
          <w:rStyle w:val="None"/>
          <w:b w:val="1"/>
          <w:bCs w:val="1"/>
          <w:rtl w:val="0"/>
        </w:rPr>
        <w:t>2022</w:t>
      </w:r>
      <w:r>
        <w:rPr>
          <w:rStyle w:val="None A"/>
          <w:rtl w:val="0"/>
        </w:rPr>
        <w:t xml:space="preserve">. </w:t>
      </w:r>
      <w:r>
        <w:rPr>
          <w:rStyle w:val="Hyperlink.2"/>
        </w:rPr>
        <w:fldChar w:fldCharType="begin" w:fldLock="0"/>
      </w:r>
      <w:r>
        <w:rPr>
          <w:rStyle w:val="Hyperlink.2"/>
        </w:rPr>
        <w:instrText xml:space="preserve"> HYPERLINK "https://doi.org/10.1016/j.ympev.2022.107618"</w:instrText>
      </w:r>
      <w:r>
        <w:rPr>
          <w:rStyle w:val="Hyperlink.2"/>
        </w:rPr>
        <w:fldChar w:fldCharType="separate" w:fldLock="0"/>
      </w:r>
      <w:r>
        <w:rPr>
          <w:rStyle w:val="Hyperlink.2"/>
          <w:rtl w:val="0"/>
          <w:lang w:val="en-US"/>
        </w:rPr>
        <w:t>Resolving the deep phylogeny: Implications for early adaptive radiation, cryptic, and present-day ecological diversity of Papuan microhylid frogs</w:t>
      </w:r>
      <w:r>
        <w:rPr/>
        <w:fldChar w:fldCharType="end" w:fldLock="0"/>
      </w:r>
      <w:r>
        <w:rPr>
          <w:rStyle w:val="None A"/>
          <w:rtl w:val="0"/>
        </w:rPr>
        <w:t xml:space="preserve">. </w:t>
      </w:r>
      <w:r>
        <w:rPr>
          <w:rStyle w:val="None"/>
          <w:i w:val="1"/>
          <w:iCs w:val="1"/>
          <w:rtl w:val="0"/>
          <w:lang w:val="en-US"/>
        </w:rPr>
        <w:t>Molecular Phylogenetics and Evolution</w:t>
      </w:r>
      <w:r>
        <w:rPr>
          <w:rStyle w:val="None A"/>
          <w:rtl w:val="0"/>
        </w:rPr>
        <w:t xml:space="preserve"> </w:t>
      </w:r>
      <w:r>
        <w:rPr>
          <w:rStyle w:val="None"/>
          <w:b w:val="1"/>
          <w:bCs w:val="1"/>
          <w:rtl w:val="0"/>
        </w:rPr>
        <w:t>177</w:t>
      </w:r>
      <w:r>
        <w:rPr>
          <w:rStyle w:val="None A"/>
          <w:rtl w:val="0"/>
        </w:rPr>
        <w:t>.</w:t>
      </w:r>
      <w:bookmarkEnd w:id="55"/>
    </w:p>
    <w:p>
      <w:pPr>
        <w:pStyle w:val="Body A"/>
        <w:spacing w:line="480" w:lineRule="auto"/>
        <w:ind w:left="360" w:hanging="360"/>
      </w:pPr>
      <w:bookmarkStart w:name="refHill2023" w:id="56"/>
      <w:r>
        <w:rPr>
          <w:rStyle w:val="None"/>
          <w:b w:val="1"/>
          <w:bCs w:val="1"/>
          <w:rtl w:val="0"/>
          <w:lang w:val="de-DE"/>
        </w:rPr>
        <w:t>Hill EC, Jarman MJ, Fraser CJ, Gao DF, Henry ER, Fisher AR, Iova B, Allison A &amp; Butler MA</w:t>
      </w:r>
      <w:r>
        <w:rPr>
          <w:rStyle w:val="None A"/>
          <w:rtl w:val="0"/>
        </w:rPr>
        <w:t xml:space="preserve">. </w:t>
      </w:r>
      <w:r>
        <w:rPr>
          <w:rStyle w:val="None"/>
          <w:b w:val="1"/>
          <w:bCs w:val="1"/>
          <w:rtl w:val="0"/>
        </w:rPr>
        <w:t>2023B</w:t>
      </w:r>
      <w:r>
        <w:rPr>
          <w:rStyle w:val="None A"/>
          <w:rtl w:val="0"/>
        </w:rPr>
        <w:t xml:space="preserve">. </w:t>
      </w:r>
      <w:r>
        <w:rPr>
          <w:rStyle w:val="Hyperlink.2"/>
        </w:rPr>
        <w:fldChar w:fldCharType="begin" w:fldLock="0"/>
      </w:r>
      <w:r>
        <w:rPr>
          <w:rStyle w:val="Hyperlink.2"/>
        </w:rPr>
        <w:instrText xml:space="preserve"> HYPERLINK "https://doi.org/10.1016/j.dib.2023.108987"</w:instrText>
      </w:r>
      <w:r>
        <w:rPr>
          <w:rStyle w:val="Hyperlink.2"/>
        </w:rPr>
        <w:fldChar w:fldCharType="separate" w:fldLock="0"/>
      </w:r>
      <w:r>
        <w:rPr>
          <w:rStyle w:val="Hyperlink.2"/>
          <w:rtl w:val="0"/>
          <w:lang w:val="en-US"/>
        </w:rPr>
        <w:t>Molecular and phylogenetic datasets for the Asterophryinae frogs of New Guinea with additional data on lifestyle, geography, and elevation</w:t>
      </w:r>
      <w:r>
        <w:rPr/>
        <w:fldChar w:fldCharType="end" w:fldLock="0"/>
      </w:r>
      <w:r>
        <w:rPr>
          <w:rStyle w:val="None A"/>
          <w:rtl w:val="0"/>
        </w:rPr>
        <w:t xml:space="preserve">. </w:t>
      </w:r>
      <w:r>
        <w:rPr>
          <w:rStyle w:val="None"/>
          <w:i w:val="1"/>
          <w:iCs w:val="1"/>
          <w:rtl w:val="0"/>
          <w:lang w:val="de-DE"/>
        </w:rPr>
        <w:t>Data in Brief</w:t>
      </w:r>
      <w:r>
        <w:rPr>
          <w:rStyle w:val="None A"/>
          <w:rtl w:val="0"/>
        </w:rPr>
        <w:t xml:space="preserve"> </w:t>
      </w:r>
      <w:r>
        <w:rPr>
          <w:rStyle w:val="None"/>
          <w:b w:val="1"/>
          <w:bCs w:val="1"/>
          <w:rtl w:val="0"/>
        </w:rPr>
        <w:t>47</w:t>
      </w:r>
      <w:r>
        <w:rPr>
          <w:rStyle w:val="None A"/>
          <w:rtl w:val="0"/>
        </w:rPr>
        <w:t>: 108987.</w:t>
      </w:r>
      <w:bookmarkEnd w:id="56"/>
    </w:p>
    <w:p>
      <w:pPr>
        <w:pStyle w:val="Body A"/>
        <w:spacing w:line="480" w:lineRule="auto"/>
        <w:ind w:left="360" w:hanging="360"/>
      </w:pPr>
      <w:bookmarkStart w:name="refHill2023a" w:id="57"/>
      <w:r>
        <w:rPr>
          <w:rStyle w:val="None"/>
          <w:b w:val="1"/>
          <w:bCs w:val="1"/>
          <w:rtl w:val="0"/>
        </w:rPr>
        <w:t>Hill EC, Gao DF, Polhemus DA, Fraser CJ, Iova B, Allison A &amp; Butler MA</w:t>
      </w:r>
      <w:r>
        <w:rPr>
          <w:rStyle w:val="None A"/>
          <w:rtl w:val="0"/>
        </w:rPr>
        <w:t xml:space="preserve">. </w:t>
      </w:r>
      <w:r>
        <w:rPr>
          <w:rStyle w:val="None"/>
          <w:b w:val="1"/>
          <w:bCs w:val="1"/>
          <w:rtl w:val="0"/>
        </w:rPr>
        <w:t>2023A</w:t>
      </w:r>
      <w:r>
        <w:rPr>
          <w:rStyle w:val="None"/>
          <w:rtl w:val="0"/>
          <w:lang w:val="en-US"/>
        </w:rPr>
        <w:t xml:space="preserve">. Testing geology with biology: Plate tectonics and the diversification of microhylid frogs in the Papuan region. </w:t>
      </w:r>
      <w:r>
        <w:rPr>
          <w:rStyle w:val="None"/>
          <w:i w:val="1"/>
          <w:iCs w:val="1"/>
          <w:rtl w:val="0"/>
          <w:lang w:val="en-US"/>
        </w:rPr>
        <w:t>Integrative Organismal Biology</w:t>
      </w:r>
      <w:r>
        <w:rPr>
          <w:rStyle w:val="None A"/>
          <w:rtl w:val="0"/>
        </w:rPr>
        <w:t>.</w:t>
      </w:r>
      <w:bookmarkEnd w:id="57"/>
    </w:p>
    <w:p>
      <w:pPr>
        <w:pStyle w:val="Body A"/>
        <w:spacing w:line="480" w:lineRule="auto"/>
        <w:ind w:left="360" w:hanging="360"/>
      </w:pPr>
      <w:bookmarkStart w:name="refHoang2018" w:id="58"/>
      <w:r>
        <w:rPr>
          <w:rStyle w:val="None"/>
          <w:b w:val="1"/>
          <w:bCs w:val="1"/>
          <w:rtl w:val="0"/>
        </w:rPr>
        <w:t>Hoang DT, Chernomor O, Haeseler A von, Minh BQ &amp; Vinh LS</w:t>
      </w:r>
      <w:r>
        <w:rPr>
          <w:rStyle w:val="None A"/>
          <w:rtl w:val="0"/>
        </w:rPr>
        <w:t xml:space="preserve">. </w:t>
      </w:r>
      <w:r>
        <w:rPr>
          <w:rStyle w:val="None"/>
          <w:b w:val="1"/>
          <w:bCs w:val="1"/>
          <w:rtl w:val="0"/>
        </w:rPr>
        <w:t>2018</w:t>
      </w:r>
      <w:r>
        <w:rPr>
          <w:rStyle w:val="None A"/>
          <w:rtl w:val="0"/>
        </w:rPr>
        <w:t xml:space="preserve">. </w:t>
      </w:r>
      <w:r>
        <w:rPr>
          <w:rStyle w:val="Hyperlink.2"/>
        </w:rPr>
        <w:fldChar w:fldCharType="begin" w:fldLock="0"/>
      </w:r>
      <w:r>
        <w:rPr>
          <w:rStyle w:val="Hyperlink.2"/>
        </w:rPr>
        <w:instrText xml:space="preserve"> HYPERLINK "https://doi.org/10.1093/molbev/msx281"</w:instrText>
      </w:r>
      <w:r>
        <w:rPr>
          <w:rStyle w:val="Hyperlink.2"/>
        </w:rPr>
        <w:fldChar w:fldCharType="separate" w:fldLock="0"/>
      </w:r>
      <w:r>
        <w:rPr>
          <w:rStyle w:val="Hyperlink.2"/>
          <w:rtl w:val="0"/>
          <w:lang w:val="en-US"/>
        </w:rPr>
        <w:t>UFBoot2: Improving the ultrafast bootstrap approximation</w:t>
      </w:r>
      <w:r>
        <w:rPr/>
        <w:fldChar w:fldCharType="end" w:fldLock="0"/>
      </w:r>
      <w:r>
        <w:rPr>
          <w:rStyle w:val="None A"/>
          <w:rtl w:val="0"/>
        </w:rPr>
        <w:t xml:space="preserve">. </w:t>
      </w:r>
      <w:r>
        <w:rPr>
          <w:rStyle w:val="None"/>
          <w:i w:val="1"/>
          <w:iCs w:val="1"/>
          <w:rtl w:val="0"/>
          <w:lang w:val="en-US"/>
        </w:rPr>
        <w:t>Molecular Biology and Evolution</w:t>
      </w:r>
      <w:r>
        <w:rPr>
          <w:rStyle w:val="None A"/>
          <w:rtl w:val="0"/>
        </w:rPr>
        <w:t xml:space="preserve"> </w:t>
      </w:r>
      <w:r>
        <w:rPr>
          <w:rStyle w:val="None"/>
          <w:b w:val="1"/>
          <w:bCs w:val="1"/>
          <w:rtl w:val="0"/>
        </w:rPr>
        <w:t>35</w:t>
      </w:r>
      <w:r>
        <w:rPr>
          <w:rStyle w:val="None A"/>
          <w:rtl w:val="0"/>
        </w:rPr>
        <w:t>: 518</w:t>
      </w:r>
      <w:r>
        <w:rPr>
          <w:rStyle w:val="None A"/>
          <w:rtl w:val="0"/>
        </w:rPr>
        <w:t>–</w:t>
      </w:r>
      <w:r>
        <w:rPr>
          <w:rStyle w:val="None A"/>
          <w:rtl w:val="0"/>
        </w:rPr>
        <w:t>522.</w:t>
      </w:r>
      <w:bookmarkEnd w:id="58"/>
    </w:p>
    <w:p>
      <w:pPr>
        <w:pStyle w:val="Body A"/>
        <w:spacing w:line="480" w:lineRule="auto"/>
        <w:ind w:left="360" w:hanging="360"/>
      </w:pPr>
      <w:bookmarkStart w:name="refICZN1999" w:id="59"/>
      <w:r>
        <w:rPr>
          <w:rStyle w:val="None"/>
          <w:b w:val="1"/>
          <w:bCs w:val="1"/>
          <w:rtl w:val="0"/>
          <w:lang w:val="en-US"/>
        </w:rPr>
        <w:t>International Commission on Zoological Nomenclature</w:t>
      </w:r>
      <w:r>
        <w:rPr>
          <w:rStyle w:val="None A"/>
          <w:rtl w:val="0"/>
        </w:rPr>
        <w:t xml:space="preserve">. </w:t>
      </w:r>
      <w:r>
        <w:rPr>
          <w:rStyle w:val="None"/>
          <w:b w:val="1"/>
          <w:bCs w:val="1"/>
          <w:rtl w:val="0"/>
        </w:rPr>
        <w:t>1999</w:t>
      </w:r>
      <w:r>
        <w:rPr>
          <w:rStyle w:val="None A"/>
          <w:rtl w:val="0"/>
        </w:rPr>
        <w:t xml:space="preserve">. </w:t>
      </w:r>
      <w:r>
        <w:rPr>
          <w:rStyle w:val="Hyperlink.1"/>
        </w:rPr>
        <w:fldChar w:fldCharType="begin" w:fldLock="0"/>
      </w:r>
      <w:r>
        <w:rPr>
          <w:rStyle w:val="Hyperlink.1"/>
        </w:rPr>
        <w:instrText xml:space="preserve"> HYPERLINK "https://www.biodiversitylibrary.org/item/107142"</w:instrText>
      </w:r>
      <w:r>
        <w:rPr>
          <w:rStyle w:val="Hyperlink.1"/>
        </w:rPr>
        <w:fldChar w:fldCharType="separate" w:fldLock="0"/>
      </w:r>
      <w:r>
        <w:rPr>
          <w:rStyle w:val="Hyperlink.1"/>
          <w:rtl w:val="0"/>
          <w:lang w:val="en-US"/>
        </w:rPr>
        <w:t>International Code of Zoological Nomenclature</w:t>
      </w:r>
      <w:r>
        <w:rPr/>
        <w:fldChar w:fldCharType="end" w:fldLock="0"/>
      </w:r>
      <w:r>
        <w:rPr>
          <w:rStyle w:val="None"/>
          <w:rtl w:val="0"/>
          <w:lang w:val="en-US"/>
        </w:rPr>
        <w:t>. London, International Trust for Zoological Nomenclature, c/o Natural History Museum, 1999.</w:t>
      </w:r>
      <w:bookmarkEnd w:id="59"/>
    </w:p>
    <w:p>
      <w:pPr>
        <w:pStyle w:val="Body A"/>
        <w:spacing w:line="480" w:lineRule="auto"/>
        <w:ind w:left="360" w:hanging="360"/>
      </w:pPr>
      <w:bookmarkStart w:name="refIUCN2025" w:id="60"/>
      <w:r>
        <w:rPr>
          <w:rStyle w:val="None"/>
          <w:b w:val="1"/>
          <w:bCs w:val="1"/>
          <w:rtl w:val="0"/>
          <w:lang w:val="es-ES_tradnl"/>
        </w:rPr>
        <w:t>IUCN</w:t>
      </w:r>
      <w:r>
        <w:rPr>
          <w:rStyle w:val="None A"/>
          <w:rtl w:val="0"/>
        </w:rPr>
        <w:t xml:space="preserve">. </w:t>
      </w:r>
      <w:r>
        <w:rPr>
          <w:rStyle w:val="None"/>
          <w:b w:val="1"/>
          <w:bCs w:val="1"/>
          <w:rtl w:val="0"/>
        </w:rPr>
        <w:t>2025</w:t>
      </w:r>
      <w:r>
        <w:rPr>
          <w:rStyle w:val="None A"/>
          <w:rtl w:val="0"/>
        </w:rPr>
        <w:t xml:space="preserve">. </w:t>
      </w:r>
      <w:r>
        <w:rPr>
          <w:rStyle w:val="Hyperlink.2"/>
        </w:rPr>
        <w:fldChar w:fldCharType="begin" w:fldLock="0"/>
      </w:r>
      <w:r>
        <w:rPr>
          <w:rStyle w:val="Hyperlink.2"/>
        </w:rPr>
        <w:instrText xml:space="preserve"> HYPERLINK "https://www.iucnredlist.org/"</w:instrText>
      </w:r>
      <w:r>
        <w:rPr>
          <w:rStyle w:val="Hyperlink.2"/>
        </w:rPr>
        <w:fldChar w:fldCharType="separate" w:fldLock="0"/>
      </w:r>
      <w:r>
        <w:rPr>
          <w:rStyle w:val="Hyperlink.2"/>
          <w:rtl w:val="0"/>
          <w:lang w:val="en-US"/>
        </w:rPr>
        <w:t>Asterophryinae (spatial data). The IUCN Red List of Threatened Species. Version 2025-1</w:t>
      </w:r>
      <w:r>
        <w:rPr/>
        <w:fldChar w:fldCharType="end" w:fldLock="0"/>
      </w:r>
      <w:r>
        <w:rPr>
          <w:rStyle w:val="None A"/>
          <w:rtl w:val="0"/>
        </w:rPr>
        <w:t xml:space="preserve">. </w:t>
      </w:r>
      <w:r>
        <w:rPr>
          <w:rStyle w:val="None"/>
          <w:i w:val="1"/>
          <w:iCs w:val="1"/>
          <w:rtl w:val="0"/>
          <w:lang w:val="en-US"/>
        </w:rPr>
        <w:t>International Union for Conservation of Nature</w:t>
      </w:r>
      <w:r>
        <w:rPr>
          <w:rStyle w:val="None A"/>
          <w:rtl w:val="0"/>
        </w:rPr>
        <w:t>.</w:t>
      </w:r>
      <w:bookmarkEnd w:id="60"/>
    </w:p>
    <w:p>
      <w:pPr>
        <w:pStyle w:val="Body A"/>
        <w:spacing w:line="480" w:lineRule="auto"/>
        <w:ind w:left="360" w:hanging="360"/>
      </w:pPr>
      <w:bookmarkStart w:name="refKalyaanamoorthy2017" w:id="61"/>
      <w:r>
        <w:rPr>
          <w:rStyle w:val="None"/>
          <w:b w:val="1"/>
          <w:bCs w:val="1"/>
          <w:rtl w:val="0"/>
          <w:lang w:val="nl-NL"/>
        </w:rPr>
        <w:t>Kalyaanamoorthy S, Minh BQ, Wong TKF, Haeseler A von &amp; Jermiin LS</w:t>
      </w:r>
      <w:r>
        <w:rPr>
          <w:rStyle w:val="None A"/>
          <w:rtl w:val="0"/>
        </w:rPr>
        <w:t xml:space="preserve">. </w:t>
      </w:r>
      <w:r>
        <w:rPr>
          <w:rStyle w:val="None"/>
          <w:b w:val="1"/>
          <w:bCs w:val="1"/>
          <w:rtl w:val="0"/>
        </w:rPr>
        <w:t>2017</w:t>
      </w:r>
      <w:r>
        <w:rPr>
          <w:rStyle w:val="None A"/>
          <w:rtl w:val="0"/>
        </w:rPr>
        <w:t xml:space="preserve">. </w:t>
      </w:r>
      <w:r>
        <w:rPr>
          <w:rStyle w:val="Hyperlink.2"/>
        </w:rPr>
        <w:fldChar w:fldCharType="begin" w:fldLock="0"/>
      </w:r>
      <w:r>
        <w:rPr>
          <w:rStyle w:val="Hyperlink.2"/>
        </w:rPr>
        <w:instrText xml:space="preserve"> HYPERLINK "https://doi.org/10.1038/nmeth.4285"</w:instrText>
      </w:r>
      <w:r>
        <w:rPr>
          <w:rStyle w:val="Hyperlink.2"/>
        </w:rPr>
        <w:fldChar w:fldCharType="separate" w:fldLock="0"/>
      </w:r>
      <w:r>
        <w:rPr>
          <w:rStyle w:val="Hyperlink.2"/>
          <w:rtl w:val="0"/>
          <w:lang w:val="en-US"/>
        </w:rPr>
        <w:t>ModelFinder: Fast model selection for accurate phylogenetic estimates</w:t>
      </w:r>
      <w:r>
        <w:rPr/>
        <w:fldChar w:fldCharType="end" w:fldLock="0"/>
      </w:r>
      <w:r>
        <w:rPr>
          <w:rStyle w:val="None A"/>
          <w:rtl w:val="0"/>
        </w:rPr>
        <w:t xml:space="preserve">. </w:t>
      </w:r>
      <w:r>
        <w:rPr>
          <w:rStyle w:val="None"/>
          <w:i w:val="1"/>
          <w:iCs w:val="1"/>
          <w:rtl w:val="0"/>
          <w:lang w:val="en-US"/>
        </w:rPr>
        <w:t>Nature Methods</w:t>
      </w:r>
      <w:r>
        <w:rPr>
          <w:rStyle w:val="None A"/>
          <w:rtl w:val="0"/>
        </w:rPr>
        <w:t xml:space="preserve"> </w:t>
      </w:r>
      <w:r>
        <w:rPr>
          <w:rStyle w:val="None"/>
          <w:b w:val="1"/>
          <w:bCs w:val="1"/>
          <w:rtl w:val="0"/>
        </w:rPr>
        <w:t>14</w:t>
      </w:r>
      <w:r>
        <w:rPr>
          <w:rStyle w:val="None A"/>
          <w:rtl w:val="0"/>
        </w:rPr>
        <w:t>: 587</w:t>
      </w:r>
      <w:r>
        <w:rPr>
          <w:rStyle w:val="None A"/>
          <w:rtl w:val="0"/>
        </w:rPr>
        <w:t>–</w:t>
      </w:r>
      <w:r>
        <w:rPr>
          <w:rStyle w:val="None A"/>
          <w:rtl w:val="0"/>
        </w:rPr>
        <w:t>589.</w:t>
      </w:r>
      <w:bookmarkEnd w:id="61"/>
    </w:p>
    <w:p>
      <w:pPr>
        <w:pStyle w:val="Body A"/>
        <w:spacing w:line="480" w:lineRule="auto"/>
        <w:ind w:left="360" w:hanging="360"/>
      </w:pPr>
      <w:bookmarkStart w:name="refKoehler2008" w:id="62"/>
      <w:r>
        <w:rPr>
          <w:rStyle w:val="None"/>
          <w:b w:val="1"/>
          <w:bCs w:val="1"/>
          <w:rtl w:val="0"/>
        </w:rPr>
        <w:t>K</w:t>
      </w:r>
      <w:r>
        <w:rPr>
          <w:rStyle w:val="None"/>
          <w:b w:val="1"/>
          <w:bCs w:val="1"/>
          <w:rtl w:val="0"/>
          <w:lang w:val="sv-SE"/>
        </w:rPr>
        <w:t>ö</w:t>
      </w:r>
      <w:r>
        <w:rPr>
          <w:rStyle w:val="None"/>
          <w:b w:val="1"/>
          <w:bCs w:val="1"/>
          <w:rtl w:val="0"/>
          <w:lang w:val="de-DE"/>
        </w:rPr>
        <w:t>hler F &amp; G</w:t>
      </w:r>
      <w:r>
        <w:rPr>
          <w:rStyle w:val="None"/>
          <w:b w:val="1"/>
          <w:bCs w:val="1"/>
          <w:rtl w:val="0"/>
        </w:rPr>
        <w:t>ü</w:t>
      </w:r>
      <w:r>
        <w:rPr>
          <w:rStyle w:val="None"/>
          <w:b w:val="1"/>
          <w:bCs w:val="1"/>
          <w:rtl w:val="0"/>
          <w:lang w:val="en-US"/>
        </w:rPr>
        <w:t>nther R</w:t>
      </w:r>
      <w:r>
        <w:rPr>
          <w:rStyle w:val="None A"/>
          <w:rtl w:val="0"/>
        </w:rPr>
        <w:t xml:space="preserve">. </w:t>
      </w:r>
      <w:r>
        <w:rPr>
          <w:rStyle w:val="None"/>
          <w:b w:val="1"/>
          <w:bCs w:val="1"/>
          <w:rtl w:val="0"/>
        </w:rPr>
        <w:t>2008</w:t>
      </w:r>
      <w:r>
        <w:rPr>
          <w:rStyle w:val="None A"/>
          <w:rtl w:val="0"/>
        </w:rPr>
        <w:t xml:space="preserve">. </w:t>
      </w:r>
      <w:r>
        <w:rPr>
          <w:rStyle w:val="Hyperlink.2"/>
        </w:rPr>
        <w:fldChar w:fldCharType="begin" w:fldLock="0"/>
      </w:r>
      <w:r>
        <w:rPr>
          <w:rStyle w:val="Hyperlink.2"/>
        </w:rPr>
        <w:instrText xml:space="preserve"> HYPERLINK "https://doi.org/DOI%2525252010.1016/j.ympev.2007.11.032"</w:instrText>
      </w:r>
      <w:r>
        <w:rPr>
          <w:rStyle w:val="Hyperlink.2"/>
        </w:rPr>
        <w:fldChar w:fldCharType="separate" w:fldLock="0"/>
      </w:r>
      <w:r>
        <w:rPr>
          <w:rStyle w:val="Hyperlink.2"/>
          <w:rtl w:val="0"/>
          <w:lang w:val="en-US"/>
        </w:rPr>
        <w:t>The radiation of microhylid frogs (Amphibia : Anura) on New Guinea: A mitochondrial phylogeny reveals parallel evolution of morphological and life history traits and disproves the current morphology-based classification</w:t>
      </w:r>
      <w:r>
        <w:rPr/>
        <w:fldChar w:fldCharType="end" w:fldLock="0"/>
      </w:r>
      <w:r>
        <w:rPr>
          <w:rStyle w:val="None A"/>
          <w:rtl w:val="0"/>
        </w:rPr>
        <w:t xml:space="preserve">. </w:t>
      </w:r>
      <w:r>
        <w:rPr>
          <w:rStyle w:val="None"/>
          <w:i w:val="1"/>
          <w:iCs w:val="1"/>
          <w:rtl w:val="0"/>
          <w:lang w:val="en-US"/>
        </w:rPr>
        <w:t>Molecular Phylogenetics and Evolution</w:t>
      </w:r>
      <w:r>
        <w:rPr>
          <w:rStyle w:val="None A"/>
          <w:rtl w:val="0"/>
        </w:rPr>
        <w:t xml:space="preserve"> </w:t>
      </w:r>
      <w:r>
        <w:rPr>
          <w:rStyle w:val="None"/>
          <w:b w:val="1"/>
          <w:bCs w:val="1"/>
          <w:rtl w:val="0"/>
        </w:rPr>
        <w:t>47</w:t>
      </w:r>
      <w:r>
        <w:rPr>
          <w:rStyle w:val="None A"/>
          <w:rtl w:val="0"/>
        </w:rPr>
        <w:t>: 353</w:t>
      </w:r>
      <w:r>
        <w:rPr>
          <w:rStyle w:val="None A"/>
          <w:rtl w:val="0"/>
        </w:rPr>
        <w:t>–</w:t>
      </w:r>
      <w:r>
        <w:rPr>
          <w:rStyle w:val="None A"/>
          <w:rtl w:val="0"/>
        </w:rPr>
        <w:t>365.</w:t>
      </w:r>
      <w:bookmarkEnd w:id="62"/>
    </w:p>
    <w:p>
      <w:pPr>
        <w:pStyle w:val="Body A"/>
        <w:spacing w:line="480" w:lineRule="auto"/>
        <w:ind w:left="360" w:hanging="360"/>
      </w:pPr>
      <w:bookmarkStart w:name="refKraus2010" w:id="63"/>
      <w:r>
        <w:rPr>
          <w:rStyle w:val="None"/>
          <w:b w:val="1"/>
          <w:bCs w:val="1"/>
          <w:rtl w:val="0"/>
          <w:lang w:val="de-DE"/>
        </w:rPr>
        <w:t>Kraus F</w:t>
      </w:r>
      <w:r>
        <w:rPr>
          <w:rStyle w:val="None A"/>
          <w:rtl w:val="0"/>
        </w:rPr>
        <w:t xml:space="preserve">. </w:t>
      </w:r>
      <w:r>
        <w:rPr>
          <w:rStyle w:val="None"/>
          <w:b w:val="1"/>
          <w:bCs w:val="1"/>
          <w:rtl w:val="0"/>
        </w:rPr>
        <w:t>2010</w:t>
      </w:r>
      <w:r>
        <w:rPr>
          <w:rStyle w:val="None A"/>
          <w:rtl w:val="0"/>
        </w:rPr>
        <w:t xml:space="preserve">. </w:t>
      </w:r>
      <w:r>
        <w:rPr>
          <w:rStyle w:val="Hyperlink.2"/>
        </w:rPr>
        <w:fldChar w:fldCharType="begin" w:fldLock="0"/>
      </w:r>
      <w:r>
        <w:rPr>
          <w:rStyle w:val="Hyperlink.2"/>
        </w:rPr>
        <w:instrText xml:space="preserve"> HYPERLINK "https://doi.org/10.3897/zookeys.48.446"</w:instrText>
      </w:r>
      <w:r>
        <w:rPr>
          <w:rStyle w:val="Hyperlink.2"/>
        </w:rPr>
        <w:fldChar w:fldCharType="separate" w:fldLock="0"/>
      </w:r>
      <w:r>
        <w:rPr>
          <w:rStyle w:val="Hyperlink.2"/>
          <w:rtl w:val="0"/>
          <w:lang w:val="en-US"/>
        </w:rPr>
        <w:t>New genus of diminutive microhylid frogs from Papua New Guinea</w:t>
      </w:r>
      <w:r>
        <w:rPr/>
        <w:fldChar w:fldCharType="end" w:fldLock="0"/>
      </w:r>
      <w:r>
        <w:rPr>
          <w:rStyle w:val="None A"/>
          <w:rtl w:val="0"/>
        </w:rPr>
        <w:t xml:space="preserve">. </w:t>
      </w:r>
      <w:r>
        <w:rPr>
          <w:rStyle w:val="None"/>
          <w:i w:val="1"/>
          <w:iCs w:val="1"/>
          <w:rtl w:val="0"/>
        </w:rPr>
        <w:t>ZOOKEYS</w:t>
      </w:r>
      <w:r>
        <w:rPr>
          <w:rStyle w:val="None A"/>
          <w:rtl w:val="0"/>
        </w:rPr>
        <w:t>: 39</w:t>
      </w:r>
      <w:r>
        <w:rPr>
          <w:rStyle w:val="None A"/>
          <w:rtl w:val="0"/>
        </w:rPr>
        <w:t>–</w:t>
      </w:r>
      <w:r>
        <w:rPr>
          <w:rStyle w:val="None A"/>
          <w:rtl w:val="0"/>
        </w:rPr>
        <w:t>59.</w:t>
      </w:r>
      <w:bookmarkEnd w:id="63"/>
    </w:p>
    <w:p>
      <w:pPr>
        <w:pStyle w:val="Body A"/>
        <w:spacing w:line="480" w:lineRule="auto"/>
        <w:ind w:left="360" w:hanging="360"/>
      </w:pPr>
      <w:bookmarkStart w:name="refKraus2013" w:id="64"/>
      <w:r>
        <w:rPr>
          <w:rStyle w:val="None"/>
          <w:b w:val="1"/>
          <w:bCs w:val="1"/>
          <w:rtl w:val="0"/>
          <w:lang w:val="de-DE"/>
        </w:rPr>
        <w:t>Kraus F</w:t>
      </w:r>
      <w:r>
        <w:rPr>
          <w:rStyle w:val="None A"/>
          <w:rtl w:val="0"/>
        </w:rPr>
        <w:t xml:space="preserve">. </w:t>
      </w:r>
      <w:r>
        <w:rPr>
          <w:rStyle w:val="None"/>
          <w:b w:val="1"/>
          <w:bCs w:val="1"/>
          <w:rtl w:val="0"/>
        </w:rPr>
        <w:t>2013</w:t>
      </w:r>
      <w:r>
        <w:rPr>
          <w:rStyle w:val="None A"/>
          <w:rtl w:val="0"/>
        </w:rPr>
        <w:t xml:space="preserve">. </w:t>
      </w:r>
      <w:r>
        <w:rPr>
          <w:rStyle w:val="Hyperlink.2"/>
        </w:rPr>
        <w:fldChar w:fldCharType="begin" w:fldLock="0"/>
      </w:r>
      <w:r>
        <w:rPr>
          <w:rStyle w:val="Hyperlink.2"/>
        </w:rPr>
        <w:instrText xml:space="preserve"> HYPERLINK "https://doi.org/10.3897/zookeys.330.5795"</w:instrText>
      </w:r>
      <w:r>
        <w:rPr>
          <w:rStyle w:val="Hyperlink.2"/>
        </w:rPr>
        <w:fldChar w:fldCharType="separate" w:fldLock="0"/>
      </w:r>
      <w:r>
        <w:rPr>
          <w:rStyle w:val="Hyperlink.2"/>
          <w:rtl w:val="0"/>
          <w:lang w:val="en-US"/>
        </w:rPr>
        <w:t>Three new species of &lt;i&gt;Oreophryne&lt;/i&gt; (Anura, Microhylidae) from Papua New Guinea</w:t>
      </w:r>
      <w:r>
        <w:rPr/>
        <w:fldChar w:fldCharType="end" w:fldLock="0"/>
      </w:r>
      <w:r>
        <w:rPr>
          <w:rStyle w:val="None A"/>
          <w:rtl w:val="0"/>
        </w:rPr>
        <w:t xml:space="preserve">. </w:t>
      </w:r>
      <w:r>
        <w:rPr>
          <w:rStyle w:val="None"/>
          <w:i w:val="1"/>
          <w:iCs w:val="1"/>
          <w:rtl w:val="0"/>
        </w:rPr>
        <w:t>ZOOKEYS</w:t>
      </w:r>
      <w:r>
        <w:rPr>
          <w:rStyle w:val="None A"/>
          <w:rtl w:val="0"/>
        </w:rPr>
        <w:t>: 93</w:t>
      </w:r>
      <w:r>
        <w:rPr>
          <w:rStyle w:val="None A"/>
          <w:rtl w:val="0"/>
        </w:rPr>
        <w:t>–</w:t>
      </w:r>
      <w:r>
        <w:rPr>
          <w:rStyle w:val="None A"/>
          <w:rtl w:val="0"/>
        </w:rPr>
        <w:t>121.</w:t>
      </w:r>
      <w:bookmarkEnd w:id="64"/>
    </w:p>
    <w:p>
      <w:pPr>
        <w:pStyle w:val="Body A"/>
        <w:spacing w:line="480" w:lineRule="auto"/>
        <w:ind w:left="360" w:hanging="360"/>
      </w:pPr>
      <w:bookmarkStart w:name="refKraus2016" w:id="65"/>
      <w:r>
        <w:rPr>
          <w:rStyle w:val="None"/>
          <w:b w:val="1"/>
          <w:bCs w:val="1"/>
          <w:rtl w:val="0"/>
          <w:lang w:val="de-DE"/>
        </w:rPr>
        <w:t>Kraus F</w:t>
      </w:r>
      <w:r>
        <w:rPr>
          <w:rStyle w:val="None A"/>
          <w:rtl w:val="0"/>
        </w:rPr>
        <w:t xml:space="preserve">. </w:t>
      </w:r>
      <w:r>
        <w:rPr>
          <w:rStyle w:val="None"/>
          <w:b w:val="1"/>
          <w:bCs w:val="1"/>
          <w:rtl w:val="0"/>
        </w:rPr>
        <w:t>2016</w:t>
      </w:r>
      <w:r>
        <w:rPr>
          <w:rStyle w:val="None A"/>
          <w:rtl w:val="0"/>
        </w:rPr>
        <w:t xml:space="preserve">. </w:t>
      </w:r>
      <w:r>
        <w:rPr>
          <w:rStyle w:val="Hyperlink.2"/>
        </w:rPr>
        <w:fldChar w:fldCharType="begin" w:fldLock="0"/>
      </w:r>
      <w:r>
        <w:rPr>
          <w:rStyle w:val="Hyperlink.2"/>
        </w:rPr>
        <w:instrText xml:space="preserve"> HYPERLINK "https://doi.org/10.11646/zootaxa.4195.1.1"</w:instrText>
      </w:r>
      <w:r>
        <w:rPr>
          <w:rStyle w:val="Hyperlink.2"/>
        </w:rPr>
        <w:fldChar w:fldCharType="separate" w:fldLock="0"/>
      </w:r>
      <w:r>
        <w:rPr>
          <w:rStyle w:val="Hyperlink.2"/>
          <w:rtl w:val="0"/>
          <w:lang w:val="en-US"/>
        </w:rPr>
        <w:t xml:space="preserve">Ten new species of </w:t>
      </w:r>
      <w:r>
        <w:rPr>
          <w:rStyle w:val="Hyperlink.1.0"/>
          <w:rtl w:val="0"/>
        </w:rPr>
        <w:t>Oreophryne</w:t>
      </w:r>
      <w:r>
        <w:rPr>
          <w:rStyle w:val="Hyperlink.2"/>
          <w:rtl w:val="0"/>
          <w:lang w:val="en-US"/>
        </w:rPr>
        <w:t xml:space="preserve"> (Anura, Microhylidae) from Papua New Guinea</w:t>
      </w:r>
      <w:r>
        <w:rPr/>
        <w:fldChar w:fldCharType="end" w:fldLock="0"/>
      </w:r>
      <w:r>
        <w:rPr>
          <w:rStyle w:val="None A"/>
          <w:rtl w:val="0"/>
        </w:rPr>
        <w:t xml:space="preserve">. </w:t>
      </w:r>
      <w:r>
        <w:rPr>
          <w:rStyle w:val="None"/>
          <w:i w:val="1"/>
          <w:iCs w:val="1"/>
          <w:rtl w:val="0"/>
          <w:lang w:val="pt-PT"/>
        </w:rPr>
        <w:t>Zootaxa</w:t>
      </w:r>
      <w:r>
        <w:rPr>
          <w:rStyle w:val="None A"/>
          <w:rtl w:val="0"/>
        </w:rPr>
        <w:t xml:space="preserve"> </w:t>
      </w:r>
      <w:r>
        <w:rPr>
          <w:rStyle w:val="None"/>
          <w:b w:val="1"/>
          <w:bCs w:val="1"/>
          <w:rtl w:val="0"/>
        </w:rPr>
        <w:t>4195</w:t>
      </w:r>
      <w:r>
        <w:rPr>
          <w:rStyle w:val="None A"/>
          <w:rtl w:val="0"/>
        </w:rPr>
        <w:t>: 1</w:t>
      </w:r>
      <w:r>
        <w:rPr>
          <w:rStyle w:val="None A"/>
          <w:rtl w:val="0"/>
        </w:rPr>
        <w:t>–</w:t>
      </w:r>
      <w:r>
        <w:rPr>
          <w:rStyle w:val="None A"/>
          <w:rtl w:val="0"/>
        </w:rPr>
        <w:t>68.</w:t>
      </w:r>
      <w:bookmarkEnd w:id="65"/>
    </w:p>
    <w:p>
      <w:pPr>
        <w:pStyle w:val="Body A"/>
        <w:spacing w:line="480" w:lineRule="auto"/>
        <w:ind w:left="360" w:hanging="360"/>
      </w:pPr>
      <w:bookmarkStart w:name="refKraus2017" w:id="66"/>
      <w:r>
        <w:rPr>
          <w:rStyle w:val="None"/>
          <w:b w:val="1"/>
          <w:bCs w:val="1"/>
          <w:rtl w:val="0"/>
          <w:lang w:val="de-DE"/>
        </w:rPr>
        <w:t>Kraus F</w:t>
      </w:r>
      <w:r>
        <w:rPr>
          <w:rStyle w:val="None A"/>
          <w:rtl w:val="0"/>
        </w:rPr>
        <w:t xml:space="preserve">. </w:t>
      </w:r>
      <w:r>
        <w:rPr>
          <w:rStyle w:val="None"/>
          <w:b w:val="1"/>
          <w:bCs w:val="1"/>
          <w:rtl w:val="0"/>
        </w:rPr>
        <w:t>2017</w:t>
      </w:r>
      <w:r>
        <w:rPr>
          <w:rStyle w:val="None A"/>
          <w:rtl w:val="0"/>
        </w:rPr>
        <w:t xml:space="preserve">. </w:t>
      </w:r>
      <w:r>
        <w:rPr>
          <w:rStyle w:val="Hyperlink.2"/>
        </w:rPr>
        <w:fldChar w:fldCharType="begin" w:fldLock="0"/>
      </w:r>
      <w:r>
        <w:rPr>
          <w:rStyle w:val="Hyperlink.2"/>
        </w:rPr>
        <w:instrText xml:space="preserve"> HYPERLINK "https://doi.org/10.1670/17-002"</w:instrText>
      </w:r>
      <w:r>
        <w:rPr>
          <w:rStyle w:val="Hyperlink.2"/>
        </w:rPr>
        <w:fldChar w:fldCharType="separate" w:fldLock="0"/>
      </w:r>
      <w:r>
        <w:rPr>
          <w:rStyle w:val="Hyperlink.2"/>
          <w:rtl w:val="0"/>
          <w:lang w:val="en-US"/>
        </w:rPr>
        <w:t xml:space="preserve">A New Insular Species of </w:t>
      </w:r>
      <w:r>
        <w:rPr>
          <w:rStyle w:val="Hyperlink.1.0"/>
          <w:rtl w:val="0"/>
        </w:rPr>
        <w:t>Oreophryne</w:t>
      </w:r>
      <w:r>
        <w:rPr>
          <w:rStyle w:val="Hyperlink.2"/>
          <w:rtl w:val="0"/>
          <w:lang w:val="en-US"/>
        </w:rPr>
        <w:t xml:space="preserve"> (Anura, Microhylidae) from Papua New Guinea</w:t>
      </w:r>
      <w:r>
        <w:rPr/>
        <w:fldChar w:fldCharType="end" w:fldLock="0"/>
      </w:r>
      <w:r>
        <w:rPr>
          <w:rStyle w:val="None A"/>
          <w:rtl w:val="0"/>
        </w:rPr>
        <w:t xml:space="preserve">. </w:t>
      </w:r>
      <w:r>
        <w:rPr>
          <w:rStyle w:val="None"/>
          <w:i w:val="1"/>
          <w:iCs w:val="1"/>
          <w:rtl w:val="0"/>
          <w:lang w:val="en-US"/>
        </w:rPr>
        <w:t>Journal of Herpetology</w:t>
      </w:r>
      <w:r>
        <w:rPr>
          <w:rStyle w:val="None A"/>
          <w:rtl w:val="0"/>
        </w:rPr>
        <w:t xml:space="preserve"> </w:t>
      </w:r>
      <w:r>
        <w:rPr>
          <w:rStyle w:val="None"/>
          <w:b w:val="1"/>
          <w:bCs w:val="1"/>
          <w:rtl w:val="0"/>
        </w:rPr>
        <w:t>51</w:t>
      </w:r>
      <w:r>
        <w:rPr>
          <w:rStyle w:val="None A"/>
          <w:rtl w:val="0"/>
        </w:rPr>
        <w:t>: 552</w:t>
      </w:r>
      <w:r>
        <w:rPr>
          <w:rStyle w:val="None A"/>
          <w:rtl w:val="0"/>
        </w:rPr>
        <w:t>–</w:t>
      </w:r>
      <w:r>
        <w:rPr>
          <w:rStyle w:val="None A"/>
          <w:rtl w:val="0"/>
        </w:rPr>
        <w:t>558.</w:t>
      </w:r>
      <w:bookmarkEnd w:id="66"/>
    </w:p>
    <w:p>
      <w:pPr>
        <w:pStyle w:val="Body A"/>
        <w:spacing w:line="480" w:lineRule="auto"/>
        <w:ind w:left="360" w:hanging="360"/>
      </w:pPr>
      <w:bookmarkStart w:name="refKraus2004" w:id="67"/>
      <w:r>
        <w:rPr>
          <w:rStyle w:val="None"/>
          <w:b w:val="1"/>
          <w:bCs w:val="1"/>
          <w:rtl w:val="0"/>
        </w:rPr>
        <w:t>Kraus F &amp; Allison A</w:t>
      </w:r>
      <w:r>
        <w:rPr>
          <w:rStyle w:val="None A"/>
          <w:rtl w:val="0"/>
        </w:rPr>
        <w:t xml:space="preserve">. </w:t>
      </w:r>
      <w:r>
        <w:rPr>
          <w:rStyle w:val="None"/>
          <w:b w:val="1"/>
          <w:bCs w:val="1"/>
          <w:rtl w:val="0"/>
        </w:rPr>
        <w:t>2004</w:t>
      </w:r>
      <w:r>
        <w:rPr>
          <w:rStyle w:val="None"/>
          <w:rtl w:val="0"/>
          <w:lang w:val="en-US"/>
        </w:rPr>
        <w:t>. Notes on poorly known New Guinea frogs. I. Microhylids from the D</w:t>
      </w:r>
      <w:r>
        <w:rPr>
          <w:rStyle w:val="None"/>
          <w:rtl w:val="1"/>
        </w:rPr>
        <w:t>’</w:t>
      </w:r>
      <w:r>
        <w:rPr>
          <w:rStyle w:val="None"/>
          <w:rtl w:val="0"/>
          <w:lang w:val="fr-FR"/>
        </w:rPr>
        <w:t xml:space="preserve">Entrecasteaux Islands. </w:t>
      </w:r>
      <w:r>
        <w:rPr>
          <w:rStyle w:val="None"/>
          <w:i w:val="1"/>
          <w:iCs w:val="1"/>
          <w:rtl w:val="0"/>
          <w:lang w:val="de-DE"/>
        </w:rPr>
        <w:t>HERPETOFAUNA-SYDNEY-</w:t>
      </w:r>
      <w:r>
        <w:rPr>
          <w:rStyle w:val="None A"/>
          <w:rtl w:val="0"/>
        </w:rPr>
        <w:t xml:space="preserve"> </w:t>
      </w:r>
      <w:r>
        <w:rPr>
          <w:rStyle w:val="None"/>
          <w:b w:val="1"/>
          <w:bCs w:val="1"/>
          <w:rtl w:val="0"/>
          <w:lang w:val="ru-RU"/>
        </w:rPr>
        <w:t>34</w:t>
      </w:r>
      <w:r>
        <w:rPr>
          <w:rStyle w:val="None A"/>
          <w:rtl w:val="0"/>
        </w:rPr>
        <w:t>: 26</w:t>
      </w:r>
      <w:r>
        <w:rPr>
          <w:rStyle w:val="None A"/>
          <w:rtl w:val="0"/>
        </w:rPr>
        <w:t>–</w:t>
      </w:r>
      <w:r>
        <w:rPr>
          <w:rStyle w:val="None A"/>
          <w:rtl w:val="0"/>
        </w:rPr>
        <w:t>39.</w:t>
      </w:r>
      <w:bookmarkEnd w:id="67"/>
    </w:p>
    <w:p>
      <w:pPr>
        <w:pStyle w:val="Body A"/>
        <w:spacing w:line="480" w:lineRule="auto"/>
        <w:ind w:left="360" w:hanging="360"/>
      </w:pPr>
      <w:bookmarkStart w:name="refKraus2009" w:id="68"/>
      <w:r>
        <w:rPr>
          <w:rStyle w:val="None"/>
          <w:b w:val="1"/>
          <w:bCs w:val="1"/>
          <w:rtl w:val="0"/>
        </w:rPr>
        <w:t>Kraus F &amp; Allison A</w:t>
      </w:r>
      <w:r>
        <w:rPr>
          <w:rStyle w:val="None A"/>
          <w:rtl w:val="0"/>
        </w:rPr>
        <w:t xml:space="preserve">. </w:t>
      </w:r>
      <w:r>
        <w:rPr>
          <w:rStyle w:val="None"/>
          <w:b w:val="1"/>
          <w:bCs w:val="1"/>
          <w:rtl w:val="0"/>
        </w:rPr>
        <w:t>2009</w:t>
      </w:r>
      <w:r>
        <w:rPr>
          <w:rStyle w:val="None A"/>
          <w:rtl w:val="0"/>
        </w:rPr>
        <w:t xml:space="preserve">. </w:t>
      </w:r>
      <w:r>
        <w:rPr>
          <w:rStyle w:val="Hyperlink.2"/>
        </w:rPr>
        <w:fldChar w:fldCharType="begin" w:fldLock="0"/>
      </w:r>
      <w:r>
        <w:rPr>
          <w:rStyle w:val="Hyperlink.2"/>
        </w:rPr>
        <w:instrText xml:space="preserve"> HYPERLINK "https://doi.org/10.3897/zookeys.26.258"</w:instrText>
      </w:r>
      <w:r>
        <w:rPr>
          <w:rStyle w:val="Hyperlink.2"/>
        </w:rPr>
        <w:fldChar w:fldCharType="separate" w:fldLock="0"/>
      </w:r>
      <w:r>
        <w:rPr>
          <w:rStyle w:val="Hyperlink.2"/>
          <w:rtl w:val="0"/>
          <w:lang w:val="en-US"/>
        </w:rPr>
        <w:t>New microhylid frogs from the Muller Range, Papua New Guinea</w:t>
      </w:r>
      <w:r>
        <w:rPr/>
        <w:fldChar w:fldCharType="end" w:fldLock="0"/>
      </w:r>
      <w:r>
        <w:rPr>
          <w:rStyle w:val="None A"/>
          <w:rtl w:val="0"/>
        </w:rPr>
        <w:t xml:space="preserve">. </w:t>
      </w:r>
      <w:r>
        <w:rPr>
          <w:rStyle w:val="None"/>
          <w:i w:val="1"/>
          <w:iCs w:val="1"/>
          <w:rtl w:val="0"/>
          <w:lang w:val="en-US"/>
        </w:rPr>
        <w:t>ZooKeys</w:t>
      </w:r>
      <w:r>
        <w:rPr>
          <w:rStyle w:val="None A"/>
          <w:rtl w:val="0"/>
        </w:rPr>
        <w:t xml:space="preserve"> </w:t>
      </w:r>
      <w:r>
        <w:rPr>
          <w:rStyle w:val="None"/>
          <w:b w:val="1"/>
          <w:bCs w:val="1"/>
          <w:rtl w:val="0"/>
        </w:rPr>
        <w:t>26</w:t>
      </w:r>
      <w:r>
        <w:rPr>
          <w:rStyle w:val="None A"/>
          <w:rtl w:val="0"/>
        </w:rPr>
        <w:t>: 53</w:t>
      </w:r>
      <w:r>
        <w:rPr>
          <w:rStyle w:val="None A"/>
          <w:rtl w:val="0"/>
        </w:rPr>
        <w:t>–</w:t>
      </w:r>
      <w:r>
        <w:rPr>
          <w:rStyle w:val="None A"/>
          <w:rtl w:val="0"/>
        </w:rPr>
        <w:t>76.</w:t>
      </w:r>
      <w:bookmarkEnd w:id="68"/>
    </w:p>
    <w:p>
      <w:pPr>
        <w:pStyle w:val="Body A"/>
        <w:spacing w:line="480" w:lineRule="auto"/>
        <w:ind w:left="360" w:hanging="360"/>
      </w:pPr>
      <w:bookmarkStart w:name="refLanfear2012" w:id="69"/>
      <w:r>
        <w:rPr>
          <w:rStyle w:val="None"/>
          <w:b w:val="1"/>
          <w:bCs w:val="1"/>
          <w:rtl w:val="0"/>
          <w:lang w:val="it-IT"/>
        </w:rPr>
        <w:t>Lanfear R, Calcott B, Ho SYW &amp; Guindon S</w:t>
      </w:r>
      <w:r>
        <w:rPr>
          <w:rStyle w:val="None A"/>
          <w:rtl w:val="0"/>
        </w:rPr>
        <w:t xml:space="preserve">. </w:t>
      </w:r>
      <w:r>
        <w:rPr>
          <w:rStyle w:val="None"/>
          <w:b w:val="1"/>
          <w:bCs w:val="1"/>
          <w:rtl w:val="0"/>
        </w:rPr>
        <w:t>2012</w:t>
      </w:r>
      <w:r>
        <w:rPr>
          <w:rStyle w:val="None A"/>
          <w:rtl w:val="0"/>
        </w:rPr>
        <w:t xml:space="preserve">. </w:t>
      </w:r>
      <w:r>
        <w:rPr>
          <w:rStyle w:val="Hyperlink.2"/>
        </w:rPr>
        <w:fldChar w:fldCharType="begin" w:fldLock="0"/>
      </w:r>
      <w:r>
        <w:rPr>
          <w:rStyle w:val="Hyperlink.2"/>
        </w:rPr>
        <w:instrText xml:space="preserve"> HYPERLINK "https://doi.org/10.1093/molbev/mss020"</w:instrText>
      </w:r>
      <w:r>
        <w:rPr>
          <w:rStyle w:val="Hyperlink.2"/>
        </w:rPr>
        <w:fldChar w:fldCharType="separate" w:fldLock="0"/>
      </w:r>
      <w:r>
        <w:rPr>
          <w:rStyle w:val="Hyperlink.2"/>
          <w:rtl w:val="0"/>
          <w:lang w:val="en-US"/>
        </w:rPr>
        <w:t>PartitionFinder: Combined Selection of Partitioning Schemes and Substitution Models for Phylogenetic Analyses</w:t>
      </w:r>
      <w:r>
        <w:rPr/>
        <w:fldChar w:fldCharType="end" w:fldLock="0"/>
      </w:r>
      <w:r>
        <w:rPr>
          <w:rStyle w:val="None A"/>
          <w:rtl w:val="0"/>
        </w:rPr>
        <w:t xml:space="preserve">. </w:t>
      </w:r>
      <w:r>
        <w:rPr>
          <w:rStyle w:val="None"/>
          <w:i w:val="1"/>
          <w:iCs w:val="1"/>
          <w:rtl w:val="0"/>
          <w:lang w:val="en-US"/>
        </w:rPr>
        <w:t>Molecular Biology and Evolution</w:t>
      </w:r>
      <w:r>
        <w:rPr>
          <w:rStyle w:val="None A"/>
          <w:rtl w:val="0"/>
        </w:rPr>
        <w:t xml:space="preserve"> </w:t>
      </w:r>
      <w:r>
        <w:rPr>
          <w:rStyle w:val="None"/>
          <w:b w:val="1"/>
          <w:bCs w:val="1"/>
          <w:rtl w:val="0"/>
        </w:rPr>
        <w:t>29</w:t>
      </w:r>
      <w:r>
        <w:rPr>
          <w:rStyle w:val="None A"/>
          <w:rtl w:val="0"/>
        </w:rPr>
        <w:t>: 1695</w:t>
      </w:r>
      <w:r>
        <w:rPr>
          <w:rStyle w:val="None A"/>
          <w:rtl w:val="0"/>
        </w:rPr>
        <w:t>–</w:t>
      </w:r>
      <w:r>
        <w:rPr>
          <w:rStyle w:val="None A"/>
          <w:rtl w:val="0"/>
        </w:rPr>
        <w:t>1701.</w:t>
      </w:r>
      <w:bookmarkEnd w:id="69"/>
    </w:p>
    <w:p>
      <w:pPr>
        <w:pStyle w:val="Body A"/>
        <w:spacing w:line="480" w:lineRule="auto"/>
        <w:ind w:left="360" w:hanging="360"/>
      </w:pPr>
      <w:bookmarkStart w:name="refMacleay1878" w:id="70"/>
      <w:r>
        <w:rPr>
          <w:rStyle w:val="None"/>
          <w:b w:val="1"/>
          <w:bCs w:val="1"/>
          <w:rtl w:val="0"/>
          <w:lang w:val="en-US"/>
        </w:rPr>
        <w:t>Macleay WJ</w:t>
      </w:r>
      <w:r>
        <w:rPr>
          <w:rStyle w:val="None A"/>
          <w:rtl w:val="0"/>
        </w:rPr>
        <w:t xml:space="preserve">. </w:t>
      </w:r>
      <w:r>
        <w:rPr>
          <w:rStyle w:val="None"/>
          <w:b w:val="1"/>
          <w:bCs w:val="1"/>
          <w:rtl w:val="0"/>
        </w:rPr>
        <w:t>1878</w:t>
      </w:r>
      <w:r>
        <w:rPr>
          <w:rStyle w:val="None"/>
          <w:rtl w:val="0"/>
          <w:lang w:val="en-US"/>
        </w:rPr>
        <w:t xml:space="preserve">. The batrachians of the "Chevert" Expedition. </w:t>
      </w:r>
      <w:r>
        <w:rPr>
          <w:rStyle w:val="None"/>
          <w:i w:val="1"/>
          <w:iCs w:val="1"/>
          <w:rtl w:val="0"/>
          <w:lang w:val="en-US"/>
        </w:rPr>
        <w:t>Proceedings of the Linnean Society of New South Wales</w:t>
      </w:r>
      <w:r>
        <w:rPr>
          <w:rStyle w:val="None A"/>
          <w:rtl w:val="0"/>
        </w:rPr>
        <w:t xml:space="preserve"> </w:t>
      </w:r>
      <w:r>
        <w:rPr>
          <w:rStyle w:val="None"/>
          <w:b w:val="1"/>
          <w:bCs w:val="1"/>
          <w:rtl w:val="0"/>
        </w:rPr>
        <w:t>2</w:t>
      </w:r>
      <w:r>
        <w:rPr>
          <w:rStyle w:val="None A"/>
          <w:rtl w:val="0"/>
        </w:rPr>
        <w:t>: 135</w:t>
      </w:r>
      <w:r>
        <w:rPr>
          <w:rStyle w:val="None A"/>
          <w:rtl w:val="0"/>
        </w:rPr>
        <w:t>–</w:t>
      </w:r>
      <w:r>
        <w:rPr>
          <w:rStyle w:val="None A"/>
          <w:rtl w:val="0"/>
        </w:rPr>
        <w:t>138.</w:t>
      </w:r>
      <w:bookmarkEnd w:id="70"/>
    </w:p>
    <w:p>
      <w:pPr>
        <w:pStyle w:val="Body A"/>
        <w:spacing w:line="480" w:lineRule="auto"/>
        <w:ind w:left="360" w:hanging="360"/>
      </w:pPr>
      <w:bookmarkStart w:name="refMaddison2023" w:id="71"/>
      <w:r>
        <w:rPr>
          <w:rStyle w:val="None"/>
          <w:b w:val="1"/>
          <w:bCs w:val="1"/>
          <w:rtl w:val="0"/>
          <w:lang w:val="en-US"/>
        </w:rPr>
        <w:t>Maddison WP &amp; Maddison DR</w:t>
      </w:r>
      <w:r>
        <w:rPr>
          <w:rStyle w:val="None A"/>
          <w:rtl w:val="0"/>
        </w:rPr>
        <w:t xml:space="preserve">. </w:t>
      </w:r>
      <w:r>
        <w:rPr>
          <w:rStyle w:val="None"/>
          <w:b w:val="1"/>
          <w:bCs w:val="1"/>
          <w:rtl w:val="0"/>
        </w:rPr>
        <w:t>2023</w:t>
      </w:r>
      <w:r>
        <w:rPr>
          <w:rStyle w:val="None A"/>
          <w:rtl w:val="0"/>
        </w:rPr>
        <w:t xml:space="preserve">. </w:t>
      </w:r>
      <w:r>
        <w:rPr>
          <w:rStyle w:val="Hyperlink.2"/>
        </w:rPr>
        <w:fldChar w:fldCharType="begin" w:fldLock="0"/>
      </w:r>
      <w:r>
        <w:rPr>
          <w:rStyle w:val="Hyperlink.2"/>
        </w:rPr>
        <w:instrText xml:space="preserve"> HYPERLINK "http://www.mesquiteproject.org"</w:instrText>
      </w:r>
      <w:r>
        <w:rPr>
          <w:rStyle w:val="Hyperlink.2"/>
        </w:rPr>
        <w:fldChar w:fldCharType="separate" w:fldLock="0"/>
      </w:r>
      <w:r>
        <w:rPr>
          <w:rStyle w:val="Hyperlink.2"/>
          <w:rtl w:val="0"/>
          <w:lang w:val="en-US"/>
        </w:rPr>
        <w:t>Mesquite: a modular system for evolutionary analysis</w:t>
      </w:r>
      <w:r>
        <w:rPr/>
        <w:fldChar w:fldCharType="end" w:fldLock="0"/>
      </w:r>
      <w:r>
        <w:rPr>
          <w:rStyle w:val="None A"/>
          <w:rtl w:val="0"/>
        </w:rPr>
        <w:t>.</w:t>
      </w:r>
      <w:bookmarkEnd w:id="71"/>
    </w:p>
    <w:p>
      <w:pPr>
        <w:pStyle w:val="Body A"/>
        <w:spacing w:line="480" w:lineRule="auto"/>
        <w:ind w:left="360" w:hanging="360"/>
      </w:pPr>
      <w:bookmarkStart w:name="refMassicotte2023" w:id="72"/>
      <w:r>
        <w:rPr>
          <w:rStyle w:val="None"/>
          <w:b w:val="1"/>
          <w:bCs w:val="1"/>
          <w:rtl w:val="0"/>
          <w:lang w:val="it-IT"/>
        </w:rPr>
        <w:t>Massicotte P &amp; South A</w:t>
      </w:r>
      <w:r>
        <w:rPr>
          <w:rStyle w:val="None A"/>
          <w:rtl w:val="0"/>
        </w:rPr>
        <w:t xml:space="preserve">. </w:t>
      </w:r>
      <w:r>
        <w:rPr>
          <w:rStyle w:val="None"/>
          <w:b w:val="1"/>
          <w:bCs w:val="1"/>
          <w:rtl w:val="0"/>
        </w:rPr>
        <w:t>2023</w:t>
      </w:r>
      <w:r>
        <w:rPr>
          <w:rStyle w:val="None A"/>
          <w:rtl w:val="0"/>
        </w:rPr>
        <w:t xml:space="preserve">. </w:t>
      </w:r>
      <w:r>
        <w:rPr>
          <w:rStyle w:val="Hyperlink.1"/>
        </w:rPr>
        <w:fldChar w:fldCharType="begin" w:fldLock="0"/>
      </w:r>
      <w:r>
        <w:rPr>
          <w:rStyle w:val="Hyperlink.1"/>
        </w:rPr>
        <w:instrText xml:space="preserve"> HYPERLINK "https://CRAN.R-project.org/package=rnaturalearth"</w:instrText>
      </w:r>
      <w:r>
        <w:rPr>
          <w:rStyle w:val="Hyperlink.1"/>
        </w:rPr>
        <w:fldChar w:fldCharType="separate" w:fldLock="0"/>
      </w:r>
      <w:r>
        <w:rPr>
          <w:rStyle w:val="Hyperlink.1"/>
          <w:rtl w:val="0"/>
          <w:lang w:val="en-US"/>
        </w:rPr>
        <w:t>rnaturalearth: World Map Data from Natural Earth</w:t>
      </w:r>
      <w:r>
        <w:rPr/>
        <w:fldChar w:fldCharType="end" w:fldLock="0"/>
      </w:r>
      <w:r>
        <w:rPr>
          <w:rStyle w:val="None A"/>
          <w:rtl w:val="0"/>
        </w:rPr>
        <w:t>.</w:t>
      </w:r>
      <w:bookmarkEnd w:id="72"/>
    </w:p>
    <w:p>
      <w:pPr>
        <w:pStyle w:val="Body A"/>
        <w:spacing w:line="480" w:lineRule="auto"/>
        <w:ind w:left="360" w:hanging="360"/>
      </w:pPr>
      <w:bookmarkStart w:name="refMehely1897" w:id="73"/>
      <w:r>
        <w:rPr>
          <w:rStyle w:val="None"/>
          <w:b w:val="1"/>
          <w:bCs w:val="1"/>
          <w:rtl w:val="0"/>
        </w:rPr>
        <w:t>M</w:t>
      </w:r>
      <w:r>
        <w:rPr>
          <w:rStyle w:val="None"/>
          <w:b w:val="1"/>
          <w:bCs w:val="1"/>
          <w:rtl w:val="0"/>
          <w:lang w:val="fr-FR"/>
        </w:rPr>
        <w:t>é</w:t>
      </w:r>
      <w:r>
        <w:rPr>
          <w:rStyle w:val="None"/>
          <w:b w:val="1"/>
          <w:bCs w:val="1"/>
          <w:rtl w:val="0"/>
        </w:rPr>
        <w:t>hely L</w:t>
      </w:r>
      <w:r>
        <w:rPr>
          <w:rStyle w:val="None A"/>
          <w:rtl w:val="0"/>
        </w:rPr>
        <w:t xml:space="preserve">. </w:t>
      </w:r>
      <w:r>
        <w:rPr>
          <w:rStyle w:val="None"/>
          <w:b w:val="1"/>
          <w:bCs w:val="1"/>
          <w:rtl w:val="0"/>
        </w:rPr>
        <w:t>1897</w:t>
      </w:r>
      <w:r>
        <w:rPr>
          <w:rStyle w:val="None"/>
          <w:rtl w:val="0"/>
          <w:lang w:val="en-US"/>
        </w:rPr>
        <w:t xml:space="preserve">. Further contributions to the herpetology of New-Guinea. </w:t>
      </w:r>
      <w:r>
        <w:rPr>
          <w:rStyle w:val="None"/>
          <w:i w:val="1"/>
          <w:iCs w:val="1"/>
          <w:rtl w:val="0"/>
          <w:lang w:val="it-IT"/>
        </w:rPr>
        <w:t>Term</w:t>
      </w:r>
      <w:r>
        <w:rPr>
          <w:rStyle w:val="None"/>
          <w:i w:val="1"/>
          <w:iCs w:val="1"/>
          <w:rtl w:val="0"/>
          <w:lang w:val="fr-FR"/>
        </w:rPr>
        <w:t>é</w:t>
      </w:r>
      <w:r>
        <w:rPr>
          <w:rStyle w:val="None"/>
          <w:i w:val="1"/>
          <w:iCs w:val="1"/>
          <w:rtl w:val="0"/>
        </w:rPr>
        <w:t>szetrajzi F</w:t>
      </w:r>
      <w:r>
        <w:rPr>
          <w:rStyle w:val="None"/>
          <w:i w:val="1"/>
          <w:iCs w:val="1"/>
          <w:rtl w:val="0"/>
        </w:rPr>
        <w:t>ü</w:t>
      </w:r>
      <w:r>
        <w:rPr>
          <w:rStyle w:val="None"/>
          <w:i w:val="1"/>
          <w:iCs w:val="1"/>
          <w:rtl w:val="0"/>
        </w:rPr>
        <w:t>zetek</w:t>
      </w:r>
      <w:r>
        <w:rPr>
          <w:rStyle w:val="None A"/>
          <w:rtl w:val="0"/>
        </w:rPr>
        <w:t xml:space="preserve"> </w:t>
      </w:r>
      <w:r>
        <w:rPr>
          <w:rStyle w:val="None"/>
          <w:b w:val="1"/>
          <w:bCs w:val="1"/>
          <w:rtl w:val="0"/>
        </w:rPr>
        <w:t>20</w:t>
      </w:r>
      <w:r>
        <w:rPr>
          <w:rStyle w:val="None A"/>
          <w:rtl w:val="0"/>
        </w:rPr>
        <w:t>: 398</w:t>
      </w:r>
      <w:r>
        <w:rPr>
          <w:rStyle w:val="None A"/>
          <w:rtl w:val="0"/>
        </w:rPr>
        <w:t>–</w:t>
      </w:r>
      <w:r>
        <w:rPr>
          <w:rStyle w:val="None A"/>
          <w:rtl w:val="0"/>
        </w:rPr>
        <w:t>419.</w:t>
      </w:r>
      <w:bookmarkEnd w:id="73"/>
    </w:p>
    <w:p>
      <w:pPr>
        <w:pStyle w:val="Body A"/>
        <w:spacing w:line="480" w:lineRule="auto"/>
        <w:ind w:left="360" w:hanging="360"/>
      </w:pPr>
      <w:bookmarkStart w:name="refMenzies2006" w:id="74"/>
      <w:r>
        <w:rPr>
          <w:rStyle w:val="None"/>
          <w:b w:val="1"/>
          <w:bCs w:val="1"/>
          <w:rtl w:val="0"/>
          <w:lang w:val="de-DE"/>
        </w:rPr>
        <w:t>Menzies J</w:t>
      </w:r>
      <w:r>
        <w:rPr>
          <w:rStyle w:val="None A"/>
          <w:rtl w:val="0"/>
        </w:rPr>
        <w:t xml:space="preserve">. </w:t>
      </w:r>
      <w:r>
        <w:rPr>
          <w:rStyle w:val="None"/>
          <w:b w:val="1"/>
          <w:bCs w:val="1"/>
          <w:rtl w:val="0"/>
        </w:rPr>
        <w:t>2006</w:t>
      </w:r>
      <w:r>
        <w:rPr>
          <w:rStyle w:val="None A"/>
          <w:rtl w:val="0"/>
        </w:rPr>
        <w:t xml:space="preserve">. </w:t>
      </w:r>
      <w:r>
        <w:rPr>
          <w:rStyle w:val="None"/>
          <w:i w:val="1"/>
          <w:iCs w:val="1"/>
          <w:rtl w:val="0"/>
          <w:lang w:val="en-US"/>
        </w:rPr>
        <w:t>The frogs of New Guinea and the Solomon Islands</w:t>
      </w:r>
      <w:r>
        <w:rPr>
          <w:rStyle w:val="None"/>
          <w:rtl w:val="0"/>
          <w:lang w:val="en-US"/>
        </w:rPr>
        <w:t>. Pensoft Publishers.</w:t>
      </w:r>
      <w:bookmarkEnd w:id="74"/>
    </w:p>
    <w:p>
      <w:pPr>
        <w:pStyle w:val="Body A"/>
        <w:spacing w:line="480" w:lineRule="auto"/>
        <w:ind w:left="360" w:hanging="360"/>
      </w:pPr>
      <w:bookmarkStart w:name="refMinh2020" w:id="75"/>
      <w:r>
        <w:rPr>
          <w:rStyle w:val="None"/>
          <w:b w:val="1"/>
          <w:bCs w:val="1"/>
          <w:rtl w:val="0"/>
          <w:lang w:val="de-DE"/>
        </w:rPr>
        <w:t>Minh BQ, Schmidt HA, Chernomor O, Schrempf D, Woodhams MD, Haeseler A von &amp; Lanfear R</w:t>
      </w:r>
      <w:r>
        <w:rPr>
          <w:rStyle w:val="None A"/>
          <w:rtl w:val="0"/>
        </w:rPr>
        <w:t xml:space="preserve">. </w:t>
      </w:r>
      <w:r>
        <w:rPr>
          <w:rStyle w:val="None"/>
          <w:b w:val="1"/>
          <w:bCs w:val="1"/>
          <w:rtl w:val="0"/>
        </w:rPr>
        <w:t>2020</w:t>
      </w:r>
      <w:r>
        <w:rPr>
          <w:rStyle w:val="None A"/>
          <w:rtl w:val="0"/>
        </w:rPr>
        <w:t xml:space="preserve">. </w:t>
      </w:r>
      <w:r>
        <w:rPr>
          <w:rStyle w:val="Hyperlink.2"/>
        </w:rPr>
        <w:fldChar w:fldCharType="begin" w:fldLock="0"/>
      </w:r>
      <w:r>
        <w:rPr>
          <w:rStyle w:val="Hyperlink.2"/>
        </w:rPr>
        <w:instrText xml:space="preserve"> HYPERLINK "https://doi.org/10.1093/molbev/msaa015"</w:instrText>
      </w:r>
      <w:r>
        <w:rPr>
          <w:rStyle w:val="Hyperlink.2"/>
        </w:rPr>
        <w:fldChar w:fldCharType="separate" w:fldLock="0"/>
      </w:r>
      <w:r>
        <w:rPr>
          <w:rStyle w:val="Hyperlink.2"/>
          <w:rtl w:val="0"/>
          <w:lang w:val="en-US"/>
        </w:rPr>
        <w:t>IQ-TREE 2: New models and efficient methods for phylogenetic inference in the genomic era</w:t>
      </w:r>
      <w:r>
        <w:rPr/>
        <w:fldChar w:fldCharType="end" w:fldLock="0"/>
      </w:r>
      <w:r>
        <w:rPr>
          <w:rStyle w:val="None A"/>
          <w:rtl w:val="0"/>
        </w:rPr>
        <w:t xml:space="preserve">. </w:t>
      </w:r>
      <w:r>
        <w:rPr>
          <w:rStyle w:val="None"/>
          <w:i w:val="1"/>
          <w:iCs w:val="1"/>
          <w:rtl w:val="0"/>
          <w:lang w:val="en-US"/>
        </w:rPr>
        <w:t>Molecular Biology and Evolution</w:t>
      </w:r>
      <w:r>
        <w:rPr>
          <w:rStyle w:val="None A"/>
          <w:rtl w:val="0"/>
        </w:rPr>
        <w:t xml:space="preserve"> </w:t>
      </w:r>
      <w:r>
        <w:rPr>
          <w:rStyle w:val="None"/>
          <w:b w:val="1"/>
          <w:bCs w:val="1"/>
          <w:rtl w:val="0"/>
        </w:rPr>
        <w:t>37</w:t>
      </w:r>
      <w:r>
        <w:rPr>
          <w:rStyle w:val="None A"/>
          <w:rtl w:val="0"/>
        </w:rPr>
        <w:t>: 1530</w:t>
      </w:r>
      <w:r>
        <w:rPr>
          <w:rStyle w:val="None A"/>
          <w:rtl w:val="0"/>
        </w:rPr>
        <w:t>–</w:t>
      </w:r>
      <w:r>
        <w:rPr>
          <w:rStyle w:val="None A"/>
          <w:rtl w:val="0"/>
        </w:rPr>
        <w:t>1534.</w:t>
      </w:r>
      <w:bookmarkEnd w:id="75"/>
    </w:p>
    <w:p>
      <w:pPr>
        <w:pStyle w:val="Body A"/>
        <w:spacing w:line="480" w:lineRule="auto"/>
        <w:ind w:left="360" w:hanging="360"/>
      </w:pPr>
      <w:bookmarkStart w:name="refMuller1894" w:id="76"/>
      <w:r>
        <w:rPr>
          <w:rStyle w:val="None"/>
          <w:b w:val="1"/>
          <w:bCs w:val="1"/>
          <w:rtl w:val="0"/>
        </w:rPr>
        <w:t>M</w:t>
      </w:r>
      <w:r>
        <w:rPr>
          <w:rStyle w:val="None"/>
          <w:b w:val="1"/>
          <w:bCs w:val="1"/>
          <w:rtl w:val="0"/>
        </w:rPr>
        <w:t>ü</w:t>
      </w:r>
      <w:r>
        <w:rPr>
          <w:rStyle w:val="None"/>
          <w:b w:val="1"/>
          <w:bCs w:val="1"/>
          <w:rtl w:val="0"/>
          <w:lang w:val="de-DE"/>
        </w:rPr>
        <w:t>ller F</w:t>
      </w:r>
      <w:r>
        <w:rPr>
          <w:rStyle w:val="None A"/>
          <w:rtl w:val="0"/>
        </w:rPr>
        <w:t xml:space="preserve">. </w:t>
      </w:r>
      <w:r>
        <w:rPr>
          <w:rStyle w:val="None"/>
          <w:b w:val="1"/>
          <w:bCs w:val="1"/>
          <w:rtl w:val="0"/>
        </w:rPr>
        <w:t>1894</w:t>
      </w:r>
      <w:r>
        <w:rPr>
          <w:rStyle w:val="None"/>
          <w:rtl w:val="0"/>
          <w:lang w:val="de-DE"/>
        </w:rPr>
        <w:t xml:space="preserve">. Reptilien und Amphibien aus Celebes. </w:t>
      </w:r>
      <w:r>
        <w:rPr>
          <w:rStyle w:val="None"/>
          <w:i w:val="1"/>
          <w:iCs w:val="1"/>
          <w:rtl w:val="0"/>
          <w:lang w:val="de-DE"/>
        </w:rPr>
        <w:t>Verhandlungen der Naturforschenden Gesellschaft in Basel</w:t>
      </w:r>
      <w:r>
        <w:rPr>
          <w:rStyle w:val="None A"/>
          <w:rtl w:val="0"/>
        </w:rPr>
        <w:t xml:space="preserve"> </w:t>
      </w:r>
      <w:r>
        <w:rPr>
          <w:rStyle w:val="None"/>
          <w:b w:val="1"/>
          <w:bCs w:val="1"/>
          <w:rtl w:val="0"/>
        </w:rPr>
        <w:t>10</w:t>
      </w:r>
      <w:r>
        <w:rPr>
          <w:rStyle w:val="None A"/>
          <w:rtl w:val="0"/>
        </w:rPr>
        <w:t>: 825</w:t>
      </w:r>
      <w:r>
        <w:rPr>
          <w:rStyle w:val="None A"/>
          <w:rtl w:val="0"/>
        </w:rPr>
        <w:t>–</w:t>
      </w:r>
      <w:r>
        <w:rPr>
          <w:rStyle w:val="None A"/>
          <w:rtl w:val="0"/>
        </w:rPr>
        <w:t>843.</w:t>
      </w:r>
      <w:bookmarkEnd w:id="76"/>
    </w:p>
    <w:p>
      <w:pPr>
        <w:pStyle w:val="Body A"/>
        <w:spacing w:line="480" w:lineRule="auto"/>
        <w:ind w:left="360" w:hanging="360"/>
      </w:pPr>
      <w:bookmarkStart w:name="refNieden1926" w:id="77"/>
      <w:r>
        <w:rPr>
          <w:rStyle w:val="None"/>
          <w:b w:val="1"/>
          <w:bCs w:val="1"/>
          <w:rtl w:val="0"/>
          <w:lang w:val="de-DE"/>
        </w:rPr>
        <w:t>Nieden F</w:t>
      </w:r>
      <w:r>
        <w:rPr>
          <w:rStyle w:val="None A"/>
          <w:rtl w:val="0"/>
        </w:rPr>
        <w:t xml:space="preserve">. </w:t>
      </w:r>
      <w:r>
        <w:rPr>
          <w:rStyle w:val="None"/>
          <w:b w:val="1"/>
          <w:bCs w:val="1"/>
          <w:rtl w:val="0"/>
        </w:rPr>
        <w:t>1926</w:t>
      </w:r>
      <w:r>
        <w:rPr>
          <w:rStyle w:val="None A"/>
          <w:rtl w:val="0"/>
        </w:rPr>
        <w:t xml:space="preserve">. Anura II. Engystomatidae. </w:t>
      </w:r>
      <w:r>
        <w:rPr>
          <w:rStyle w:val="None"/>
          <w:i w:val="1"/>
          <w:iCs w:val="1"/>
          <w:rtl w:val="0"/>
          <w:lang w:val="de-DE"/>
        </w:rPr>
        <w:t>Das Tierreich</w:t>
      </w:r>
      <w:r>
        <w:rPr>
          <w:rStyle w:val="None A"/>
          <w:rtl w:val="0"/>
        </w:rPr>
        <w:t xml:space="preserve"> </w:t>
      </w:r>
      <w:r>
        <w:rPr>
          <w:rStyle w:val="None"/>
          <w:b w:val="1"/>
          <w:bCs w:val="1"/>
          <w:rtl w:val="0"/>
        </w:rPr>
        <w:t>49</w:t>
      </w:r>
      <w:r>
        <w:rPr>
          <w:rStyle w:val="None A"/>
          <w:rtl w:val="0"/>
        </w:rPr>
        <w:t>: 1</w:t>
      </w:r>
      <w:r>
        <w:rPr>
          <w:rStyle w:val="None A"/>
          <w:rtl w:val="0"/>
        </w:rPr>
        <w:t>–</w:t>
      </w:r>
      <w:r>
        <w:rPr>
          <w:rStyle w:val="None A"/>
          <w:rtl w:val="0"/>
        </w:rPr>
        <w:t>110.</w:t>
      </w:r>
      <w:bookmarkEnd w:id="77"/>
    </w:p>
    <w:p>
      <w:pPr>
        <w:pStyle w:val="Body A"/>
        <w:spacing w:line="480" w:lineRule="auto"/>
        <w:ind w:left="360" w:hanging="360"/>
      </w:pPr>
      <w:bookmarkStart w:name="refParker1934" w:id="78"/>
      <w:r>
        <w:rPr>
          <w:rStyle w:val="None"/>
          <w:b w:val="1"/>
          <w:bCs w:val="1"/>
          <w:rtl w:val="0"/>
        </w:rPr>
        <w:t>Parker HW</w:t>
      </w:r>
      <w:r>
        <w:rPr>
          <w:rStyle w:val="None A"/>
          <w:rtl w:val="0"/>
        </w:rPr>
        <w:t xml:space="preserve">. </w:t>
      </w:r>
      <w:r>
        <w:rPr>
          <w:rStyle w:val="None"/>
          <w:b w:val="1"/>
          <w:bCs w:val="1"/>
          <w:rtl w:val="0"/>
        </w:rPr>
        <w:t>1934</w:t>
      </w:r>
      <w:r>
        <w:rPr>
          <w:rStyle w:val="None"/>
          <w:rtl w:val="0"/>
          <w:lang w:val="en-US"/>
        </w:rPr>
        <w:t xml:space="preserve">. A Monograph of the Frogs of the Family Microhylidae. </w:t>
      </w:r>
      <w:r>
        <w:rPr>
          <w:rStyle w:val="None"/>
          <w:i w:val="1"/>
          <w:iCs w:val="1"/>
          <w:rtl w:val="0"/>
          <w:lang w:val="en-US"/>
        </w:rPr>
        <w:t>London: Trustees of the British Museum</w:t>
      </w:r>
      <w:r>
        <w:rPr>
          <w:rStyle w:val="None A"/>
          <w:rtl w:val="0"/>
        </w:rPr>
        <w:t>.</w:t>
      </w:r>
      <w:bookmarkEnd w:id="78"/>
    </w:p>
    <w:p>
      <w:pPr>
        <w:pStyle w:val="Body A"/>
        <w:spacing w:line="480" w:lineRule="auto"/>
        <w:ind w:left="360" w:hanging="360"/>
      </w:pPr>
      <w:bookmarkStart w:name="refParker1936" w:id="79"/>
      <w:r>
        <w:rPr>
          <w:rStyle w:val="None"/>
          <w:b w:val="1"/>
          <w:bCs w:val="1"/>
          <w:rtl w:val="0"/>
        </w:rPr>
        <w:t>Parker HW</w:t>
      </w:r>
      <w:r>
        <w:rPr>
          <w:rStyle w:val="None A"/>
          <w:rtl w:val="0"/>
        </w:rPr>
        <w:t xml:space="preserve">. </w:t>
      </w:r>
      <w:r>
        <w:rPr>
          <w:rStyle w:val="None"/>
          <w:b w:val="1"/>
          <w:bCs w:val="1"/>
          <w:rtl w:val="0"/>
        </w:rPr>
        <w:t>1936</w:t>
      </w:r>
      <w:r>
        <w:rPr>
          <w:rStyle w:val="None"/>
          <w:rtl w:val="0"/>
          <w:lang w:val="en-US"/>
        </w:rPr>
        <w:t xml:space="preserve">. A collection of reptiles and amphibians from the mountains of british new guinea. </w:t>
      </w:r>
      <w:r>
        <w:rPr>
          <w:rStyle w:val="None"/>
          <w:i w:val="1"/>
          <w:iCs w:val="1"/>
          <w:rtl w:val="0"/>
          <w:lang w:val="en-US"/>
        </w:rPr>
        <w:t>Annals and Magazine of Natural History, Series 10</w:t>
      </w:r>
      <w:r>
        <w:rPr>
          <w:rStyle w:val="None A"/>
          <w:rtl w:val="0"/>
        </w:rPr>
        <w:t xml:space="preserve"> </w:t>
      </w:r>
      <w:r>
        <w:rPr>
          <w:rStyle w:val="None"/>
          <w:b w:val="1"/>
          <w:bCs w:val="1"/>
          <w:rtl w:val="0"/>
        </w:rPr>
        <w:t>17</w:t>
      </w:r>
      <w:r>
        <w:rPr>
          <w:rStyle w:val="None A"/>
          <w:rtl w:val="0"/>
        </w:rPr>
        <w:t>: 66</w:t>
      </w:r>
      <w:r>
        <w:rPr>
          <w:rStyle w:val="None A"/>
          <w:rtl w:val="0"/>
        </w:rPr>
        <w:t>–</w:t>
      </w:r>
      <w:r>
        <w:rPr>
          <w:rStyle w:val="None A"/>
          <w:rtl w:val="0"/>
        </w:rPr>
        <w:t>93.</w:t>
      </w:r>
      <w:bookmarkEnd w:id="79"/>
    </w:p>
    <w:p>
      <w:pPr>
        <w:pStyle w:val="Body A"/>
        <w:spacing w:line="480" w:lineRule="auto"/>
        <w:ind w:left="360" w:hanging="360"/>
      </w:pPr>
      <w:bookmarkStart w:name="refPebesma2018" w:id="80"/>
      <w:r>
        <w:rPr>
          <w:rStyle w:val="None"/>
          <w:b w:val="1"/>
          <w:bCs w:val="1"/>
          <w:rtl w:val="0"/>
        </w:rPr>
        <w:t>Pebesma E</w:t>
      </w:r>
      <w:r>
        <w:rPr>
          <w:rStyle w:val="None A"/>
          <w:rtl w:val="0"/>
        </w:rPr>
        <w:t xml:space="preserve">. </w:t>
      </w:r>
      <w:r>
        <w:rPr>
          <w:rStyle w:val="None"/>
          <w:b w:val="1"/>
          <w:bCs w:val="1"/>
          <w:rtl w:val="0"/>
        </w:rPr>
        <w:t>2018</w:t>
      </w:r>
      <w:r>
        <w:rPr>
          <w:rStyle w:val="None A"/>
          <w:rtl w:val="0"/>
        </w:rPr>
        <w:t xml:space="preserve">. </w:t>
      </w:r>
      <w:r>
        <w:rPr>
          <w:rStyle w:val="Hyperlink.2"/>
        </w:rPr>
        <w:fldChar w:fldCharType="begin" w:fldLock="0"/>
      </w:r>
      <w:r>
        <w:rPr>
          <w:rStyle w:val="Hyperlink.2"/>
        </w:rPr>
        <w:instrText xml:space="preserve"> HYPERLINK "https://doi.org/10.32614/RJ-2018-009"</w:instrText>
      </w:r>
      <w:r>
        <w:rPr>
          <w:rStyle w:val="Hyperlink.2"/>
        </w:rPr>
        <w:fldChar w:fldCharType="separate" w:fldLock="0"/>
      </w:r>
      <w:r>
        <w:rPr>
          <w:rStyle w:val="Hyperlink.2"/>
          <w:rtl w:val="0"/>
          <w:lang w:val="en-US"/>
        </w:rPr>
        <w:t>Simple Features for R: Standardized Support for Spatial Vector Data</w:t>
      </w:r>
      <w:r>
        <w:rPr/>
        <w:fldChar w:fldCharType="end" w:fldLock="0"/>
      </w:r>
      <w:r>
        <w:rPr>
          <w:rStyle w:val="None A"/>
          <w:rtl w:val="0"/>
        </w:rPr>
        <w:t xml:space="preserve">. </w:t>
      </w:r>
      <w:r>
        <w:rPr>
          <w:rStyle w:val="None"/>
          <w:i w:val="1"/>
          <w:iCs w:val="1"/>
          <w:rtl w:val="0"/>
          <w:lang w:val="en-US"/>
        </w:rPr>
        <w:t>The R Journal</w:t>
      </w:r>
      <w:r>
        <w:rPr>
          <w:rStyle w:val="None A"/>
          <w:rtl w:val="0"/>
        </w:rPr>
        <w:t xml:space="preserve"> </w:t>
      </w:r>
      <w:r>
        <w:rPr>
          <w:rStyle w:val="None"/>
          <w:b w:val="1"/>
          <w:bCs w:val="1"/>
          <w:rtl w:val="0"/>
        </w:rPr>
        <w:t>10</w:t>
      </w:r>
      <w:r>
        <w:rPr>
          <w:rStyle w:val="None A"/>
          <w:rtl w:val="0"/>
        </w:rPr>
        <w:t>: 439</w:t>
      </w:r>
      <w:r>
        <w:rPr>
          <w:rStyle w:val="None A"/>
          <w:rtl w:val="0"/>
        </w:rPr>
        <w:t>–</w:t>
      </w:r>
      <w:r>
        <w:rPr>
          <w:rStyle w:val="None A"/>
          <w:rtl w:val="0"/>
        </w:rPr>
        <w:t>446.</w:t>
      </w:r>
      <w:bookmarkEnd w:id="80"/>
    </w:p>
    <w:p>
      <w:pPr>
        <w:pStyle w:val="Body A"/>
        <w:spacing w:line="480" w:lineRule="auto"/>
        <w:ind w:left="360" w:hanging="360"/>
      </w:pPr>
      <w:bookmarkStart w:name="refPeters1878" w:id="81"/>
      <w:r>
        <w:rPr>
          <w:rStyle w:val="None"/>
          <w:b w:val="1"/>
          <w:bCs w:val="1"/>
          <w:rtl w:val="0"/>
          <w:lang w:val="en-US"/>
        </w:rPr>
        <w:t>Peters WCH &amp; Doria G</w:t>
      </w:r>
      <w:r>
        <w:rPr>
          <w:rStyle w:val="None A"/>
          <w:rtl w:val="0"/>
        </w:rPr>
        <w:t xml:space="preserve">. </w:t>
      </w:r>
      <w:r>
        <w:rPr>
          <w:rStyle w:val="None"/>
          <w:b w:val="1"/>
          <w:bCs w:val="1"/>
          <w:rtl w:val="0"/>
        </w:rPr>
        <w:t>1878</w:t>
      </w:r>
      <w:r>
        <w:rPr>
          <w:rStyle w:val="None"/>
          <w:rtl w:val="0"/>
          <w:lang w:val="it-IT"/>
        </w:rPr>
        <w:t>. Catalogo dei Rettili e dei Batraci raccolti da O. Beccari, L.M. d</w:t>
      </w:r>
      <w:r>
        <w:rPr>
          <w:rStyle w:val="None"/>
          <w:rtl w:val="1"/>
        </w:rPr>
        <w:t>’</w:t>
      </w:r>
      <w:r>
        <w:rPr>
          <w:rStyle w:val="None"/>
          <w:rtl w:val="0"/>
          <w:lang w:val="it-IT"/>
        </w:rPr>
        <w:t xml:space="preserve">Albertis A.A. Bruijn nella sotto-regione Austro-Malese. </w:t>
      </w:r>
      <w:r>
        <w:rPr>
          <w:rStyle w:val="None"/>
          <w:i w:val="1"/>
          <w:iCs w:val="1"/>
          <w:rtl w:val="0"/>
          <w:lang w:val="it-IT"/>
        </w:rPr>
        <w:t>Annali del Museo civico di storia naturale di Genova</w:t>
      </w:r>
      <w:r>
        <w:rPr>
          <w:rStyle w:val="None A"/>
          <w:rtl w:val="0"/>
        </w:rPr>
        <w:t xml:space="preserve"> </w:t>
      </w:r>
      <w:r>
        <w:rPr>
          <w:rStyle w:val="None"/>
          <w:b w:val="1"/>
          <w:bCs w:val="1"/>
          <w:rtl w:val="0"/>
        </w:rPr>
        <w:t>13</w:t>
      </w:r>
      <w:r>
        <w:rPr>
          <w:rStyle w:val="None A"/>
          <w:rtl w:val="0"/>
        </w:rPr>
        <w:t>: 323</w:t>
      </w:r>
      <w:r>
        <w:rPr>
          <w:rStyle w:val="None A"/>
          <w:rtl w:val="0"/>
        </w:rPr>
        <w:t>–</w:t>
      </w:r>
      <w:r>
        <w:rPr>
          <w:rStyle w:val="None A"/>
          <w:rtl w:val="0"/>
        </w:rPr>
        <w:t>450.</w:t>
      </w:r>
      <w:bookmarkEnd w:id="81"/>
    </w:p>
    <w:p>
      <w:pPr>
        <w:pStyle w:val="Body A"/>
        <w:spacing w:line="480" w:lineRule="auto"/>
        <w:ind w:left="360" w:hanging="360"/>
      </w:pPr>
      <w:bookmarkStart w:name="refPutri2023" w:id="82"/>
      <w:r>
        <w:rPr>
          <w:rStyle w:val="None"/>
          <w:b w:val="1"/>
          <w:bCs w:val="1"/>
          <w:rtl w:val="0"/>
          <w:lang w:val="it-IT"/>
        </w:rPr>
        <w:t>Putri A, Trilaksono W, Kurniati H, Hitch A, Jr A, Widayati K, Farajallah A &amp; Hamidy A</w:t>
      </w:r>
      <w:r>
        <w:rPr>
          <w:rStyle w:val="None A"/>
          <w:rtl w:val="0"/>
        </w:rPr>
        <w:t xml:space="preserve">. </w:t>
      </w:r>
      <w:r>
        <w:rPr>
          <w:rStyle w:val="None"/>
          <w:b w:val="1"/>
          <w:bCs w:val="1"/>
          <w:rtl w:val="0"/>
        </w:rPr>
        <w:t>2023</w:t>
      </w:r>
      <w:r>
        <w:rPr>
          <w:rStyle w:val="None A"/>
          <w:rtl w:val="0"/>
        </w:rPr>
        <w:t xml:space="preserve">. </w:t>
      </w:r>
      <w:r>
        <w:rPr>
          <w:rStyle w:val="Hyperlink.2"/>
        </w:rPr>
        <w:fldChar w:fldCharType="begin" w:fldLock="0"/>
      </w:r>
      <w:r>
        <w:rPr>
          <w:rStyle w:val="Hyperlink.2"/>
        </w:rPr>
        <w:instrText xml:space="preserve"> HYPERLINK "https://doi.org/10.11646/zootaxa.5353.5.4"</w:instrText>
      </w:r>
      <w:r>
        <w:rPr>
          <w:rStyle w:val="Hyperlink.2"/>
        </w:rPr>
        <w:fldChar w:fldCharType="separate" w:fldLock="0"/>
      </w:r>
      <w:r>
        <w:rPr>
          <w:rStyle w:val="Hyperlink.2"/>
          <w:rtl w:val="0"/>
          <w:lang w:val="en-US"/>
        </w:rPr>
        <w:t xml:space="preserve">A new high elevation species of </w:t>
      </w:r>
      <w:r>
        <w:rPr>
          <w:rStyle w:val="Hyperlink.1.0"/>
          <w:rtl w:val="0"/>
        </w:rPr>
        <w:t>Oreophryne</w:t>
      </w:r>
      <w:r>
        <w:rPr>
          <w:rStyle w:val="Hyperlink.2"/>
          <w:rtl w:val="0"/>
          <w:lang w:val="en-US"/>
        </w:rPr>
        <w:t xml:space="preserve"> Boettger (Anura: Microhylidae) from Sulawesi, Indonesia</w:t>
      </w:r>
      <w:r>
        <w:rPr/>
        <w:fldChar w:fldCharType="end" w:fldLock="0"/>
      </w:r>
      <w:r>
        <w:rPr>
          <w:rStyle w:val="None A"/>
          <w:rtl w:val="0"/>
        </w:rPr>
        <w:t xml:space="preserve">. </w:t>
      </w:r>
      <w:r>
        <w:rPr>
          <w:rStyle w:val="None"/>
          <w:i w:val="1"/>
          <w:iCs w:val="1"/>
          <w:rtl w:val="0"/>
          <w:lang w:val="pt-PT"/>
        </w:rPr>
        <w:t>Zootaxa</w:t>
      </w:r>
      <w:r>
        <w:rPr>
          <w:rStyle w:val="None A"/>
          <w:rtl w:val="0"/>
        </w:rPr>
        <w:t xml:space="preserve"> </w:t>
      </w:r>
      <w:r>
        <w:rPr>
          <w:rStyle w:val="None"/>
          <w:b w:val="1"/>
          <w:bCs w:val="1"/>
          <w:rtl w:val="0"/>
        </w:rPr>
        <w:t>5353</w:t>
      </w:r>
      <w:r>
        <w:rPr>
          <w:rStyle w:val="None A"/>
          <w:rtl w:val="0"/>
        </w:rPr>
        <w:t>: 455</w:t>
      </w:r>
      <w:r>
        <w:rPr>
          <w:rStyle w:val="None A"/>
          <w:rtl w:val="0"/>
        </w:rPr>
        <w:t>–</w:t>
      </w:r>
      <w:r>
        <w:rPr>
          <w:rStyle w:val="None A"/>
          <w:rtl w:val="0"/>
        </w:rPr>
        <w:t>467.</w:t>
      </w:r>
      <w:bookmarkEnd w:id="82"/>
    </w:p>
    <w:p>
      <w:pPr>
        <w:pStyle w:val="Body A"/>
        <w:spacing w:line="480" w:lineRule="auto"/>
        <w:ind w:left="360" w:hanging="360"/>
      </w:pPr>
      <w:bookmarkStart w:name="refR2024" w:id="83"/>
      <w:r>
        <w:rPr>
          <w:rStyle w:val="None"/>
          <w:b w:val="1"/>
          <w:bCs w:val="1"/>
          <w:rtl w:val="0"/>
          <w:lang w:val="de-DE"/>
        </w:rPr>
        <w:t>R Core Team</w:t>
      </w:r>
      <w:r>
        <w:rPr>
          <w:rStyle w:val="None A"/>
          <w:rtl w:val="0"/>
        </w:rPr>
        <w:t xml:space="preserve">. </w:t>
      </w:r>
      <w:r>
        <w:rPr>
          <w:rStyle w:val="None"/>
          <w:b w:val="1"/>
          <w:bCs w:val="1"/>
          <w:rtl w:val="0"/>
          <w:lang w:val="en-US"/>
        </w:rPr>
        <w:t>2024</w:t>
      </w:r>
      <w:r>
        <w:rPr>
          <w:rStyle w:val="None A"/>
          <w:rtl w:val="0"/>
        </w:rPr>
        <w:t xml:space="preserve">. </w:t>
      </w:r>
      <w:r>
        <w:rPr>
          <w:rStyle w:val="Hyperlink.1"/>
        </w:rPr>
        <w:fldChar w:fldCharType="begin" w:fldLock="0"/>
      </w:r>
      <w:r>
        <w:rPr>
          <w:rStyle w:val="Hyperlink.1"/>
        </w:rPr>
        <w:instrText xml:space="preserve"> HYPERLINK "https://www.R-project.org/"</w:instrText>
      </w:r>
      <w:r>
        <w:rPr>
          <w:rStyle w:val="Hyperlink.1"/>
        </w:rPr>
        <w:fldChar w:fldCharType="separate" w:fldLock="0"/>
      </w:r>
      <w:r>
        <w:rPr>
          <w:rStyle w:val="Hyperlink.1"/>
          <w:rtl w:val="0"/>
          <w:lang w:val="en-US"/>
        </w:rPr>
        <w:t>R: A Language and Environment for Statistical Computing</w:t>
      </w:r>
      <w:r>
        <w:rPr/>
        <w:fldChar w:fldCharType="end" w:fldLock="0"/>
      </w:r>
      <w:r>
        <w:rPr>
          <w:rStyle w:val="None"/>
          <w:rtl w:val="0"/>
          <w:lang w:val="en-US"/>
        </w:rPr>
        <w:t>. Vienna, Austria: R Foundation for Statistical Computing.</w:t>
      </w:r>
      <w:bookmarkEnd w:id="83"/>
    </w:p>
    <w:p>
      <w:pPr>
        <w:pStyle w:val="Body A"/>
        <w:spacing w:line="480" w:lineRule="auto"/>
        <w:ind w:left="360" w:hanging="360"/>
      </w:pPr>
      <w:bookmarkStart w:name="refRivera2017" w:id="84"/>
      <w:r>
        <w:rPr>
          <w:rStyle w:val="None"/>
          <w:b w:val="1"/>
          <w:bCs w:val="1"/>
          <w:rtl w:val="0"/>
          <w:lang w:val="en-US"/>
        </w:rPr>
        <w:t>Rivera JA, Kraus F, Allison A &amp; Butler MA</w:t>
      </w:r>
      <w:r>
        <w:rPr>
          <w:rStyle w:val="None A"/>
          <w:rtl w:val="0"/>
        </w:rPr>
        <w:t xml:space="preserve">. </w:t>
      </w:r>
      <w:r>
        <w:rPr>
          <w:rStyle w:val="None"/>
          <w:b w:val="1"/>
          <w:bCs w:val="1"/>
          <w:rtl w:val="0"/>
        </w:rPr>
        <w:t>2017</w:t>
      </w:r>
      <w:r>
        <w:rPr>
          <w:rStyle w:val="None A"/>
          <w:rtl w:val="0"/>
        </w:rPr>
        <w:t xml:space="preserve">. </w:t>
      </w:r>
      <w:r>
        <w:rPr>
          <w:rStyle w:val="Hyperlink.2"/>
        </w:rPr>
        <w:fldChar w:fldCharType="begin" w:fldLock="0"/>
      </w:r>
      <w:r>
        <w:rPr>
          <w:rStyle w:val="Hyperlink.2"/>
        </w:rPr>
        <w:instrText xml:space="preserve"> HYPERLINK "https://doi.org/10.1016/j.ympev.2017.04.008"</w:instrText>
      </w:r>
      <w:r>
        <w:rPr>
          <w:rStyle w:val="Hyperlink.2"/>
        </w:rPr>
        <w:fldChar w:fldCharType="separate" w:fldLock="0"/>
      </w:r>
      <w:r>
        <w:rPr>
          <w:rStyle w:val="Hyperlink.2"/>
          <w:rtl w:val="0"/>
          <w:lang w:val="en-US"/>
        </w:rPr>
        <w:t>Molecular phylogenetics and dating of the problematic New Guinea microhylid frogs (Amphibia: Anura) reveals elevated speciation rates and need for taxonomic reclassification</w:t>
      </w:r>
      <w:r>
        <w:rPr/>
        <w:fldChar w:fldCharType="end" w:fldLock="0"/>
      </w:r>
      <w:r>
        <w:rPr>
          <w:rStyle w:val="None A"/>
          <w:rtl w:val="0"/>
        </w:rPr>
        <w:t xml:space="preserve">. </w:t>
      </w:r>
      <w:r>
        <w:rPr>
          <w:rStyle w:val="None"/>
          <w:i w:val="1"/>
          <w:iCs w:val="1"/>
          <w:rtl w:val="0"/>
          <w:lang w:val="en-US"/>
        </w:rPr>
        <w:t>Molecular Phylogenetics and Evolution</w:t>
      </w:r>
      <w:r>
        <w:rPr>
          <w:rStyle w:val="None A"/>
          <w:rtl w:val="0"/>
        </w:rPr>
        <w:t xml:space="preserve"> </w:t>
      </w:r>
      <w:r>
        <w:rPr>
          <w:rStyle w:val="None"/>
          <w:b w:val="1"/>
          <w:bCs w:val="1"/>
          <w:rtl w:val="0"/>
        </w:rPr>
        <w:t>112</w:t>
      </w:r>
      <w:r>
        <w:rPr>
          <w:rStyle w:val="None A"/>
          <w:rtl w:val="0"/>
        </w:rPr>
        <w:t>: 1</w:t>
      </w:r>
      <w:r>
        <w:rPr>
          <w:rStyle w:val="None A"/>
          <w:rtl w:val="0"/>
        </w:rPr>
        <w:t>–</w:t>
      </w:r>
      <w:r>
        <w:rPr>
          <w:rStyle w:val="None A"/>
          <w:rtl w:val="0"/>
        </w:rPr>
        <w:t>11.</w:t>
      </w:r>
      <w:bookmarkEnd w:id="84"/>
    </w:p>
    <w:p>
      <w:pPr>
        <w:pStyle w:val="Body A"/>
        <w:spacing w:line="480" w:lineRule="auto"/>
        <w:ind w:left="360" w:hanging="360"/>
      </w:pPr>
      <w:bookmarkStart w:name="refSchlegel1837" w:id="85"/>
      <w:r>
        <w:rPr>
          <w:rStyle w:val="None"/>
          <w:b w:val="1"/>
          <w:bCs w:val="1"/>
          <w:rtl w:val="0"/>
          <w:lang w:val="de-DE"/>
        </w:rPr>
        <w:t>Schlegel H</w:t>
      </w:r>
      <w:r>
        <w:rPr>
          <w:rStyle w:val="None A"/>
          <w:rtl w:val="0"/>
        </w:rPr>
        <w:t xml:space="preserve">. </w:t>
      </w:r>
      <w:r>
        <w:rPr>
          <w:rStyle w:val="None"/>
          <w:b w:val="1"/>
          <w:bCs w:val="1"/>
          <w:rtl w:val="0"/>
        </w:rPr>
        <w:t>1837</w:t>
      </w:r>
      <w:r>
        <w:rPr>
          <w:rStyle w:val="None A"/>
          <w:rtl w:val="0"/>
        </w:rPr>
        <w:t xml:space="preserve">. </w:t>
      </w:r>
      <w:r>
        <w:rPr>
          <w:rStyle w:val="None"/>
          <w:i w:val="1"/>
          <w:iCs w:val="1"/>
          <w:rtl w:val="0"/>
          <w:lang w:val="de-DE"/>
        </w:rPr>
        <w:t>Abbildungen neuer oder unvollst</w:t>
      </w:r>
      <w:r>
        <w:rPr>
          <w:rStyle w:val="None"/>
          <w:i w:val="1"/>
          <w:iCs w:val="1"/>
          <w:rtl w:val="0"/>
        </w:rPr>
        <w:t>ä</w:t>
      </w:r>
      <w:r>
        <w:rPr>
          <w:rStyle w:val="None"/>
          <w:i w:val="1"/>
          <w:iCs w:val="1"/>
          <w:rtl w:val="0"/>
          <w:lang w:val="de-DE"/>
        </w:rPr>
        <w:t>ndig bekannter Amphibien : nach der Natur oder dem Leben entworfen</w:t>
      </w:r>
      <w:r>
        <w:rPr>
          <w:rStyle w:val="None"/>
          <w:rtl w:val="0"/>
          <w:lang w:val="de-DE"/>
        </w:rPr>
        <w:t>. Verlag von Arnz &amp; Company.</w:t>
      </w:r>
      <w:bookmarkEnd w:id="85"/>
    </w:p>
    <w:p>
      <w:pPr>
        <w:pStyle w:val="Body A"/>
        <w:spacing w:line="480" w:lineRule="auto"/>
        <w:ind w:left="360" w:hanging="360"/>
      </w:pPr>
      <w:bookmarkStart w:name="refSchlegel1858" w:id="86"/>
      <w:r>
        <w:rPr>
          <w:rStyle w:val="None"/>
          <w:b w:val="1"/>
          <w:bCs w:val="1"/>
          <w:rtl w:val="0"/>
          <w:lang w:val="de-DE"/>
        </w:rPr>
        <w:t>Schlegel H</w:t>
      </w:r>
      <w:r>
        <w:rPr>
          <w:rStyle w:val="None A"/>
          <w:rtl w:val="0"/>
        </w:rPr>
        <w:t xml:space="preserve">. </w:t>
      </w:r>
      <w:r>
        <w:rPr>
          <w:rStyle w:val="None"/>
          <w:b w:val="1"/>
          <w:bCs w:val="1"/>
          <w:rtl w:val="0"/>
        </w:rPr>
        <w:t>1858</w:t>
      </w:r>
      <w:r>
        <w:rPr>
          <w:rStyle w:val="None A"/>
          <w:rtl w:val="0"/>
        </w:rPr>
        <w:t xml:space="preserve">. </w:t>
      </w:r>
      <w:r>
        <w:rPr>
          <w:rStyle w:val="None"/>
          <w:i w:val="1"/>
          <w:iCs w:val="1"/>
          <w:rtl w:val="0"/>
          <w:lang w:val="nl-NL"/>
        </w:rPr>
        <w:t>Handleiding tot de Beoefening der Dierkunde</w:t>
      </w:r>
      <w:r>
        <w:rPr>
          <w:rStyle w:val="None"/>
          <w:rtl w:val="0"/>
          <w:lang w:val="nl-NL"/>
        </w:rPr>
        <w:t>. Breda: Koninklijke Militaire Akademie.</w:t>
      </w:r>
      <w:bookmarkEnd w:id="86"/>
    </w:p>
    <w:p>
      <w:pPr>
        <w:pStyle w:val="Body A"/>
        <w:spacing w:line="480" w:lineRule="auto"/>
        <w:ind w:left="360" w:hanging="360"/>
      </w:pPr>
      <w:bookmarkStart w:name="refSetiadi2010" w:id="87"/>
      <w:r>
        <w:rPr>
          <w:rStyle w:val="None"/>
          <w:b w:val="1"/>
          <w:bCs w:val="1"/>
          <w:rtl w:val="0"/>
          <w:lang w:val="it-IT"/>
        </w:rPr>
        <w:t>Setiadi MI, Hamidy A, Abidin Z, Susanto D, Brown RM, Peterson AT, Li X &amp; Evans BJ</w:t>
      </w:r>
      <w:r>
        <w:rPr>
          <w:rStyle w:val="None A"/>
          <w:rtl w:val="0"/>
        </w:rPr>
        <w:t xml:space="preserve">. </w:t>
      </w:r>
      <w:r>
        <w:rPr>
          <w:rStyle w:val="None"/>
          <w:b w:val="1"/>
          <w:bCs w:val="1"/>
          <w:rtl w:val="0"/>
        </w:rPr>
        <w:t>2010</w:t>
      </w:r>
      <w:r>
        <w:rPr>
          <w:rStyle w:val="None A"/>
          <w:rtl w:val="0"/>
        </w:rPr>
        <w:t xml:space="preserve">. </w:t>
      </w:r>
      <w:r>
        <w:rPr>
          <w:rStyle w:val="Hyperlink.2"/>
        </w:rPr>
        <w:fldChar w:fldCharType="begin" w:fldLock="0"/>
      </w:r>
      <w:r>
        <w:rPr>
          <w:rStyle w:val="Hyperlink.2"/>
        </w:rPr>
        <w:instrText xml:space="preserve"> HYPERLINK "https://doi.org/10.1111/j.1523-1739.2009.01384.x"</w:instrText>
      </w:r>
      <w:r>
        <w:rPr>
          <w:rStyle w:val="Hyperlink.2"/>
        </w:rPr>
        <w:fldChar w:fldCharType="separate" w:fldLock="0"/>
      </w:r>
      <w:r>
        <w:rPr>
          <w:rStyle w:val="Hyperlink.2"/>
          <w:rtl w:val="0"/>
          <w:lang w:val="en-US"/>
        </w:rPr>
        <w:t>Genetic Structure of Herpetofauna on Halmahera Island, Indonesia: Implications for Aketajawe-Lolobata National Park</w:t>
      </w:r>
      <w:r>
        <w:rPr/>
        <w:fldChar w:fldCharType="end" w:fldLock="0"/>
      </w:r>
      <w:r>
        <w:rPr>
          <w:rStyle w:val="None A"/>
          <w:rtl w:val="0"/>
        </w:rPr>
        <w:t xml:space="preserve">. </w:t>
      </w:r>
      <w:r>
        <w:rPr>
          <w:rStyle w:val="None"/>
          <w:i w:val="1"/>
          <w:iCs w:val="1"/>
          <w:rtl w:val="0"/>
          <w:lang w:val="en-US"/>
        </w:rPr>
        <w:t>Conservation Biology</w:t>
      </w:r>
      <w:r>
        <w:rPr>
          <w:rStyle w:val="None A"/>
          <w:rtl w:val="0"/>
        </w:rPr>
        <w:t xml:space="preserve"> </w:t>
      </w:r>
      <w:r>
        <w:rPr>
          <w:rStyle w:val="None"/>
          <w:b w:val="1"/>
          <w:bCs w:val="1"/>
          <w:rtl w:val="0"/>
        </w:rPr>
        <w:t>24</w:t>
      </w:r>
      <w:r>
        <w:rPr>
          <w:rStyle w:val="None A"/>
          <w:rtl w:val="0"/>
        </w:rPr>
        <w:t>: 553</w:t>
      </w:r>
      <w:r>
        <w:rPr>
          <w:rStyle w:val="None A"/>
          <w:rtl w:val="0"/>
        </w:rPr>
        <w:t>–</w:t>
      </w:r>
      <w:r>
        <w:rPr>
          <w:rStyle w:val="None A"/>
          <w:rtl w:val="0"/>
        </w:rPr>
        <w:t>562.</w:t>
      </w:r>
      <w:bookmarkEnd w:id="87"/>
    </w:p>
    <w:p>
      <w:pPr>
        <w:pStyle w:val="Body A"/>
        <w:spacing w:line="480" w:lineRule="auto"/>
        <w:ind w:left="360" w:hanging="360"/>
      </w:pPr>
      <w:bookmarkStart w:name="refSoliz2025" w:id="88"/>
      <w:r>
        <w:rPr>
          <w:rStyle w:val="None"/>
          <w:b w:val="1"/>
          <w:bCs w:val="1"/>
          <w:rtl w:val="0"/>
        </w:rPr>
        <w:t>Soliz MC, Abdala V &amp; Tulli MJ</w:t>
      </w:r>
      <w:r>
        <w:rPr>
          <w:rStyle w:val="None A"/>
          <w:rtl w:val="0"/>
        </w:rPr>
        <w:t xml:space="preserve">. </w:t>
      </w:r>
      <w:r>
        <w:rPr>
          <w:rStyle w:val="None"/>
          <w:b w:val="1"/>
          <w:bCs w:val="1"/>
          <w:rtl w:val="0"/>
        </w:rPr>
        <w:t>2025</w:t>
      </w:r>
      <w:r>
        <w:rPr>
          <w:rStyle w:val="None A"/>
          <w:rtl w:val="0"/>
        </w:rPr>
        <w:t xml:space="preserve">. </w:t>
      </w:r>
      <w:r>
        <w:rPr>
          <w:rStyle w:val="Hyperlink.2"/>
        </w:rPr>
        <w:fldChar w:fldCharType="begin" w:fldLock="0"/>
      </w:r>
      <w:r>
        <w:rPr>
          <w:rStyle w:val="Hyperlink.2"/>
        </w:rPr>
        <w:instrText xml:space="preserve"> HYPERLINK "https://doi.org/10.1111/azo.12494"</w:instrText>
      </w:r>
      <w:r>
        <w:rPr>
          <w:rStyle w:val="Hyperlink.2"/>
        </w:rPr>
        <w:fldChar w:fldCharType="separate" w:fldLock="0"/>
      </w:r>
      <w:r>
        <w:rPr>
          <w:rStyle w:val="Hyperlink.2"/>
          <w:rtl w:val="0"/>
          <w:lang w:val="en-US"/>
        </w:rPr>
        <w:t>The ecological drivers of variation in pectoral girdle anatomy in frogs</w:t>
      </w:r>
      <w:r>
        <w:rPr/>
        <w:fldChar w:fldCharType="end" w:fldLock="0"/>
      </w:r>
      <w:r>
        <w:rPr>
          <w:rStyle w:val="None A"/>
          <w:rtl w:val="0"/>
        </w:rPr>
        <w:t xml:space="preserve">. </w:t>
      </w:r>
      <w:r>
        <w:rPr>
          <w:rStyle w:val="None"/>
          <w:i w:val="1"/>
          <w:iCs w:val="1"/>
          <w:rtl w:val="0"/>
          <w:lang w:val="pt-PT"/>
        </w:rPr>
        <w:t>Acta Zoologica</w:t>
      </w:r>
      <w:r>
        <w:rPr>
          <w:rStyle w:val="None A"/>
          <w:rtl w:val="0"/>
        </w:rPr>
        <w:t xml:space="preserve"> </w:t>
      </w:r>
      <w:r>
        <w:rPr>
          <w:rStyle w:val="None"/>
          <w:b w:val="1"/>
          <w:bCs w:val="1"/>
          <w:rtl w:val="0"/>
        </w:rPr>
        <w:t>106</w:t>
      </w:r>
      <w:r>
        <w:rPr>
          <w:rStyle w:val="None A"/>
          <w:rtl w:val="0"/>
        </w:rPr>
        <w:t>: 38</w:t>
      </w:r>
      <w:r>
        <w:rPr>
          <w:rStyle w:val="None A"/>
          <w:rtl w:val="0"/>
        </w:rPr>
        <w:t>–</w:t>
      </w:r>
      <w:r>
        <w:rPr>
          <w:rStyle w:val="None A"/>
          <w:rtl w:val="0"/>
        </w:rPr>
        <w:t>54.</w:t>
      </w:r>
      <w:bookmarkEnd w:id="88"/>
    </w:p>
    <w:p>
      <w:pPr>
        <w:pStyle w:val="Body A"/>
        <w:spacing w:line="480" w:lineRule="auto"/>
        <w:ind w:left="360" w:hanging="360"/>
      </w:pPr>
      <w:bookmarkStart w:name="refTu2018" w:id="89"/>
      <w:r>
        <w:rPr>
          <w:rStyle w:val="None"/>
          <w:b w:val="1"/>
          <w:bCs w:val="1"/>
          <w:rtl w:val="0"/>
        </w:rPr>
        <w:t>Tu N, Yang M, Liang D &amp; Zhang P</w:t>
      </w:r>
      <w:r>
        <w:rPr>
          <w:rStyle w:val="None A"/>
          <w:rtl w:val="0"/>
        </w:rPr>
        <w:t xml:space="preserve">. </w:t>
      </w:r>
      <w:r>
        <w:rPr>
          <w:rStyle w:val="None"/>
          <w:b w:val="1"/>
          <w:bCs w:val="1"/>
          <w:rtl w:val="0"/>
        </w:rPr>
        <w:t>2018</w:t>
      </w:r>
      <w:r>
        <w:rPr>
          <w:rStyle w:val="None A"/>
          <w:rtl w:val="0"/>
        </w:rPr>
        <w:t xml:space="preserve">. </w:t>
      </w:r>
      <w:r>
        <w:rPr>
          <w:rStyle w:val="Hyperlink.2"/>
        </w:rPr>
        <w:fldChar w:fldCharType="begin" w:fldLock="0"/>
      </w:r>
      <w:r>
        <w:rPr>
          <w:rStyle w:val="Hyperlink.2"/>
        </w:rPr>
        <w:instrText xml:space="preserve"> HYPERLINK "https://doi.org/10.1016/j.ympev.2018.03.036"</w:instrText>
      </w:r>
      <w:r>
        <w:rPr>
          <w:rStyle w:val="Hyperlink.2"/>
        </w:rPr>
        <w:fldChar w:fldCharType="separate" w:fldLock="0"/>
      </w:r>
      <w:r>
        <w:rPr>
          <w:rStyle w:val="Hyperlink.2"/>
          <w:rtl w:val="0"/>
          <w:lang w:val="en-US"/>
        </w:rPr>
        <w:t>A large-scale phylogeny of Microhylidae inferred from a combined dataset of 121 genes and 427 taxa</w:t>
      </w:r>
      <w:r>
        <w:rPr/>
        <w:fldChar w:fldCharType="end" w:fldLock="0"/>
      </w:r>
      <w:r>
        <w:rPr>
          <w:rStyle w:val="None A"/>
          <w:rtl w:val="0"/>
        </w:rPr>
        <w:t xml:space="preserve">. </w:t>
      </w:r>
      <w:r>
        <w:rPr>
          <w:rStyle w:val="None"/>
          <w:i w:val="1"/>
          <w:iCs w:val="1"/>
          <w:rtl w:val="0"/>
          <w:lang w:val="da-DK"/>
        </w:rPr>
        <w:t>Mol Phylogenet Evol</w:t>
      </w:r>
      <w:r>
        <w:rPr>
          <w:rStyle w:val="None A"/>
          <w:rtl w:val="0"/>
        </w:rPr>
        <w:t xml:space="preserve"> </w:t>
      </w:r>
      <w:r>
        <w:rPr>
          <w:rStyle w:val="None"/>
          <w:b w:val="1"/>
          <w:bCs w:val="1"/>
          <w:rtl w:val="0"/>
        </w:rPr>
        <w:t>126</w:t>
      </w:r>
      <w:r>
        <w:rPr>
          <w:rStyle w:val="None A"/>
          <w:rtl w:val="0"/>
        </w:rPr>
        <w:t>: 85</w:t>
      </w:r>
      <w:r>
        <w:rPr>
          <w:rStyle w:val="None A"/>
          <w:rtl w:val="0"/>
        </w:rPr>
        <w:t>–</w:t>
      </w:r>
      <w:r>
        <w:rPr>
          <w:rStyle w:val="None A"/>
          <w:rtl w:val="0"/>
        </w:rPr>
        <w:t>91.</w:t>
      </w:r>
      <w:bookmarkEnd w:id="89"/>
    </w:p>
    <w:p>
      <w:pPr>
        <w:pStyle w:val="Body A"/>
        <w:spacing w:line="480" w:lineRule="auto"/>
        <w:ind w:left="360" w:hanging="360"/>
      </w:pPr>
      <w:bookmarkStart w:name="refWandolleck1911" w:id="90"/>
      <w:r>
        <w:rPr>
          <w:rStyle w:val="None"/>
          <w:b w:val="1"/>
          <w:bCs w:val="1"/>
          <w:rtl w:val="0"/>
          <w:lang w:val="en-US"/>
        </w:rPr>
        <w:t>Wandolleck B</w:t>
      </w:r>
      <w:r>
        <w:rPr>
          <w:rStyle w:val="None A"/>
          <w:rtl w:val="0"/>
        </w:rPr>
        <w:t xml:space="preserve">. </w:t>
      </w:r>
      <w:r>
        <w:rPr>
          <w:rStyle w:val="None"/>
          <w:b w:val="1"/>
          <w:bCs w:val="1"/>
          <w:rtl w:val="0"/>
        </w:rPr>
        <w:t>1911</w:t>
      </w:r>
      <w:r>
        <w:rPr>
          <w:rStyle w:val="None A"/>
          <w:rtl w:val="0"/>
        </w:rPr>
        <w:t xml:space="preserve">. </w:t>
      </w:r>
      <w:r>
        <w:rPr>
          <w:rStyle w:val="Hyperlink.3"/>
        </w:rPr>
        <w:fldChar w:fldCharType="begin" w:fldLock="0"/>
      </w:r>
      <w:r>
        <w:rPr>
          <w:rStyle w:val="Hyperlink.3"/>
        </w:rPr>
        <w:instrText xml:space="preserve"> HYPERLINK "https://www.biodiversitylibrary.org/part/263989"</w:instrText>
      </w:r>
      <w:r>
        <w:rPr>
          <w:rStyle w:val="Hyperlink.3"/>
        </w:rPr>
        <w:fldChar w:fldCharType="separate" w:fldLock="0"/>
      </w:r>
      <w:r>
        <w:rPr>
          <w:rStyle w:val="Hyperlink.3"/>
          <w:rtl w:val="0"/>
          <w:lang w:val="de-DE"/>
        </w:rPr>
        <w:t>Die Amphibien und Reptilien der papuanischen Ausbeute Dr. Schlaginhaufens</w:t>
      </w:r>
      <w:r>
        <w:rPr/>
        <w:fldChar w:fldCharType="end" w:fldLock="0"/>
      </w:r>
      <w:r>
        <w:rPr>
          <w:rStyle w:val="None A"/>
          <w:rtl w:val="0"/>
        </w:rPr>
        <w:t xml:space="preserve">. </w:t>
      </w:r>
      <w:r>
        <w:rPr>
          <w:rStyle w:val="None"/>
          <w:i w:val="1"/>
          <w:iCs w:val="1"/>
          <w:rtl w:val="0"/>
          <w:lang w:val="de-DE"/>
        </w:rPr>
        <w:t>Abhandlungen und Berichte des K</w:t>
      </w:r>
      <w:r>
        <w:rPr>
          <w:rStyle w:val="None"/>
          <w:i w:val="1"/>
          <w:iCs w:val="1"/>
          <w:rtl w:val="0"/>
          <w:lang w:val="sv-SE"/>
        </w:rPr>
        <w:t>ö</w:t>
      </w:r>
      <w:r>
        <w:rPr>
          <w:rStyle w:val="None"/>
          <w:i w:val="1"/>
          <w:iCs w:val="1"/>
          <w:rtl w:val="0"/>
          <w:lang w:val="de-DE"/>
        </w:rPr>
        <w:t>nigl. Zoologischen und Anthropologisch-Etnographischen Museums zu Dresden</w:t>
      </w:r>
      <w:r>
        <w:rPr>
          <w:rStyle w:val="None A"/>
          <w:rtl w:val="0"/>
        </w:rPr>
        <w:t xml:space="preserve"> </w:t>
      </w:r>
      <w:r>
        <w:rPr>
          <w:rStyle w:val="None"/>
          <w:b w:val="1"/>
          <w:bCs w:val="1"/>
          <w:rtl w:val="0"/>
        </w:rPr>
        <w:t>13</w:t>
      </w:r>
      <w:r>
        <w:rPr>
          <w:rStyle w:val="None A"/>
          <w:rtl w:val="0"/>
        </w:rPr>
        <w:t>: 1</w:t>
      </w:r>
      <w:r>
        <w:rPr>
          <w:rStyle w:val="None A"/>
          <w:rtl w:val="0"/>
        </w:rPr>
        <w:t>–</w:t>
      </w:r>
      <w:r>
        <w:rPr>
          <w:rStyle w:val="None A"/>
          <w:rtl w:val="0"/>
        </w:rPr>
        <w:t>15.</w:t>
      </w:r>
      <w:bookmarkEnd w:id="90"/>
    </w:p>
    <w:p>
      <w:pPr>
        <w:pStyle w:val="Body A"/>
        <w:spacing w:line="480" w:lineRule="auto"/>
        <w:ind w:left="360" w:hanging="360"/>
      </w:pPr>
      <w:bookmarkStart w:name="refWerner1898" w:id="91"/>
      <w:r>
        <w:rPr>
          <w:rStyle w:val="None"/>
          <w:b w:val="1"/>
          <w:bCs w:val="1"/>
          <w:rtl w:val="0"/>
          <w:lang w:val="de-DE"/>
        </w:rPr>
        <w:t>Werner F</w:t>
      </w:r>
      <w:r>
        <w:rPr>
          <w:rStyle w:val="None A"/>
          <w:rtl w:val="0"/>
        </w:rPr>
        <w:t xml:space="preserve">. </w:t>
      </w:r>
      <w:r>
        <w:rPr>
          <w:rStyle w:val="None"/>
          <w:b w:val="1"/>
          <w:bCs w:val="1"/>
          <w:rtl w:val="0"/>
        </w:rPr>
        <w:t>1898</w:t>
      </w:r>
      <w:r>
        <w:rPr>
          <w:rStyle w:val="None A"/>
          <w:rtl w:val="0"/>
        </w:rPr>
        <w:t xml:space="preserve">. </w:t>
      </w:r>
      <w:r>
        <w:rPr>
          <w:rStyle w:val="Hyperlink.3"/>
        </w:rPr>
        <w:fldChar w:fldCharType="begin" w:fldLock="0"/>
      </w:r>
      <w:r>
        <w:rPr>
          <w:rStyle w:val="Hyperlink.3"/>
        </w:rPr>
        <w:instrText xml:space="preserve"> HYPERLINK "https://www.biodiversitylibrary.org/part/28256"</w:instrText>
      </w:r>
      <w:r>
        <w:rPr>
          <w:rStyle w:val="Hyperlink.3"/>
        </w:rPr>
        <w:fldChar w:fldCharType="separate" w:fldLock="0"/>
      </w:r>
      <w:r>
        <w:rPr>
          <w:rStyle w:val="Hyperlink.3"/>
          <w:rtl w:val="0"/>
          <w:lang w:val="de-DE"/>
        </w:rPr>
        <w:t>Vorl</w:t>
      </w:r>
      <w:r>
        <w:rPr>
          <w:rStyle w:val="Hyperlink.2.0"/>
          <w:rtl w:val="0"/>
        </w:rPr>
        <w:t>ä</w:t>
      </w:r>
      <w:r>
        <w:rPr>
          <w:rStyle w:val="Hyperlink.3"/>
          <w:rtl w:val="0"/>
          <w:lang w:val="de-DE"/>
        </w:rPr>
        <w:t xml:space="preserve">ufige Mitteilung </w:t>
      </w:r>
      <w:r>
        <w:rPr>
          <w:rStyle w:val="Hyperlink.2.0"/>
          <w:rtl w:val="0"/>
        </w:rPr>
        <w:t>ü</w:t>
      </w:r>
      <w:r>
        <w:rPr>
          <w:rStyle w:val="Hyperlink.3"/>
          <w:rtl w:val="0"/>
          <w:lang w:val="de-DE"/>
        </w:rPr>
        <w:t>ber die von Herrn Prof. F. Dahl im Bismarck-Archipel gesammelten Reptilien und Batrachier</w:t>
      </w:r>
      <w:r>
        <w:rPr/>
        <w:fldChar w:fldCharType="end" w:fldLock="0"/>
      </w:r>
      <w:r>
        <w:rPr>
          <w:rStyle w:val="None A"/>
          <w:rtl w:val="0"/>
        </w:rPr>
        <w:t xml:space="preserve">. </w:t>
      </w:r>
      <w:r>
        <w:rPr>
          <w:rStyle w:val="None"/>
          <w:i w:val="1"/>
          <w:iCs w:val="1"/>
          <w:rtl w:val="0"/>
          <w:lang w:val="de-DE"/>
        </w:rPr>
        <w:t>Zoologischer Anzeiger</w:t>
      </w:r>
      <w:r>
        <w:rPr>
          <w:rStyle w:val="None A"/>
          <w:rtl w:val="0"/>
        </w:rPr>
        <w:t xml:space="preserve"> </w:t>
      </w:r>
      <w:r>
        <w:rPr>
          <w:rStyle w:val="None"/>
          <w:b w:val="1"/>
          <w:bCs w:val="1"/>
          <w:rtl w:val="0"/>
        </w:rPr>
        <w:t>21</w:t>
      </w:r>
      <w:r>
        <w:rPr>
          <w:rStyle w:val="None A"/>
          <w:rtl w:val="0"/>
        </w:rPr>
        <w:t>: 552</w:t>
      </w:r>
      <w:r>
        <w:rPr>
          <w:rStyle w:val="None A"/>
          <w:rtl w:val="0"/>
        </w:rPr>
        <w:t>–</w:t>
      </w:r>
      <w:r>
        <w:rPr>
          <w:rStyle w:val="None A"/>
          <w:rtl w:val="0"/>
        </w:rPr>
        <w:t>556.</w:t>
      </w:r>
      <w:bookmarkEnd w:id="91"/>
    </w:p>
    <w:p>
      <w:pPr>
        <w:pStyle w:val="Body A"/>
        <w:spacing w:line="480" w:lineRule="auto"/>
        <w:ind w:left="360" w:hanging="360"/>
      </w:pPr>
      <w:bookmarkStart w:name="refWickham2016" w:id="92"/>
      <w:r>
        <w:rPr>
          <w:rStyle w:val="None"/>
          <w:b w:val="1"/>
          <w:bCs w:val="1"/>
          <w:rtl w:val="0"/>
          <w:lang w:val="da-DK"/>
        </w:rPr>
        <w:t>Wickham H</w:t>
      </w:r>
      <w:r>
        <w:rPr>
          <w:rStyle w:val="None A"/>
          <w:rtl w:val="0"/>
        </w:rPr>
        <w:t xml:space="preserve">. </w:t>
      </w:r>
      <w:r>
        <w:rPr>
          <w:rStyle w:val="None"/>
          <w:b w:val="1"/>
          <w:bCs w:val="1"/>
          <w:rtl w:val="0"/>
        </w:rPr>
        <w:t>2016</w:t>
      </w:r>
      <w:r>
        <w:rPr>
          <w:rStyle w:val="None A"/>
          <w:rtl w:val="0"/>
        </w:rPr>
        <w:t xml:space="preserve">. </w:t>
      </w:r>
      <w:r>
        <w:rPr>
          <w:rStyle w:val="Hyperlink.1"/>
        </w:rPr>
        <w:fldChar w:fldCharType="begin" w:fldLock="0"/>
      </w:r>
      <w:r>
        <w:rPr>
          <w:rStyle w:val="Hyperlink.1"/>
        </w:rPr>
        <w:instrText xml:space="preserve"> HYPERLINK "https://ggplot2.tidyverse.org"</w:instrText>
      </w:r>
      <w:r>
        <w:rPr>
          <w:rStyle w:val="Hyperlink.1"/>
        </w:rPr>
        <w:fldChar w:fldCharType="separate" w:fldLock="0"/>
      </w:r>
      <w:r>
        <w:rPr>
          <w:rStyle w:val="Hyperlink.1"/>
          <w:rtl w:val="0"/>
          <w:lang w:val="en-US"/>
        </w:rPr>
        <w:t>ggplot2: Elegant Graphics for Data Analysis</w:t>
      </w:r>
      <w:r>
        <w:rPr/>
        <w:fldChar w:fldCharType="end" w:fldLock="0"/>
      </w:r>
      <w:r>
        <w:rPr>
          <w:rStyle w:val="None"/>
          <w:rtl w:val="0"/>
          <w:lang w:val="de-DE"/>
        </w:rPr>
        <w:t>. Springer-Verlag New York.</w:t>
      </w:r>
      <w:bookmarkEnd w:id="92"/>
    </w:p>
    <w:p>
      <w:pPr>
        <w:pStyle w:val="Body A"/>
        <w:spacing w:line="480" w:lineRule="auto"/>
        <w:ind w:left="360" w:hanging="360"/>
      </w:pPr>
      <w:bookmarkStart w:name="refYe2012" w:id="93"/>
      <w:r>
        <w:rPr>
          <w:rStyle w:val="None"/>
          <w:b w:val="1"/>
          <w:bCs w:val="1"/>
          <w:rtl w:val="0"/>
        </w:rPr>
        <w:t>Ye J, Coulouris G, Zaretskaya I, Cutcutache I, Rozen S &amp; Madden TL</w:t>
      </w:r>
      <w:r>
        <w:rPr>
          <w:rStyle w:val="None A"/>
          <w:rtl w:val="0"/>
        </w:rPr>
        <w:t xml:space="preserve">. </w:t>
      </w:r>
      <w:r>
        <w:rPr>
          <w:rStyle w:val="None"/>
          <w:b w:val="1"/>
          <w:bCs w:val="1"/>
          <w:rtl w:val="0"/>
        </w:rPr>
        <w:t>2012</w:t>
      </w:r>
      <w:r>
        <w:rPr>
          <w:rStyle w:val="None A"/>
          <w:rtl w:val="0"/>
        </w:rPr>
        <w:t xml:space="preserve">. </w:t>
      </w:r>
      <w:r>
        <w:rPr>
          <w:rStyle w:val="Hyperlink.2"/>
        </w:rPr>
        <w:fldChar w:fldCharType="begin" w:fldLock="0"/>
      </w:r>
      <w:r>
        <w:rPr>
          <w:rStyle w:val="Hyperlink.2"/>
        </w:rPr>
        <w:instrText xml:space="preserve"> HYPERLINK "https://doi.org/10.1186/1471-2105-13-134"</w:instrText>
      </w:r>
      <w:r>
        <w:rPr>
          <w:rStyle w:val="Hyperlink.2"/>
        </w:rPr>
        <w:fldChar w:fldCharType="separate" w:fldLock="0"/>
      </w:r>
      <w:r>
        <w:rPr>
          <w:rStyle w:val="Hyperlink.2"/>
          <w:rtl w:val="0"/>
          <w:lang w:val="en-US"/>
        </w:rPr>
        <w:t>Primer-BLAST: A tool to design target-specific primers for polymerase chain reaction</w:t>
      </w:r>
      <w:r>
        <w:rPr/>
        <w:fldChar w:fldCharType="end" w:fldLock="0"/>
      </w:r>
      <w:r>
        <w:rPr>
          <w:rStyle w:val="None A"/>
          <w:rtl w:val="0"/>
        </w:rPr>
        <w:t xml:space="preserve">. </w:t>
      </w:r>
      <w:r>
        <w:rPr>
          <w:rStyle w:val="None"/>
          <w:i w:val="1"/>
          <w:iCs w:val="1"/>
          <w:rtl w:val="0"/>
        </w:rPr>
        <w:t>BMC Bioinformatics</w:t>
      </w:r>
      <w:r>
        <w:rPr>
          <w:rStyle w:val="None A"/>
          <w:rtl w:val="0"/>
        </w:rPr>
        <w:t xml:space="preserve"> </w:t>
      </w:r>
      <w:r>
        <w:rPr>
          <w:rStyle w:val="None"/>
          <w:b w:val="1"/>
          <w:bCs w:val="1"/>
          <w:rtl w:val="0"/>
        </w:rPr>
        <w:t>13</w:t>
      </w:r>
      <w:r>
        <w:rPr>
          <w:rStyle w:val="None A"/>
          <w:rtl w:val="0"/>
        </w:rPr>
        <w:t>: 134.</w:t>
      </w:r>
      <w:bookmarkEnd w:id="93"/>
    </w:p>
    <w:p>
      <w:pPr>
        <w:pStyle w:val="Body A"/>
        <w:spacing w:line="480" w:lineRule="auto"/>
        <w:ind w:left="360" w:hanging="360"/>
      </w:pPr>
      <w:bookmarkStart w:name="refYu2017" w:id="94"/>
      <w:r>
        <w:rPr>
          <w:rStyle w:val="None"/>
          <w:b w:val="1"/>
          <w:bCs w:val="1"/>
          <w:rtl w:val="0"/>
          <w:lang w:val="en-US"/>
        </w:rPr>
        <w:t>Yu G, Smith D, Zhu H, Guan Y &amp; Lam TTY</w:t>
      </w:r>
      <w:r>
        <w:rPr>
          <w:rStyle w:val="None A"/>
          <w:rtl w:val="0"/>
        </w:rPr>
        <w:t xml:space="preserve">. </w:t>
      </w:r>
      <w:r>
        <w:rPr>
          <w:rStyle w:val="None"/>
          <w:b w:val="1"/>
          <w:bCs w:val="1"/>
          <w:rtl w:val="0"/>
        </w:rPr>
        <w:t>2017</w:t>
      </w:r>
      <w:r>
        <w:rPr>
          <w:rStyle w:val="None A"/>
          <w:rtl w:val="0"/>
        </w:rPr>
        <w:t xml:space="preserve">. </w:t>
      </w:r>
      <w:r>
        <w:rPr>
          <w:rStyle w:val="Hyperlink.2"/>
        </w:rPr>
        <w:fldChar w:fldCharType="begin" w:fldLock="0"/>
      </w:r>
      <w:r>
        <w:rPr>
          <w:rStyle w:val="Hyperlink.2"/>
        </w:rPr>
        <w:instrText xml:space="preserve"> HYPERLINK "https://doi.org/10.1111/2041-210X.12628"</w:instrText>
      </w:r>
      <w:r>
        <w:rPr>
          <w:rStyle w:val="Hyperlink.2"/>
        </w:rPr>
        <w:fldChar w:fldCharType="separate" w:fldLock="0"/>
      </w:r>
      <w:r>
        <w:rPr>
          <w:rStyle w:val="Hyperlink.2"/>
          <w:rtl w:val="0"/>
          <w:lang w:val="en-US"/>
        </w:rPr>
        <w:t>ggtree: an R package for visualization and annotation of phylogenetic trees with their covariates and other associated data.</w:t>
      </w:r>
      <w:r>
        <w:rPr/>
        <w:fldChar w:fldCharType="end" w:fldLock="0"/>
      </w:r>
      <w:r>
        <w:rPr>
          <w:rStyle w:val="None A"/>
          <w:rtl w:val="0"/>
        </w:rPr>
        <w:t xml:space="preserve"> </w:t>
      </w:r>
      <w:r>
        <w:rPr>
          <w:rStyle w:val="None"/>
          <w:i w:val="1"/>
          <w:iCs w:val="1"/>
          <w:rtl w:val="0"/>
          <w:lang w:val="en-US"/>
        </w:rPr>
        <w:t>Methods in Ecology and Evolution</w:t>
      </w:r>
      <w:r>
        <w:rPr>
          <w:rStyle w:val="None A"/>
          <w:rtl w:val="0"/>
        </w:rPr>
        <w:t xml:space="preserve"> </w:t>
      </w:r>
      <w:r>
        <w:rPr>
          <w:rStyle w:val="None"/>
          <w:b w:val="1"/>
          <w:bCs w:val="1"/>
          <w:rtl w:val="0"/>
        </w:rPr>
        <w:t>8</w:t>
      </w:r>
      <w:r>
        <w:rPr>
          <w:rStyle w:val="None A"/>
          <w:rtl w:val="0"/>
        </w:rPr>
        <w:t>: 28</w:t>
      </w:r>
      <w:r>
        <w:rPr>
          <w:rStyle w:val="None A"/>
          <w:rtl w:val="0"/>
        </w:rPr>
        <w:t>–</w:t>
      </w:r>
      <w:r>
        <w:rPr>
          <w:rStyle w:val="None A"/>
          <w:rtl w:val="0"/>
        </w:rPr>
        <w:t>36.</w:t>
      </w:r>
      <w:bookmarkEnd w:id="94"/>
    </w:p>
    <w:p>
      <w:pPr>
        <w:pStyle w:val="Body A"/>
        <w:spacing w:line="480" w:lineRule="auto"/>
        <w:ind w:left="360" w:hanging="360"/>
      </w:pPr>
      <w:bookmarkStart w:name="refYu2020" w:id="95"/>
      <w:r>
        <w:rPr>
          <w:rStyle w:val="None"/>
          <w:b w:val="1"/>
          <w:bCs w:val="1"/>
          <w:rtl w:val="0"/>
        </w:rPr>
        <w:t>Yu G</w:t>
      </w:r>
      <w:r>
        <w:rPr>
          <w:rStyle w:val="None A"/>
          <w:rtl w:val="0"/>
        </w:rPr>
        <w:t xml:space="preserve">. </w:t>
      </w:r>
      <w:r>
        <w:rPr>
          <w:rStyle w:val="None"/>
          <w:b w:val="1"/>
          <w:bCs w:val="1"/>
          <w:rtl w:val="0"/>
        </w:rPr>
        <w:t>2020</w:t>
      </w:r>
      <w:r>
        <w:rPr>
          <w:rStyle w:val="None A"/>
          <w:rtl w:val="0"/>
        </w:rPr>
        <w:t xml:space="preserve">. </w:t>
      </w:r>
      <w:r>
        <w:rPr>
          <w:rStyle w:val="Hyperlink.2"/>
        </w:rPr>
        <w:fldChar w:fldCharType="begin" w:fldLock="0"/>
      </w:r>
      <w:r>
        <w:rPr>
          <w:rStyle w:val="Hyperlink.2"/>
        </w:rPr>
        <w:instrText xml:space="preserve"> HYPERLINK "https://doi.org/10.1002/cpbi.96"</w:instrText>
      </w:r>
      <w:r>
        <w:rPr>
          <w:rStyle w:val="Hyperlink.2"/>
        </w:rPr>
        <w:fldChar w:fldCharType="separate" w:fldLock="0"/>
      </w:r>
      <w:r>
        <w:rPr>
          <w:rStyle w:val="Hyperlink.2"/>
          <w:rtl w:val="0"/>
          <w:lang w:val="en-US"/>
        </w:rPr>
        <w:t>Using ggtree to Visualize Data on Tree-Like Structures</w:t>
      </w:r>
      <w:r>
        <w:rPr/>
        <w:fldChar w:fldCharType="end" w:fldLock="0"/>
      </w:r>
      <w:r>
        <w:rPr>
          <w:rStyle w:val="None A"/>
          <w:rtl w:val="0"/>
        </w:rPr>
        <w:t xml:space="preserve">. </w:t>
      </w:r>
      <w:r>
        <w:rPr>
          <w:rStyle w:val="None"/>
          <w:i w:val="1"/>
          <w:iCs w:val="1"/>
          <w:rtl w:val="0"/>
          <w:lang w:val="it-IT"/>
        </w:rPr>
        <w:t>Current Protocols in Bioinformatics</w:t>
      </w:r>
      <w:r>
        <w:rPr>
          <w:rStyle w:val="None A"/>
          <w:rtl w:val="0"/>
        </w:rPr>
        <w:t xml:space="preserve"> </w:t>
      </w:r>
      <w:r>
        <w:rPr>
          <w:rStyle w:val="None"/>
          <w:b w:val="1"/>
          <w:bCs w:val="1"/>
          <w:rtl w:val="0"/>
        </w:rPr>
        <w:t>69</w:t>
      </w:r>
      <w:r>
        <w:rPr>
          <w:rStyle w:val="None A"/>
          <w:rtl w:val="0"/>
        </w:rPr>
        <w:t>: e96.</w:t>
      </w:r>
      <w:bookmarkEnd w:id="95"/>
    </w:p>
    <w:p>
      <w:pPr>
        <w:pStyle w:val="Body A"/>
        <w:spacing w:line="480" w:lineRule="auto"/>
        <w:ind w:left="360" w:hanging="360"/>
      </w:pPr>
      <w:bookmarkStart w:name="refYu2022" w:id="96"/>
      <w:r>
        <w:rPr>
          <w:rStyle w:val="None"/>
          <w:b w:val="1"/>
          <w:bCs w:val="1"/>
          <w:rtl w:val="0"/>
        </w:rPr>
        <w:t>Yu G</w:t>
      </w:r>
      <w:r>
        <w:rPr>
          <w:rStyle w:val="None A"/>
          <w:rtl w:val="0"/>
        </w:rPr>
        <w:t xml:space="preserve">. </w:t>
      </w:r>
      <w:r>
        <w:rPr>
          <w:rStyle w:val="None"/>
          <w:b w:val="1"/>
          <w:bCs w:val="1"/>
          <w:rtl w:val="0"/>
        </w:rPr>
        <w:t>2022</w:t>
      </w:r>
      <w:r>
        <w:rPr>
          <w:rStyle w:val="None A"/>
          <w:rtl w:val="0"/>
        </w:rPr>
        <w:t xml:space="preserve">. </w:t>
      </w:r>
      <w:r>
        <w:rPr>
          <w:rStyle w:val="Hyperlink.1"/>
        </w:rPr>
        <w:fldChar w:fldCharType="begin" w:fldLock="0"/>
      </w:r>
      <w:r>
        <w:rPr>
          <w:rStyle w:val="Hyperlink.1"/>
        </w:rPr>
        <w:instrText xml:space="preserve"> HYPERLINK "https://doi.org/10.1201/9781003279242"</w:instrText>
      </w:r>
      <w:r>
        <w:rPr>
          <w:rStyle w:val="Hyperlink.1"/>
        </w:rPr>
        <w:fldChar w:fldCharType="separate" w:fldLock="0"/>
      </w:r>
      <w:r>
        <w:rPr>
          <w:rStyle w:val="Hyperlink.1"/>
          <w:rtl w:val="0"/>
          <w:lang w:val="en-US"/>
        </w:rPr>
        <w:t>Data integration, manipulation and visualization of phylogenetic trees</w:t>
      </w:r>
      <w:r>
        <w:rPr/>
        <w:fldChar w:fldCharType="end" w:fldLock="0"/>
      </w:r>
      <w:r>
        <w:rPr>
          <w:rStyle w:val="None A"/>
          <w:rtl w:val="0"/>
        </w:rPr>
        <w:t>. Chapman; Hall/CRC.</w:t>
      </w:r>
      <w:bookmarkEnd w:id="96"/>
    </w:p>
    <w:p>
      <w:pPr>
        <w:pStyle w:val="Body A"/>
        <w:spacing w:line="480" w:lineRule="auto"/>
        <w:ind w:left="360" w:hanging="360"/>
      </w:pPr>
      <w:bookmarkStart w:name="refZweifel1956" w:id="97"/>
      <w:r>
        <w:rPr>
          <w:rStyle w:val="None"/>
          <w:b w:val="1"/>
          <w:bCs w:val="1"/>
          <w:rtl w:val="0"/>
          <w:lang w:val="de-DE"/>
        </w:rPr>
        <w:t>Zweifel RG</w:t>
      </w:r>
      <w:r>
        <w:rPr>
          <w:rStyle w:val="None A"/>
          <w:rtl w:val="0"/>
        </w:rPr>
        <w:t xml:space="preserve">. </w:t>
      </w:r>
      <w:r>
        <w:rPr>
          <w:rStyle w:val="None"/>
          <w:b w:val="1"/>
          <w:bCs w:val="1"/>
          <w:rtl w:val="0"/>
        </w:rPr>
        <w:t>1956</w:t>
      </w:r>
      <w:r>
        <w:rPr>
          <w:rStyle w:val="None"/>
          <w:rtl w:val="0"/>
          <w:lang w:val="en-US"/>
        </w:rPr>
        <w:t xml:space="preserve">. Results of the Archbold Expeditions. No. 72. Microhylid Frogs from New Guinea, with Descriptions of New Species. </w:t>
      </w:r>
      <w:r>
        <w:rPr>
          <w:rStyle w:val="None"/>
          <w:i w:val="1"/>
          <w:iCs w:val="1"/>
          <w:rtl w:val="0"/>
          <w:lang w:val="en-US"/>
        </w:rPr>
        <w:t>American Museum Novitates</w:t>
      </w:r>
      <w:r>
        <w:rPr>
          <w:rStyle w:val="None A"/>
          <w:rtl w:val="0"/>
        </w:rPr>
        <w:t>: 1</w:t>
      </w:r>
      <w:r>
        <w:rPr>
          <w:rStyle w:val="None A"/>
          <w:rtl w:val="0"/>
        </w:rPr>
        <w:t>–</w:t>
      </w:r>
      <w:r>
        <w:rPr>
          <w:rStyle w:val="None A"/>
          <w:rtl w:val="0"/>
        </w:rPr>
        <w:t>49.</w:t>
      </w:r>
      <w:bookmarkEnd w:id="97"/>
    </w:p>
    <w:p>
      <w:pPr>
        <w:pStyle w:val="Body A"/>
        <w:spacing w:line="480" w:lineRule="auto"/>
        <w:ind w:left="360" w:hanging="360"/>
      </w:pPr>
      <w:bookmarkStart w:name="refZweifel2003" w:id="98"/>
      <w:r>
        <w:rPr>
          <w:rStyle w:val="None"/>
          <w:b w:val="1"/>
          <w:bCs w:val="1"/>
          <w:rtl w:val="0"/>
          <w:lang w:val="de-DE"/>
        </w:rPr>
        <w:t>Zweifel RG</w:t>
      </w:r>
      <w:r>
        <w:rPr>
          <w:rStyle w:val="None A"/>
          <w:rtl w:val="0"/>
        </w:rPr>
        <w:t xml:space="preserve">. </w:t>
      </w:r>
      <w:r>
        <w:rPr>
          <w:rStyle w:val="None"/>
          <w:b w:val="1"/>
          <w:bCs w:val="1"/>
          <w:rtl w:val="0"/>
        </w:rPr>
        <w:t>2003</w:t>
      </w:r>
      <w:r>
        <w:rPr>
          <w:rStyle w:val="None"/>
          <w:rtl w:val="0"/>
          <w:lang w:val="en-US"/>
        </w:rPr>
        <w:t xml:space="preserve">. A New Species of Microhylid Frog, Genus </w:t>
      </w:r>
      <w:r>
        <w:rPr>
          <w:rStyle w:val="None"/>
          <w:i w:val="1"/>
          <w:iCs w:val="1"/>
          <w:rtl w:val="0"/>
        </w:rPr>
        <w:t>Oreophryne</w:t>
      </w:r>
      <w:r>
        <w:rPr>
          <w:rStyle w:val="None"/>
          <w:rtl w:val="0"/>
          <w:lang w:val="en-US"/>
        </w:rPr>
        <w:t xml:space="preserve">, from Papua New Guinea. </w:t>
      </w:r>
      <w:r>
        <w:rPr>
          <w:rStyle w:val="None"/>
          <w:i w:val="1"/>
          <w:iCs w:val="1"/>
          <w:rtl w:val="0"/>
          <w:lang w:val="en-US"/>
        </w:rPr>
        <w:t>American Museum Novitates</w:t>
      </w:r>
      <w:r>
        <w:rPr>
          <w:rStyle w:val="None A"/>
          <w:rtl w:val="0"/>
        </w:rPr>
        <w:t>: 1</w:t>
      </w:r>
      <w:r>
        <w:rPr>
          <w:rStyle w:val="None A"/>
          <w:rtl w:val="0"/>
        </w:rPr>
        <w:t>–</w:t>
      </w:r>
      <w:r>
        <w:rPr>
          <w:rStyle w:val="None A"/>
          <w:rtl w:val="0"/>
        </w:rPr>
        <w:t>8.</w:t>
      </w:r>
      <w:bookmarkEnd w:id="98"/>
    </w:p>
    <w:p>
      <w:pPr>
        <w:pStyle w:val="Body A"/>
        <w:spacing w:line="480" w:lineRule="auto"/>
        <w:ind w:left="360" w:hanging="360"/>
      </w:pPr>
      <w:bookmarkStart w:name="refZweifel2005" w:id="99"/>
      <w:r>
        <w:rPr>
          <w:rStyle w:val="None"/>
          <w:b w:val="1"/>
          <w:bCs w:val="1"/>
          <w:rtl w:val="0"/>
          <w:lang w:val="de-DE"/>
        </w:rPr>
        <w:t>Zweifel RG, Cogger H &amp; Richards S</w:t>
      </w:r>
      <w:r>
        <w:rPr>
          <w:rStyle w:val="None A"/>
          <w:rtl w:val="0"/>
        </w:rPr>
        <w:t xml:space="preserve">. </w:t>
      </w:r>
      <w:r>
        <w:rPr>
          <w:rStyle w:val="None"/>
          <w:b w:val="1"/>
          <w:bCs w:val="1"/>
          <w:rtl w:val="0"/>
        </w:rPr>
        <w:t>2005</w:t>
      </w:r>
      <w:r>
        <w:rPr>
          <w:rStyle w:val="None A"/>
          <w:rtl w:val="0"/>
        </w:rPr>
        <w:t xml:space="preserve">. </w:t>
      </w:r>
      <w:r>
        <w:rPr>
          <w:rStyle w:val="Hyperlink.2"/>
        </w:rPr>
        <w:fldChar w:fldCharType="begin" w:fldLock="0"/>
      </w:r>
      <w:r>
        <w:rPr>
          <w:rStyle w:val="Hyperlink.2"/>
        </w:rPr>
        <w:instrText xml:space="preserve"> HYPERLINK "https://doi.org/10.1206/0003-0082(2005)495%2525255B0001:SOMFGO%2525255D2.0.CO;2"</w:instrText>
      </w:r>
      <w:r>
        <w:rPr>
          <w:rStyle w:val="Hyperlink.2"/>
        </w:rPr>
        <w:fldChar w:fldCharType="separate" w:fldLock="0"/>
      </w:r>
      <w:r>
        <w:rPr>
          <w:rStyle w:val="Hyperlink.2"/>
          <w:rtl w:val="0"/>
          <w:lang w:val="en-US"/>
        </w:rPr>
        <w:t xml:space="preserve">Systematics of microhylid frogs, genus </w:t>
      </w:r>
      <w:r>
        <w:rPr>
          <w:rStyle w:val="Hyperlink.1.0"/>
          <w:rtl w:val="0"/>
        </w:rPr>
        <w:t>Oreophryne</w:t>
      </w:r>
      <w:r>
        <w:rPr>
          <w:rStyle w:val="Hyperlink.2"/>
          <w:rtl w:val="0"/>
          <w:lang w:val="en-US"/>
        </w:rPr>
        <w:t>, Living at High Elevations in New Guinea</w:t>
      </w:r>
      <w:r>
        <w:rPr/>
        <w:fldChar w:fldCharType="end" w:fldLock="0"/>
      </w:r>
      <w:r>
        <w:rPr>
          <w:rStyle w:val="None A"/>
          <w:rtl w:val="0"/>
        </w:rPr>
        <w:t xml:space="preserve">. </w:t>
      </w:r>
      <w:r>
        <w:rPr>
          <w:rStyle w:val="None"/>
          <w:i w:val="1"/>
          <w:iCs w:val="1"/>
          <w:rtl w:val="0"/>
          <w:lang w:val="en-US"/>
        </w:rPr>
        <w:t>American Museum Novitates</w:t>
      </w:r>
      <w:r>
        <w:rPr>
          <w:rStyle w:val="None A"/>
          <w:rtl w:val="0"/>
        </w:rPr>
        <w:t xml:space="preserve"> </w:t>
      </w:r>
      <w:r>
        <w:rPr>
          <w:rStyle w:val="None"/>
          <w:b w:val="1"/>
          <w:bCs w:val="1"/>
          <w:rtl w:val="0"/>
        </w:rPr>
        <w:t>3495</w:t>
      </w:r>
      <w:r>
        <w:rPr>
          <w:rStyle w:val="None A"/>
          <w:rtl w:val="0"/>
        </w:rPr>
        <w:t>: 1</w:t>
      </w:r>
      <w:r>
        <w:rPr>
          <w:rStyle w:val="None A"/>
          <w:rtl w:val="0"/>
        </w:rPr>
        <w:t>–</w:t>
      </w:r>
      <w:r>
        <w:rPr>
          <w:rStyle w:val="None A"/>
          <w:rtl w:val="0"/>
        </w:rPr>
        <w:t>25.</w:t>
      </w:r>
      <w:bookmarkEnd w:id="99"/>
    </w:p>
    <w:p>
      <w:pPr>
        <w:pStyle w:val="Body A"/>
        <w:spacing w:line="480" w:lineRule="auto"/>
        <w:ind w:left="360" w:hanging="360"/>
      </w:pPr>
      <w:bookmarkStart w:name="refZweifel2003a" w:id="100"/>
      <w:r>
        <w:rPr>
          <w:rStyle w:val="None"/>
          <w:b w:val="1"/>
          <w:bCs w:val="1"/>
          <w:rtl w:val="0"/>
          <w:lang w:val="de-DE"/>
        </w:rPr>
        <w:t>Zweifel R, Menzies J &amp; Price D</w:t>
      </w:r>
      <w:r>
        <w:rPr>
          <w:rStyle w:val="None A"/>
          <w:rtl w:val="0"/>
        </w:rPr>
        <w:t xml:space="preserve">. </w:t>
      </w:r>
      <w:r>
        <w:rPr>
          <w:rStyle w:val="None"/>
          <w:b w:val="1"/>
          <w:bCs w:val="1"/>
          <w:rtl w:val="0"/>
        </w:rPr>
        <w:t>2003</w:t>
      </w:r>
      <w:r>
        <w:rPr>
          <w:rStyle w:val="None A"/>
          <w:rtl w:val="0"/>
        </w:rPr>
        <w:t xml:space="preserve">. </w:t>
      </w:r>
      <w:r>
        <w:rPr>
          <w:rStyle w:val="Hyperlink.2"/>
        </w:rPr>
        <w:fldChar w:fldCharType="begin" w:fldLock="0"/>
      </w:r>
      <w:r>
        <w:rPr>
          <w:rStyle w:val="Hyperlink.2"/>
        </w:rPr>
        <w:instrText xml:space="preserve"> HYPERLINK "https://doi.org/10.1206/0003-0082(2003)415%2525253C0001:SOMFGO%2525253E2.0.CO;2"</w:instrText>
      </w:r>
      <w:r>
        <w:rPr>
          <w:rStyle w:val="Hyperlink.2"/>
        </w:rPr>
        <w:fldChar w:fldCharType="separate" w:fldLock="0"/>
      </w:r>
      <w:r>
        <w:rPr>
          <w:rStyle w:val="Hyperlink.2"/>
          <w:rtl w:val="0"/>
          <w:lang w:val="en-US"/>
        </w:rPr>
        <w:t xml:space="preserve">Systematics of microhylid frogs, genus </w:t>
      </w:r>
      <w:r>
        <w:rPr>
          <w:rStyle w:val="Hyperlink.1.0"/>
          <w:rtl w:val="0"/>
        </w:rPr>
        <w:t>Oreophryne</w:t>
      </w:r>
      <w:r>
        <w:rPr>
          <w:rStyle w:val="Hyperlink.2"/>
          <w:rtl w:val="0"/>
          <w:lang w:val="en-US"/>
        </w:rPr>
        <w:t>, from the north coast region of New Guinea</w:t>
      </w:r>
      <w:r>
        <w:rPr/>
        <w:fldChar w:fldCharType="end" w:fldLock="0"/>
      </w:r>
      <w:r>
        <w:rPr>
          <w:rStyle w:val="None A"/>
          <w:rtl w:val="0"/>
        </w:rPr>
        <w:t xml:space="preserve">. </w:t>
      </w:r>
      <w:r>
        <w:rPr>
          <w:rStyle w:val="None"/>
          <w:i w:val="1"/>
          <w:iCs w:val="1"/>
          <w:rtl w:val="0"/>
          <w:lang w:val="en-US"/>
        </w:rPr>
        <w:t>American Museum Novitates</w:t>
      </w:r>
      <w:r>
        <w:rPr>
          <w:rStyle w:val="None A"/>
          <w:rtl w:val="0"/>
        </w:rPr>
        <w:t>: 1</w:t>
      </w:r>
      <w:r>
        <w:rPr>
          <w:rStyle w:val="None A"/>
          <w:rtl w:val="0"/>
        </w:rPr>
        <w:t>–</w:t>
      </w:r>
      <w:r>
        <w:rPr>
          <w:rStyle w:val="None A"/>
          <w:rtl w:val="0"/>
        </w:rPr>
        <w:t>31.</w:t>
      </w:r>
      <w:bookmarkEnd w:id="100"/>
    </w:p>
    <w:sectPr>
      <w:headerReference w:type="default" r:id="rId4"/>
      <w:footerReference w:type="default" r:id="rId5"/>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Display">
    <w:charset w:val="00"/>
    <w:family w:val="roman"/>
    <w:pitch w:val="default"/>
  </w:font>
  <w:font w:name="Apto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Text"/>
    <w:pPr>
      <w:keepNext w:val="0"/>
      <w:keepLines w:val="0"/>
      <w:pageBreakBefore w:val="0"/>
      <w:widowControl w:val="1"/>
      <w:shd w:val="clear" w:color="auto" w:fill="auto"/>
      <w:suppressAutoHyphens w:val="0"/>
      <w:bidi w:val="0"/>
      <w:spacing w:before="0" w:after="80" w:line="240" w:lineRule="auto"/>
      <w:ind w:left="0" w:right="0" w:firstLine="0"/>
      <w:jc w:val="center"/>
      <w:outlineLvl w:val="9"/>
    </w:pPr>
    <w:rPr>
      <w:rFonts w:ascii="Aptos Display" w:cs="Aptos Display" w:hAnsi="Aptos Display" w:eastAsia="Aptos Display"/>
      <w:b w:val="0"/>
      <w:bCs w:val="0"/>
      <w:i w:val="0"/>
      <w:iCs w:val="0"/>
      <w:caps w:val="0"/>
      <w:smallCaps w:val="0"/>
      <w:strike w:val="0"/>
      <w:dstrike w:val="0"/>
      <w:outline w:val="0"/>
      <w:color w:val="000000"/>
      <w:spacing w:val="-10"/>
      <w:kern w:val="28"/>
      <w:position w:val="0"/>
      <w:sz w:val="56"/>
      <w:szCs w:val="56"/>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48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None A">
    <w:name w:val="None A"/>
    <w:rPr>
      <w:lang w:val="en-US"/>
    </w:rPr>
  </w:style>
  <w:style w:type="paragraph" w:styleId="Date">
    <w:name w:val="Date"/>
    <w:next w:val="Body Text"/>
    <w:pPr>
      <w:keepNext w:val="1"/>
      <w:keepLines w:val="1"/>
      <w:pageBreakBefore w:val="0"/>
      <w:widowControl w:val="1"/>
      <w:shd w:val="clear" w:color="auto" w:fill="auto"/>
      <w:suppressAutoHyphens w:val="0"/>
      <w:bidi w:val="0"/>
      <w:spacing w:before="0" w:after="200" w:line="240" w:lineRule="auto"/>
      <w:ind w:left="0" w:right="0" w:firstLine="0"/>
      <w:jc w:val="center"/>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w:name w:val="Heading"/>
    <w:next w:val="Body Text"/>
    <w:pPr>
      <w:keepNext w:val="1"/>
      <w:keepLines w:val="1"/>
      <w:pageBreakBefore w:val="0"/>
      <w:widowControl w:val="1"/>
      <w:shd w:val="clear" w:color="auto" w:fill="auto"/>
      <w:suppressAutoHyphens w:val="0"/>
      <w:bidi w:val="0"/>
      <w:spacing w:before="360" w:after="80" w:line="240" w:lineRule="auto"/>
      <w:ind w:left="0" w:right="0" w:firstLine="0"/>
      <w:jc w:val="left"/>
      <w:outlineLvl w:val="0"/>
    </w:pPr>
    <w:rPr>
      <w:rFonts w:ascii="Helvetica" w:cs="Helvetica" w:hAnsi="Helvetica" w:eastAsia="Helvetica"/>
      <w:b w:val="0"/>
      <w:bCs w:val="0"/>
      <w:i w:val="0"/>
      <w:iCs w:val="0"/>
      <w:caps w:val="0"/>
      <w:smallCaps w:val="0"/>
      <w:strike w:val="0"/>
      <w:dstrike w:val="0"/>
      <w:outline w:val="0"/>
      <w:color w:val="0f4761"/>
      <w:spacing w:val="0"/>
      <w:kern w:val="0"/>
      <w:position w:val="0"/>
      <w:sz w:val="40"/>
      <w:szCs w:val="40"/>
      <w:u w:val="none" w:color="0f4761"/>
      <w:shd w:val="nil" w:color="auto" w:fill="auto"/>
      <w:vertAlign w:val="baseline"/>
      <w14:textOutline w14:w="12700" w14:cap="flat">
        <w14:noFill/>
        <w14:miter w14:lim="400000"/>
      </w14:textOutline>
      <w14:textFill>
        <w14:solidFill>
          <w14:srgbClr w14:val="0F4761"/>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48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4">
    <w:name w:val="heading 4"/>
    <w:next w:val="Body Text"/>
    <w:pPr>
      <w:keepNext w:val="1"/>
      <w:keepLines w:val="1"/>
      <w:pageBreakBefore w:val="0"/>
      <w:widowControl w:val="1"/>
      <w:shd w:val="clear" w:color="auto" w:fill="auto"/>
      <w:suppressAutoHyphens w:val="0"/>
      <w:bidi w:val="0"/>
      <w:spacing w:before="80" w:after="40" w:line="240" w:lineRule="auto"/>
      <w:ind w:left="0" w:right="0" w:firstLine="0"/>
      <w:jc w:val="left"/>
      <w:outlineLvl w:val="2"/>
    </w:pPr>
    <w:rPr>
      <w:rFonts w:ascii="Helvetica" w:cs="Helvetica" w:hAnsi="Helvetica" w:eastAsia="Helvetica"/>
      <w:b w:val="0"/>
      <w:bCs w:val="0"/>
      <w:i w:val="1"/>
      <w:iCs w:val="1"/>
      <w:caps w:val="0"/>
      <w:smallCaps w:val="0"/>
      <w:strike w:val="0"/>
      <w:dstrike w:val="0"/>
      <w:outline w:val="0"/>
      <w:color w:val="0f4761"/>
      <w:spacing w:val="0"/>
      <w:kern w:val="0"/>
      <w:position w:val="0"/>
      <w:sz w:val="24"/>
      <w:szCs w:val="24"/>
      <w:u w:val="none" w:color="0f4761"/>
      <w:shd w:val="nil" w:color="auto" w:fill="auto"/>
      <w:vertAlign w:val="baseline"/>
      <w:lang w:val="en-US"/>
      <w14:textFill>
        <w14:solidFill>
          <w14:srgbClr w14:val="0F4761"/>
        </w14:solidFill>
      </w14:textFill>
    </w:rPr>
  </w:style>
  <w:style w:type="paragraph" w:styleId="Heading 2">
    <w:name w:val="Heading 2"/>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1"/>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32"/>
      <w:szCs w:val="32"/>
      <w:u w:val="none" w:color="0f4761"/>
      <w:shd w:val="nil" w:color="auto" w:fill="auto"/>
      <w:vertAlign w:val="baseline"/>
      <w:lang w:val="en-US"/>
      <w14:textOutline w14:w="12700" w14:cap="flat">
        <w14:noFill/>
        <w14:miter w14:lim="400000"/>
      </w14:textOutline>
      <w14:textFill>
        <w14:solidFill>
          <w14:srgbClr w14:val="0F4761"/>
        </w14:solidFill>
      </w14:textFill>
    </w:rPr>
  </w:style>
  <w:style w:type="paragraph" w:styleId="Heading 3">
    <w:name w:val="Heading 3"/>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2"/>
    </w:pPr>
    <w:rPr>
      <w:rFonts w:ascii="Aptos" w:cs="Aptos" w:hAnsi="Aptos" w:eastAsia="Aptos"/>
      <w:b w:val="0"/>
      <w:bCs w:val="0"/>
      <w:i w:val="0"/>
      <w:iCs w:val="0"/>
      <w:caps w:val="0"/>
      <w:smallCaps w:val="0"/>
      <w:strike w:val="0"/>
      <w:dstrike w:val="0"/>
      <w:outline w:val="0"/>
      <w:color w:val="0f4761"/>
      <w:spacing w:val="0"/>
      <w:kern w:val="0"/>
      <w:position w:val="0"/>
      <w:sz w:val="28"/>
      <w:szCs w:val="28"/>
      <w:u w:val="none" w:color="0f4761"/>
      <w:shd w:val="nil" w:color="auto" w:fill="auto"/>
      <w:vertAlign w:val="baseline"/>
      <w14:textOutline w14:w="12700" w14:cap="flat">
        <w14:noFill/>
        <w14:miter w14:lim="400000"/>
      </w14:textOutline>
      <w14:textFill>
        <w14:solidFill>
          <w14:srgbClr w14:val="0F4761"/>
        </w14:solidFill>
      </w14:textFill>
    </w:rPr>
  </w:style>
  <w:style w:type="character" w:styleId="Heading.0">
    <w:name w:val="Heading.0"/>
    <w:rPr>
      <w:lang w:val="en-US"/>
    </w:rPr>
  </w:style>
  <w:style w:type="character" w:styleId="None">
    <w:name w:val="None"/>
  </w:style>
  <w:style w:type="character" w:styleId="Hyperlink.0">
    <w:name w:val="Hyperlink.0"/>
    <w:basedOn w:val="None"/>
    <w:next w:val="Hyperlink.0"/>
    <w:rPr>
      <w:outline w:val="0"/>
      <w:color w:val="0000ff"/>
      <w:u w:val="single" w:color="0000ff"/>
      <w14:textFill>
        <w14:solidFill>
          <w14:srgbClr w14:val="0000FF"/>
        </w14:solidFill>
      </w14:textFill>
    </w:rPr>
  </w:style>
  <w:style w:type="character" w:styleId="Hyperlink.1">
    <w:name w:val="Hyperlink.1"/>
    <w:basedOn w:val="None"/>
    <w:next w:val="Hyperlink.1"/>
    <w:rPr>
      <w:rFonts w:ascii="Times New Roman" w:cs="Times New Roman" w:hAnsi="Times New Roman" w:eastAsia="Times New Roman"/>
      <w:i w:val="1"/>
      <w:iCs w:val="1"/>
      <w:outline w:val="0"/>
      <w:color w:val="000000"/>
      <w:u w:val="single" w:color="000000"/>
      <w:lang w:val="en-US"/>
      <w14:textFill>
        <w14:solidFill>
          <w14:srgbClr w14:val="000000"/>
        </w14:solidFill>
      </w14:textFill>
    </w:rPr>
  </w:style>
  <w:style w:type="character" w:styleId="Hyperlink.2">
    <w:name w:val="Hyperlink.2"/>
    <w:basedOn w:val="None"/>
    <w:next w:val="Hyperlink.2"/>
    <w:rPr>
      <w:outline w:val="0"/>
      <w:color w:val="000000"/>
      <w:u w:val="single" w:color="000000"/>
      <w:lang w:val="en-US"/>
      <w14:textFill>
        <w14:solidFill>
          <w14:srgbClr w14:val="000000"/>
        </w14:solidFill>
      </w14:textFill>
    </w:rPr>
  </w:style>
  <w:style w:type="character" w:styleId="Hyperlink.1.0">
    <w:name w:val="Hyperlink.1.0"/>
    <w:rPr>
      <w:rFonts w:ascii="Times New Roman" w:hAnsi="Times New Roman"/>
      <w:i w:val="1"/>
      <w:iCs w:val="1"/>
      <w:outline w:val="0"/>
      <w:color w:val="000000"/>
      <w:u w:val="single" w:color="000000"/>
      <w14:textFill>
        <w14:solidFill>
          <w14:srgbClr w14:val="000000"/>
        </w14:solidFill>
      </w14:textFill>
    </w:rPr>
  </w:style>
  <w:style w:type="character" w:styleId="Hyperlink.3">
    <w:name w:val="Hyperlink.3"/>
    <w:basedOn w:val="None"/>
    <w:next w:val="Hyperlink.3"/>
    <w:rPr>
      <w:outline w:val="0"/>
      <w:color w:val="000000"/>
      <w:u w:val="single" w:color="000000"/>
      <w:lang w:val="de-DE"/>
      <w14:textFill>
        <w14:solidFill>
          <w14:srgbClr w14:val="000000"/>
        </w14:solidFill>
      </w14:textFill>
    </w:rPr>
  </w:style>
  <w:style w:type="character" w:styleId="Hyperlink.2.0">
    <w:name w:val="Hyperlink.2.0"/>
    <w:rPr>
      <w:outline w:val="0"/>
      <w:color w:val="000000"/>
      <w:u w:val="single" w:color="000000"/>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Aptos Display"/>
        <a:ea typeface="Aptos Display"/>
        <a:cs typeface="Aptos Display"/>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