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</w:p>
    <w:p>
      <w:pPr>
        <w:pStyle w:val="Table Caption"/>
        <w:keepNext w:val="1"/>
        <w:spacing w:before="60" w:after="60"/>
        <w:ind w:left="60" w:right="60" w:firstLine="0"/>
        <w:jc w:val="left"/>
        <w:rPr>
          <w:rFonts w:ascii="Helvetica Neue" w:cs="Helvetica Neue" w:hAnsi="Helvetica Neue" w:eastAsia="Helvetica Neue"/>
          <w:b w:val="0"/>
          <w:bCs w:val="0"/>
          <w:i w:val="0"/>
          <w:iCs w:val="0"/>
        </w:rPr>
      </w:pPr>
      <w:r>
        <w:rPr>
          <w:rFonts w:ascii="Helvetica Neue" w:hAnsi="Helvetica Neue"/>
          <w:b w:val="0"/>
          <w:bCs w:val="0"/>
          <w:i w:val="0"/>
          <w:iCs w:val="0"/>
          <w:rtl w:val="0"/>
          <w:lang w:val="en-US"/>
        </w:rPr>
        <w:t>Table 1. Locality information for samples sequenced in this study. See Hill, et al., 2023, Table 1 for additional metadata.</w:t>
      </w:r>
    </w:p>
    <w:tbl>
      <w:tblPr>
        <w:tblW w:w="940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37"/>
        <w:gridCol w:w="2920"/>
        <w:gridCol w:w="3250"/>
        <w:gridCol w:w="1899"/>
      </w:tblGrid>
      <w:tr>
        <w:tblPrEx>
          <w:shd w:val="clear" w:color="auto" w:fill="4f81bd"/>
        </w:tblPrEx>
        <w:trPr>
          <w:trHeight w:val="580" w:hRule="atLeast"/>
          <w:tblHeader/>
        </w:trPr>
        <w:tc>
          <w:tcPr>
            <w:tcW w:type="dxa" w:w="1337"/>
            <w:tcBorders>
              <w:top w:val="single" w:color="000000" w:sz="12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ID</w:t>
            </w:r>
          </w:p>
        </w:tc>
        <w:tc>
          <w:tcPr>
            <w:tcW w:type="dxa" w:w="2920"/>
            <w:tcBorders>
              <w:top w:val="single" w:color="000000" w:sz="12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Species</w:t>
            </w:r>
          </w:p>
        </w:tc>
        <w:tc>
          <w:tcPr>
            <w:tcW w:type="dxa" w:w="3250"/>
            <w:tcBorders>
              <w:top w:val="single" w:color="000000" w:sz="12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Locality</w:t>
            </w:r>
          </w:p>
        </w:tc>
        <w:tc>
          <w:tcPr>
            <w:tcW w:type="dxa" w:w="1899"/>
            <w:tcBorders>
              <w:top w:val="single" w:color="000000" w:sz="12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Latitude, Longitude</w:t>
            </w:r>
          </w:p>
        </w:tc>
      </w:tr>
      <w:tr>
        <w:tblPrEx>
          <w:shd w:val="clear" w:color="auto" w:fill="ced7e7"/>
        </w:tblPrEx>
        <w:trPr>
          <w:trHeight w:val="825" w:hRule="atLeast"/>
        </w:trPr>
        <w:tc>
          <w:tcPr>
            <w:tcW w:type="dxa" w:w="1337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BJE01248</w:t>
            </w:r>
          </w:p>
        </w:tc>
        <w:tc>
          <w:tcPr>
            <w:tcW w:type="dxa" w:w="2920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 frontifasciata</w:t>
            </w:r>
          </w:p>
        </w:tc>
        <w:tc>
          <w:tcPr>
            <w:tcW w:type="dxa" w:w="3250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Kabupaten Halmahera Timur,</w:t>
            </w:r>
            <w:r>
              <w:rPr>
                <w:rFonts w:ascii="Helvetica" w:cs="Helvetica" w:hAnsi="Helvetica" w:eastAsia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lang w:val="en-US"/>
                <w14:textFill>
                  <w14:solidFill>
                    <w14:srgbClr w14:val="666666"/>
                  </w14:solidFill>
                </w14:textFill>
              </w:rPr>
              <w:br w:type="textWrapping"/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Halmahera Island, North Maluku</w:t>
            </w:r>
          </w:p>
        </w:tc>
        <w:tc>
          <w:tcPr>
            <w:tcW w:type="dxa" w:w="1899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1.3667, 128.2330</w:t>
            </w:r>
          </w:p>
        </w:tc>
      </w:tr>
      <w:tr>
        <w:tblPrEx>
          <w:shd w:val="clear" w:color="auto" w:fill="ced7e7"/>
        </w:tblPrEx>
        <w:trPr>
          <w:trHeight w:val="800" w:hRule="atLeast"/>
        </w:trPr>
        <w:tc>
          <w:tcPr>
            <w:tcW w:type="dxa" w:w="133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BJE01143</w:t>
            </w:r>
          </w:p>
        </w:tc>
        <w:tc>
          <w:tcPr>
            <w:tcW w:type="dxa" w:w="29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 senckenbergiana</w:t>
            </w:r>
          </w:p>
        </w:tc>
        <w:tc>
          <w:tcPr>
            <w:tcW w:type="dxa" w:w="325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Kabupaten Halmahera Utara,</w:t>
            </w:r>
            <w:r>
              <w:rPr>
                <w:rFonts w:ascii="Helvetica" w:cs="Helvetica" w:hAnsi="Helvetica" w:eastAsia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lang w:val="en-US"/>
                <w14:textFill>
                  <w14:solidFill>
                    <w14:srgbClr w14:val="666666"/>
                  </w14:solidFill>
                </w14:textFill>
              </w:rPr>
              <w:br w:type="textWrapping"/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Halmahera Island, North Maluku</w:t>
            </w:r>
          </w:p>
        </w:tc>
        <w:tc>
          <w:tcPr>
            <w:tcW w:type="dxa" w:w="189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1.7899, 127.8910</w:t>
            </w:r>
          </w:p>
        </w:tc>
      </w:tr>
      <w:tr>
        <w:tblPrEx>
          <w:shd w:val="clear" w:color="auto" w:fill="ced7e7"/>
        </w:tblPrEx>
        <w:trPr>
          <w:trHeight w:val="800" w:hRule="atLeast"/>
        </w:trPr>
        <w:tc>
          <w:tcPr>
            <w:tcW w:type="dxa" w:w="133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BJE01144</w:t>
            </w:r>
          </w:p>
        </w:tc>
        <w:tc>
          <w:tcPr>
            <w:tcW w:type="dxa" w:w="29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 senckenbergiana</w:t>
            </w:r>
          </w:p>
        </w:tc>
        <w:tc>
          <w:tcPr>
            <w:tcW w:type="dxa" w:w="325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Kabupaten Halmahera Utara,</w:t>
            </w:r>
            <w:r>
              <w:rPr>
                <w:rFonts w:ascii="Helvetica" w:cs="Helvetica" w:hAnsi="Helvetica" w:eastAsia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lang w:val="en-US"/>
                <w14:textFill>
                  <w14:solidFill>
                    <w14:srgbClr w14:val="666666"/>
                  </w14:solidFill>
                </w14:textFill>
              </w:rPr>
              <w:br w:type="textWrapping"/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Halmahera Island, North Maluku</w:t>
            </w:r>
          </w:p>
        </w:tc>
        <w:tc>
          <w:tcPr>
            <w:tcW w:type="dxa" w:w="189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1.7899, 127.8910</w:t>
            </w:r>
          </w:p>
        </w:tc>
      </w:tr>
      <w:tr>
        <w:tblPrEx>
          <w:shd w:val="clear" w:color="auto" w:fill="ced7e7"/>
        </w:tblPrEx>
        <w:trPr>
          <w:trHeight w:val="805" w:hRule="atLeast"/>
        </w:trPr>
        <w:tc>
          <w:tcPr>
            <w:tcW w:type="dxa" w:w="1337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BJE01120</w:t>
            </w:r>
          </w:p>
        </w:tc>
        <w:tc>
          <w:tcPr>
            <w:tcW w:type="dxa" w:w="2920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 senckenbergiana</w:t>
            </w:r>
          </w:p>
        </w:tc>
        <w:tc>
          <w:tcPr>
            <w:tcW w:type="dxa" w:w="3250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Kabupaten Halmahera Utara,</w:t>
            </w:r>
            <w:r>
              <w:rPr>
                <w:rFonts w:ascii="Helvetica" w:cs="Helvetica" w:hAnsi="Helvetica" w:eastAsia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lang w:val="en-US"/>
                <w14:textFill>
                  <w14:solidFill>
                    <w14:srgbClr w14:val="666666"/>
                  </w14:solidFill>
                </w14:textFill>
              </w:rPr>
              <w:br w:type="textWrapping"/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Halmahera Island, North Maluku</w:t>
            </w:r>
          </w:p>
        </w:tc>
        <w:tc>
          <w:tcPr>
            <w:tcW w:type="dxa" w:w="1899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1.8228, 127.8300</w:t>
            </w:r>
          </w:p>
        </w:tc>
      </w:tr>
    </w:tbl>
    <w:p>
      <w:pPr>
        <w:pStyle w:val="Table Caption"/>
        <w:keepNext w:val="1"/>
        <w:widowControl w:val="0"/>
        <w:spacing w:before="60" w:after="60"/>
        <w:ind w:left="108" w:hanging="108"/>
      </w:pPr>
      <w:r/>
    </w:p>
    <w:sectPr>
      <w:headerReference w:type="default" r:id="rId4"/>
      <w:footerReference w:type="default" r:id="rId5"/>
      <w:pgSz w:w="12240" w:h="15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Caption">
    <w:name w:val="Table Caption"/>
    <w:next w:val="Table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Cambria" w:cs="Arial Unicode MS" w:hAnsi="Cambria" w:eastAsia="Arial Unicode MS"/>
      <w:b w:val="1"/>
      <w:bCs w:val="1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