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Table Caption"/>
        <w:keepNext w:val="1"/>
        <w:spacing w:before="60" w:after="60"/>
        <w:ind w:left="1500" w:right="60" w:firstLine="0"/>
        <w:jc w:val="left"/>
        <w:rPr>
          <w:rFonts w:ascii="Helvetica" w:cs="Helvetica" w:hAnsi="Helvetica" w:eastAsia="Helvetica"/>
          <w:b w:val="0"/>
          <w:bCs w:val="0"/>
          <w:i w:val="0"/>
          <w:iCs w:val="0"/>
        </w:rPr>
      </w:pPr>
      <w:r>
        <w:rPr>
          <w:rFonts w:ascii="Helvetica" w:hAnsi="Helvetica"/>
          <w:b w:val="0"/>
          <w:bCs w:val="0"/>
          <w:i w:val="0"/>
          <w:iCs w:val="0"/>
          <w:rtl w:val="0"/>
          <w:lang w:val="en-US"/>
        </w:rPr>
        <w:t>Table 4. Genera of Asterophryinae and their type species.</w:t>
      </w:r>
    </w:p>
    <w:tbl>
      <w:tblPr>
        <w:tblW w:w="68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8"/>
        <w:gridCol w:w="4911"/>
      </w:tblGrid>
      <w:tr>
        <w:tblPrEx>
          <w:shd w:val="clear" w:color="auto" w:fill="4f81bd"/>
        </w:tblPrEx>
        <w:trPr>
          <w:trHeight w:val="326" w:hRule="atLeast"/>
          <w:tblHeader/>
        </w:trPr>
        <w:tc>
          <w:tcPr>
            <w:tcW w:type="dxa" w:w="1938"/>
            <w:vMerge w:val="restart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Genus</w:t>
            </w:r>
          </w:p>
        </w:tc>
        <w:tc>
          <w:tcPr>
            <w:tcW w:type="dxa" w:w="491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Type</w:t>
            </w:r>
          </w:p>
        </w:tc>
      </w:tr>
      <w:tr>
        <w:tblPrEx>
          <w:shd w:val="clear" w:color="auto" w:fill="4f81bd"/>
        </w:tblPrEx>
        <w:trPr>
          <w:trHeight w:val="329" w:hRule="atLeast"/>
          <w:tblHeader/>
        </w:trPr>
        <w:tc>
          <w:tcPr>
            <w:tcW w:type="dxa" w:w="1938"/>
            <w:vMerge w:val="continue"/>
            <w:tcBorders>
              <w:top w:val="single" w:color="666666" w:sz="12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</w:tcPr>
          <w:p/>
        </w:tc>
        <w:tc>
          <w:tcPr>
            <w:tcW w:type="dxa" w:w="491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Species</w:t>
            </w:r>
          </w:p>
        </w:tc>
      </w:tr>
      <w:tr>
        <w:tblPrEx>
          <w:shd w:val="clear" w:color="auto" w:fill="ced7e7"/>
        </w:tblPrEx>
        <w:trPr>
          <w:trHeight w:val="331" w:hRule="atLeast"/>
        </w:trPr>
        <w:tc>
          <w:tcPr>
            <w:tcW w:type="dxa" w:w="193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Asterophrys</w:t>
            </w:r>
          </w:p>
        </w:tc>
        <w:tc>
          <w:tcPr>
            <w:tcW w:type="dxa" w:w="4911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Asterophrys turpicola Schlegel 1837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Auparoparo penelopeia Kraus 2016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palmipes Zweifel 1956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robusta Fry 1912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Barygenys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Barygenys cheesmanae Parker 1936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Callulops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Callulops doriae Boulenger 1888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Choerophryne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Choerophryne proboscidea Van Kampen 1914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Cophixalus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Cophixalus verrucosus Boettger 1892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Copiula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Copiula oxyrhina Boulenger 1898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Genyophryne*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Genyophryne thomsoni Boulenger, 1890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Hylophorbus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Hylophorbus rufescens Macleay 1878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Mantophyrne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Mantophryne lateralis Boulenger 1897 </w:t>
            </w:r>
          </w:p>
        </w:tc>
      </w:tr>
      <w:tr>
        <w:tblPrEx>
          <w:shd w:val="clear" w:color="auto" w:fill="ced7e7"/>
        </w:tblPrEx>
        <w:trPr>
          <w:trHeight w:val="298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Liophryne*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Liophryne rhododactyla Boulenger 1897 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Oreophryne senckenbergiana Boettger 1895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Oxydactyla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Oxydactyla brevicrus Van Kampen 1913 </w:t>
            </w:r>
          </w:p>
        </w:tc>
      </w:tr>
      <w:tr>
        <w:tblPrEx>
          <w:shd w:val="clear" w:color="auto" w:fill="ced7e7"/>
        </w:tblPrEx>
        <w:trPr>
          <w:trHeight w:val="296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Paedophryne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Paedophryne kathismaphlox Kraus 2010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3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Sphenophryne*</w:t>
            </w:r>
          </w:p>
        </w:tc>
        <w:tc>
          <w:tcPr>
            <w:tcW w:type="dxa" w:w="49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Sphenophryne cornuta Peters and Doria 1878</w:t>
            </w:r>
          </w:p>
        </w:tc>
      </w:tr>
      <w:tr>
        <w:tblPrEx>
          <w:shd w:val="clear" w:color="auto" w:fill="ced7e7"/>
        </w:tblPrEx>
        <w:trPr>
          <w:trHeight w:val="301" w:hRule="atLeast"/>
        </w:trPr>
        <w:tc>
          <w:tcPr>
            <w:tcW w:type="dxa" w:w="193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Xenorhina</w:t>
            </w:r>
          </w:p>
        </w:tc>
        <w:tc>
          <w:tcPr>
            <w:tcW w:type="dxa" w:w="4911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Xenorhina oxycephala Schlegel 1858 </w:t>
            </w:r>
          </w:p>
        </w:tc>
      </w:tr>
      <w:tr>
        <w:tblPrEx>
          <w:shd w:val="clear" w:color="auto" w:fill="ced7e7"/>
        </w:tblPrEx>
        <w:trPr>
          <w:trHeight w:val="1315" w:hRule="atLeast"/>
        </w:trPr>
        <w:tc>
          <w:tcPr>
            <w:tcW w:type="dxa" w:w="6849"/>
            <w:gridSpan w:val="2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*We note that the monophyly of Austrochaperina, Liophryne, Oxydactyla, and Sphenophryne (and reciprocal monophyly of Genyophryne [Genyophryne thomsoni Boulenger, 1890] with respect to Liophryne + Oxytactyla + Sphenophryne) has not yet been established.</w:t>
            </w:r>
          </w:p>
        </w:tc>
      </w:tr>
    </w:tbl>
    <w:p>
      <w:pPr>
        <w:pStyle w:val="Table Caption"/>
        <w:keepNext w:val="1"/>
        <w:widowControl w:val="0"/>
        <w:spacing w:before="60" w:after="60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aption">
    <w:name w:val="Table Caption"/>
    <w:next w:val="Tabl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