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4083" w:type="dxa"/>
        <w:jc w:val="left"/>
        <w:tblInd w:w="1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67"/>
        <w:gridCol w:w="2520"/>
        <w:gridCol w:w="1728"/>
        <w:gridCol w:w="1728"/>
        <w:gridCol w:w="2160"/>
        <w:gridCol w:w="2880"/>
      </w:tblGrid>
      <w:tr>
        <w:tblPrEx>
          <w:shd w:val="clear" w:color="auto" w:fill="4f81bd"/>
        </w:tblPrEx>
        <w:trPr>
          <w:trHeight w:val="810" w:hRule="atLeast"/>
          <w:tblHeader/>
        </w:trPr>
        <w:tc>
          <w:tcPr>
            <w:tcW w:type="dxa" w:w="3067"/>
            <w:tcBorders>
              <w:top w:val="single" w:color="666666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Original designation</w:t>
            </w:r>
          </w:p>
        </w:tc>
        <w:tc>
          <w:tcPr>
            <w:tcW w:type="dxa" w:w="2520"/>
            <w:tcBorders>
              <w:top w:val="single" w:color="666666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Citation</w:t>
            </w:r>
          </w:p>
        </w:tc>
        <w:tc>
          <w:tcPr>
            <w:tcW w:type="dxa" w:w="1728"/>
            <w:tcBorders>
              <w:top w:val="single" w:color="666666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Previous generic placement</w:t>
            </w:r>
          </w:p>
        </w:tc>
        <w:tc>
          <w:tcPr>
            <w:tcW w:type="dxa" w:w="1728"/>
            <w:tcBorders>
              <w:top w:val="single" w:color="666666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Current generic placement</w:t>
            </w:r>
          </w:p>
        </w:tc>
        <w:tc>
          <w:tcPr>
            <w:tcW w:type="dxa" w:w="2160"/>
            <w:tcBorders>
              <w:top w:val="single" w:color="666666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Species</w:t>
            </w:r>
          </w:p>
        </w:tc>
        <w:tc>
          <w:tcPr>
            <w:tcW w:type="dxa" w:w="2880"/>
            <w:tcBorders>
              <w:top w:val="single" w:color="666666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3067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anamiatoi </w:t>
            </w:r>
          </w:p>
        </w:tc>
        <w:tc>
          <w:tcPr>
            <w:tcW w:type="dxa" w:w="2520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 &amp; Allison, 2009)</w:t>
            </w:r>
          </w:p>
        </w:tc>
        <w:tc>
          <w:tcPr>
            <w:tcW w:type="dxa" w:w="1728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anamiatoi</w:t>
            </w:r>
          </w:p>
        </w:tc>
        <w:tc>
          <w:tcPr>
            <w:tcW w:type="dxa" w:w="2880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Phrynixalus anulatus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(Stejneger, 1908)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anulata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aurora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aurora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biroi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(M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é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hely, 1897)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biroi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Hylella brachypus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(Werner, 1898)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brachypus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cameroni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cameroni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Callula frontifasciata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(Horst, 1883)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frontifasciata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Cophixalus geislerorum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(Boettger, 1892)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geislerorum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graminis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 &amp; Richards, 2012)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graminis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inornata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1956)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inornata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lemur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lemur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loriae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(Boulenger, 1898)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loriae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nana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(Brown &amp; Alcala, 1967)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nana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notata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notata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parkeri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(Loveridge, 1955)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parkeri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parkopanorum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parkopanorum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philosylleptoris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philosylleptoris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3067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senkenbergiana </w:t>
            </w:r>
          </w:p>
        </w:tc>
        <w:tc>
          <w:tcPr>
            <w:tcW w:type="dxa" w:w="2520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(Boettger, 1895)</w:t>
            </w:r>
          </w:p>
        </w:tc>
        <w:tc>
          <w:tcPr>
            <w:tcW w:type="dxa" w:w="1728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2160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senkenbergiana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Retained in Oreophryne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3067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brunnea </w:t>
            </w:r>
          </w:p>
        </w:tc>
        <w:tc>
          <w:tcPr>
            <w:tcW w:type="dxa" w:w="2520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2017)</w:t>
            </w:r>
          </w:p>
        </w:tc>
        <w:tc>
          <w:tcPr>
            <w:tcW w:type="dxa" w:w="1728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brunnea</w:t>
            </w:r>
          </w:p>
        </w:tc>
        <w:tc>
          <w:tcPr>
            <w:tcW w:type="dxa" w:w="2880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equus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equus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ezra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 &amp; Allison, 2009)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ezra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gagneorum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gagneorum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insulana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1956)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insulana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matawan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matawan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meliades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meliades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penelopeia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penelopeia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phoebe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2017)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phoebe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picticrus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picticrus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variabilis </w:t>
            </w:r>
          </w:p>
        </w:tc>
        <w:tc>
          <w:tcPr>
            <w:tcW w:type="dxa" w:w="2520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(Boulenger, 1896)</w:t>
            </w:r>
          </w:p>
        </w:tc>
        <w:tc>
          <w:tcPr>
            <w:tcW w:type="dxa" w:w="1728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2160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variabilis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666666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Transferred to Auparoparo</w:t>
            </w:r>
          </w:p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3067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albitympanum </w:t>
            </w:r>
          </w:p>
        </w:tc>
        <w:tc>
          <w:tcPr>
            <w:tcW w:type="dxa" w:w="2520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and Tjaturadi, 2018)</w:t>
            </w:r>
          </w:p>
        </w:tc>
        <w:tc>
          <w:tcPr>
            <w:tcW w:type="dxa" w:w="1728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albitympanum</w:t>
            </w:r>
          </w:p>
        </w:tc>
        <w:tc>
          <w:tcPr>
            <w:tcW w:type="dxa" w:w="2880"/>
            <w:tcBorders>
              <w:top w:val="single" w:color="666666" w:sz="8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albomaculata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and Dahl, 2014)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albomaculata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albopunctata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(Van Kampen, 1909)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albopunctata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alticola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Cogger, and Richards, 2005)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alticola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ampelos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2011)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ampelos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anser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anser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anthonyi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(Boulenger, 1897)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anthonyi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asplenicola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asplenicola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atrigularis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and Iskandar, 2001)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atrigularis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banshee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(Kraus,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banshee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brevicrus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1956)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brevicrus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brevirostris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Cogger, and Richards, 2005)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brevirostris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celebensis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(M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ller, 1894)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celebensis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choerophrynoides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2015)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choerophrynoides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chlorops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Iskandar, and Richards, 2023)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chlorops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clamata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clamata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Cophixalus crucifer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(Van Kampen, 1913)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crucifer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curator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and Dahl, 2014)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curator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flava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(Parker, 1934)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flava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flavomaculata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 and Richards,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flavomaculata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78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furu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Tjaturadi, and Iskandar, 2009)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furu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geminus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Cogger, and Richards, 2005)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geminus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habbemensis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Cogger, and Richards, 2005)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habbemensis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hypsiops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Menzies, and Price,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hypsiops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idenburgensis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1956)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idenburgensis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jeffersoniana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(Dunn, 1928)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jeffersoniana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kampeni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(Parker, 1934)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kampeni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kapisa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kapisa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mertoni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(Roux, 1910)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mertoni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minuta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(Richards and Iskandar, 2000)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minuta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Microhyla achatina var. moluccensis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(Peters and Doria, 1878)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moluccensis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Sphenophryne monticola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(Boulenger, 1897)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monticola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nicolasi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(Richards and 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2019)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nicolasi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78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oviprotector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Bickford, and Johnston, 2012)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oviprotector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pseudasplenicola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pseudasplenicola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pseudunicolor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 and Richards, 2016)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pseudunicolor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purari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Nagombi, and Richards, 2025)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purari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roedeli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2015)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roedeli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rookmaakeri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(Mertens, 1927)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rookmaakeri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78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riyantoi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(Putri, Trilaksono, Kurniati, Engilis, and Hamidy, 2023)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riyantoi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sibilans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sibilans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streiffeleri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 and Richards, 2012)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streiffeleri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terrestris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(Zweifel, Cogger, and Richards, 2005)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terrestris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unicolor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unicolor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waira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2003)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waira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wapoga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(G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nther, Richards, and Iskandar, 2001)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wapoga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Hylella wolterstorffi 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(Werner, 1901)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wolterstorffi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67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Oreophryne zimmeri </w:t>
            </w:r>
          </w:p>
        </w:tc>
        <w:tc>
          <w:tcPr>
            <w:tcW w:type="dxa" w:w="2520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(Ahl, 1933)</w:t>
            </w:r>
          </w:p>
        </w:tc>
        <w:tc>
          <w:tcPr>
            <w:tcW w:type="dxa" w:w="1728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1728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incertae sedis</w:t>
            </w:r>
          </w:p>
        </w:tc>
        <w:tc>
          <w:tcPr>
            <w:tcW w:type="dxa" w:w="2160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zimmeri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</w:tbl>
    <w:p>
      <w:pPr>
        <w:pStyle w:val="Table Caption"/>
        <w:keepNext w:val="1"/>
        <w:spacing w:before="60" w:after="60"/>
        <w:ind w:left="60" w:right="60" w:firstLine="0"/>
        <w:jc w:val="left"/>
      </w:pPr>
      <w:r>
        <w:rPr>
          <w:rFonts w:ascii="Helvetica" w:hAnsi="Helvetica"/>
          <w:b w:val="0"/>
          <w:bCs w:val="0"/>
          <w:i w:val="0"/>
          <w:iCs w:val="0"/>
          <w:rtl w:val="0"/>
          <w:lang w:val="en-US"/>
        </w:rPr>
        <w:t xml:space="preserve">Table 5. Classification of </w:t>
      </w:r>
      <w:r>
        <w:rPr>
          <w:rFonts w:ascii="Helvetica" w:hAnsi="Helvetica"/>
          <w:b w:val="0"/>
          <w:bCs w:val="0"/>
          <w:rtl w:val="0"/>
          <w:lang w:val="en-US"/>
        </w:rPr>
        <w:t>Auparoparo</w:t>
      </w:r>
      <w:r>
        <w:rPr>
          <w:rFonts w:ascii="Helvetica" w:hAnsi="Helvetica"/>
          <w:b w:val="0"/>
          <w:bCs w:val="0"/>
          <w:i w:val="0"/>
          <w:iCs w:val="0"/>
          <w:rtl w:val="0"/>
          <w:lang w:val="en-US"/>
        </w:rPr>
        <w:t xml:space="preserve"> and </w:t>
      </w:r>
      <w:r>
        <w:rPr>
          <w:rFonts w:ascii="Helvetica" w:hAnsi="Helvetica"/>
          <w:b w:val="0"/>
          <w:bCs w:val="0"/>
          <w:rtl w:val="0"/>
          <w:lang w:val="en-US"/>
        </w:rPr>
        <w:t>Oreophryne</w:t>
      </w:r>
      <w:r>
        <w:rPr>
          <w:rFonts w:ascii="Helvetica" w:hAnsi="Helvetica"/>
          <w:b w:val="0"/>
          <w:bCs w:val="0"/>
          <w:i w:val="0"/>
          <w:iCs w:val="0"/>
          <w:rtl w:val="0"/>
          <w:lang w:val="en-US"/>
        </w:rPr>
        <w:t xml:space="preserve"> based on phylogenetic evidence from two mitochondrial gene fragments (CytB, ND4) and three nuclear loci (BDNF, SIA, NXC). Incertae sedis taxa require phylogenetic evidence for classification.</w:t>
      </w:r>
      <w:r/>
    </w:p>
    <w:sectPr>
      <w:headerReference w:type="default" r:id="rId4"/>
      <w:footerReference w:type="default" r:id="rId5"/>
      <w:pgSz w:w="16840" w:h="11960" w:orient="landscape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Caption">
    <w:name w:val="Table Caption"/>
    <w:next w:val="Tabl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