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39"/>
        <w:gridCol w:w="2923"/>
        <w:gridCol w:w="3254"/>
        <w:gridCol w:w="1901"/>
      </w:tblGrid>
      <w:tr>
        <w:trPr>
          <w:trHeight w:val="459" w:hRule="auto"/>
          <w:tblHeader/>
        </w:trPr>
        header1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666666"/>
              </w:rPr>
              <w:t xml:space="preserve">Table 1.</w:t>
            </w:r>
          </w:p>
        </w:tc>
      </w:tr>
      <w:tr>
        <w:trPr>
          <w:trHeight w:val="459" w:hRule="auto"/>
          <w:tblHeader/>
        </w:trPr>
        header2
        <w:tc>
          <w:tcPr>
            <w:gridSpan w:val="4"/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Locality information for samples sequenced in this study. See Hill, et al., 2023, Table 1 for additional metadata.</w:t>
            </w:r>
          </w:p>
        </w:tc>
      </w:tr>
      <w:tr>
        <w:trPr>
          <w:trHeight w:val="459" w:hRule="auto"/>
          <w:tblHeader/>
        </w:trPr>
        header3
        <w:tc>
          <w:tcPr>
            <w:vMerge w:val="restart"/>
            <w:tcBorders>
              <w:bottom w:val="single" w:sz="12" w:space="0" w:color="666666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ID</w:t>
            </w:r>
          </w:p>
        </w:tc>
        <w:tc>
          <w:tcPr>
            <w:vMerge w:val="restart"/>
            <w:tcBorders>
              <w:bottom w:val="single" w:sz="12" w:space="0" w:color="666666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Species</w:t>
            </w:r>
          </w:p>
        </w:tc>
        <w:tc>
          <w:tcPr>
            <w:vMerge w:val="restart"/>
            <w:tcBorders>
              <w:bottom w:val="single" w:sz="12" w:space="0" w:color="666666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Locality</w:t>
            </w:r>
          </w:p>
        </w:tc>
        <w:tc>
          <w:tcPr>
            <w:tcBorders>
              <w:bottom w:val="none" w:sz="0" w:space="0" w:color="666666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Latitude</w:t>
            </w:r>
          </w:p>
        </w:tc>
      </w:tr>
      <w:tr>
        <w:trPr>
          <w:trHeight w:val="458" w:hRule="auto"/>
          <w:tblHeader/>
        </w:trPr>
        header4
        <w:tc>
          <w:tcPr>
            <w:vMerge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</w:p>
        </w:tc>
        <w:tc>
          <w:tcPr>
            <w:vMerge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</w:p>
        </w:tc>
        <w:tc>
          <w:tcPr>
            <w:vMerge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Latitude, Longitude</w:t>
            </w:r>
          </w:p>
        </w:tc>
      </w:tr>
      <w:tr>
        <w:trPr>
          <w:trHeight w:val="646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BJE01248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  <w:t xml:space="preserve">Oreophryne frontifasciata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Kabupaten Halmahera Timur,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Halmahera Island, North Maluku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1.3667, 128.2330</w:t>
            </w:r>
          </w:p>
        </w:tc>
      </w:tr>
      <w:tr>
        <w:trPr>
          <w:trHeight w:val="64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BJE01143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  <w:t xml:space="preserve">Oreophryne senckenbergiana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Kabupaten Halmahera Utara,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Halmahera Island, North Maluku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1.7899, 127.8910</w:t>
            </w:r>
          </w:p>
        </w:tc>
      </w:tr>
      <w:tr>
        <w:trPr>
          <w:trHeight w:val="646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BJE01144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  <w:t xml:space="preserve">Oreophryne senckenbergiana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Kabupaten Halmahera Utara,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Halmahera Island, North Maluku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1.7899, 127.8910</w:t>
            </w:r>
          </w:p>
        </w:tc>
      </w:tr>
      <w:tr>
        <w:trPr>
          <w:trHeight w:val="646" w:hRule="auto"/>
        </w:trPr>
        body4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BJE01120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  <w:t xml:space="preserve">Oreophryne senckenbergiana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Kabupaten Halmahera Utara,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Halmahera Island, North Maluku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1.8228, 127.8300</w:t>
            </w:r>
          </w:p>
        </w:tc>
      </w:tr>
    </w:tbl>
    <w:sectPr>
      <w:pgMar w:header="708" w:bottom="1417" w:top="1417" w:right="1417" w:left="1417" w:footer="708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marguerite</cp:lastModifiedBy>
  <cp:revision>9</cp:revision>
  <dcterms:created xsi:type="dcterms:W3CDTF">2017-02-28T11:18:00Z</dcterms:created>
  <dcterms:modified xsi:type="dcterms:W3CDTF">2025-05-23T08:18:56Z</dcterms:modified>
  <cp:category/>
</cp:coreProperties>
</file>