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39"/>
        <w:gridCol w:w="2923"/>
        <w:gridCol w:w="3254"/>
        <w:gridCol w:w="1901"/>
      </w:tblGrid>
      <w:tr>
        <w:trPr>
          <w:trHeight w:val="459" w:hRule="auto"/>
          <w:tblHeader/>
        </w:trPr>
        header1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666666"/>
              </w:rPr>
              <w:t xml:space="preserve">Table 1.</w:t>
            </w:r>
          </w:p>
        </w:tc>
      </w:tr>
      <w:tr>
        <w:trPr>
          <w:trHeight w:val="459" w:hRule="auto"/>
          <w:tblHeader/>
        </w:trPr>
        header2
        <w:tc>
          <w:tcPr>
            <w:gridSpan w:val="4"/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Locality information for samples sequenced in this study. See Hill, et al., 2023, Table 1 for additional metadata.</w:t>
            </w:r>
          </w:p>
        </w:tc>
      </w:tr>
      <w:tr>
        <w:trPr>
          <w:trHeight w:val="459" w:hRule="auto"/>
          <w:tblHeader/>
        </w:trPr>
        header3
        <w:tc>
          <w:tcPr>
            <w:vMerge w:val="restart"/>
            <w:tcBorders>
              <w:bottom w:val="single" w:sz="12" w:space="0" w:color="666666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ID</w:t>
            </w:r>
          </w:p>
        </w:tc>
        <w:tc>
          <w:tcPr>
            <w:vMerge w:val="restart"/>
            <w:tcBorders>
              <w:bottom w:val="single" w:sz="12" w:space="0" w:color="666666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Species</w:t>
            </w:r>
          </w:p>
        </w:tc>
        <w:tc>
          <w:tcPr>
            <w:vMerge w:val="restart"/>
            <w:tcBorders>
              <w:bottom w:val="single" w:sz="12" w:space="0" w:color="666666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Locality</w:t>
            </w:r>
          </w:p>
        </w:tc>
        <w:tc>
          <w:tcPr>
            <w:tcBorders>
              <w:bottom w:val="none" w:sz="0" w:space="0" w:color="666666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Latitude</w:t>
            </w:r>
          </w:p>
        </w:tc>
      </w:tr>
      <w:tr>
        <w:trPr>
          <w:trHeight w:val="458" w:hRule="auto"/>
          <w:tblHeader/>
        </w:trPr>
        header4
        <w:tc>
          <w:tcPr>
            <w:vMerge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</w:p>
        </w:tc>
        <w:tc>
          <w:tcPr>
            <w:vMerge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</w:p>
        </w:tc>
        <w:tc>
          <w:tcPr>
            <w:vMerge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Latitude, Longitude</w:t>
            </w:r>
          </w:p>
        </w:tc>
      </w:tr>
      <w:tr>
        <w:trPr>
          <w:trHeight w:val="646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BJE01143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  <w:t xml:space="preserve">Oreophryne senckenbergiana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Kabupaten Halmahera Utara,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Halmahera Island, North Maluku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1.7899, 127.8910</w:t>
            </w:r>
          </w:p>
        </w:tc>
      </w:tr>
      <w:tr>
        <w:trPr>
          <w:trHeight w:val="64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BJE01144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  <w:t xml:space="preserve">Oreophryne senckenbergiana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Kabupaten Halmahera Utara,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Halmahera Island, North Maluku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1.7899, 127.8910</w:t>
            </w:r>
          </w:p>
        </w:tc>
      </w:tr>
      <w:tr>
        <w:trPr>
          <w:trHeight w:val="646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BJE01120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z w:val="22"/>
                <w:szCs w:val="22"/>
                <w:color w:val="666666"/>
              </w:rPr>
              <w:t xml:space="preserve">Oreophryne senckenbergiana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Kabupaten Halmahera Utara,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Halmahera Island, North Maluku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666666"/>
              </w:rPr>
              <w:t xml:space="preserve">1.8228, 127.8300</w:t>
            </w:r>
          </w:p>
        </w:tc>
      </w:tr>
    </w:tbl>
    <w:sectPr>
      <w:pgMar w:header="708" w:bottom="1417" w:top="1417" w:right="1417" w:left="1417" w:footer="708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marguerite</cp:lastModifiedBy>
  <cp:revision>9</cp:revision>
  <dcterms:created xsi:type="dcterms:W3CDTF">2017-02-28T11:18:00Z</dcterms:created>
  <dcterms:modified xsi:type="dcterms:W3CDTF">2025-06-04T19:46:01Z</dcterms:modified>
  <cp:category/>
</cp:coreProperties>
</file>