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3067"/>
        <w:gridCol w:w="2520"/>
        <w:gridCol w:w="1728"/>
        <w:gridCol w:w="1728"/>
        <w:gridCol w:w="2160"/>
        <w:gridCol w:w="2880"/>
      </w:tblGrid>
      <w:tr>
        <w:trPr>
          <w:trHeight w:val="457" w:hRule="auto"/>
          <w:tblHeader/>
        </w:trPr>
        header 1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Table 5.</w:t>
            </w:r>
          </w:p>
        </w:tc>
      </w:tr>
      <w:tr>
        <w:trPr>
          <w:trHeight w:val="457" w:hRule="auto"/>
          <w:tblHeader/>
        </w:trPr>
        header 2
        <w:tc>
          <w:tcPr>
            <w:gridSpan w:val="6"/>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Classification of Auparoparo and Oreophryne based on phylogenetic evidence from two mitochondrial gene fragments (CytB, ND4) and three nuclear loci (BDNF, SIA, NXC). Incertae sedis taxa require phylogenetic evidence for classification.</w:t>
            </w:r>
          </w:p>
        </w:tc>
      </w:tr>
      <w:tr>
        <w:trPr>
          <w:trHeight w:val="457" w:hRule="auto"/>
          <w:tblHeader/>
        </w:trPr>
        header 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Original designation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Citation</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Previous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Current generic placement</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Species</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Notes</w:t>
            </w:r>
          </w:p>
        </w:tc>
      </w:tr>
      <w:tr>
        <w:trPr>
          <w:trHeight w:val="4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anamiatoi </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&amp; Allison, 2009)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Phrynixalus anulatus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(Stejneger, 1908)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aurora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biroi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(Méhely,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Hylella brachypus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(Werner,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cameroni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Cophixalus geislerorum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graminis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&amp;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graminis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inornata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lemur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loriae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(Brown &amp; Alcala, 1967)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notata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parkeri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(Loveridge, 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parkopanorum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philosylleptoris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1" w:hRule="auto"/>
        </w:trPr>
        body17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senkenbergiana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senkenbergiana</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Retained in Oreophryne</w:t>
            </w:r>
          </w:p>
        </w:tc>
      </w:tr>
      <w:tr>
        <w:trPr>
          <w:trHeight w:val="460" w:hRule="auto"/>
        </w:trPr>
        body18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brunnea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brunnea</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equus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ezra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&amp; Allison,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gagneorum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gagneorum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insulana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matawan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meliades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penelopeia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phoebe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picticrus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body28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variabilis </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variabilis</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Transferred to Auparoparo</w:t>
            </w:r>
          </w:p>
        </w:tc>
      </w:tr>
      <w:tr>
        <w:trPr>
          <w:trHeight w:val="460" w:hRule="auto"/>
        </w:trPr>
        body29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albitympanum </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Tjaturadi, 2018)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albitympanum</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albomaculata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albopunctata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(Van Kampen, 1909)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albopunctata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alticola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alticola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ampelos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ampelos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anser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anser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anthonyi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anthonyi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atrigularis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atrigularis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banshee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banshee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brevicrus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brevicrus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brevirostris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brevirostris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celebensis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(Müller, 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celebensis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choerophrynoides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choerophrynoides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chlorops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Iskandar, and Richards,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chlorops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clamata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clamata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Cophixalus crucifer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(Van Kampen, 1913)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crucifer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curator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Dahl,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curator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flava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flava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flavomaculata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flavomaculata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body49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Callula frontifasciata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(Horst, 1883)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frontifasciata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furu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Tjaturadi, and Iskandar, 2009)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furu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geminus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geminus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habbemensis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habbemensis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hypsiops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Menzies, and Price,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hypsiops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body54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idenburgensis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1956)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idenburgensis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jeffersoniana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(Dunn, 1928)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jeffersoniana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kampeni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(Parker, 1934)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kampeni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kapisa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kapisa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mertoni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(Roux, 1910)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mertoni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body59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minuta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(Richards and Iskandar, 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minuta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Microhyla achatina var. moluccensis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(Peters and Doria, 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moluccensis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Sphenophryne monticola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nicolasi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(Richards and Günther,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nicolasi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oviprotector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Bickford, and Johnston,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oviprotector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pseudasplenicola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pseudasplenicola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pseudunicolor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pseudunicolor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body66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purari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Nagombi, and Richards,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purari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roedeli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roedeli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rookmaakeri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(Mertens, 1927)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rookmaakeri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body69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riyantoi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(Putri, Trilaksono, Kurniati, Engilis, and Hamidy, 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riyantoi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sibilans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sibilans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streiffeleri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and Richards, 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streiffeleri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body72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terrestris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Cogger, and Richards, 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terrestris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unicolor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unicolor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waira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2003)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waira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1" w:hRule="auto"/>
        </w:trPr>
        body75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wapoga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(Günther, Richards, and Iskandar, 2001)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wapoga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Hylella wolterstorffi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(Werner, 1901)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wolterstorffi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r>
        <w:trPr>
          <w:trHeight w:val="460" w:hRule="auto"/>
        </w:trPr>
        body77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 zimmeri </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(Ahl, 1933)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incertae sedis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zimmeri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2025-06-04T19:46:03Z</dcterms:modified>
  <cp:category/>
</cp:coreProperties>
</file>