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Lines w:val="1"/>
        <w:bidi w:val="0"/>
        <w:spacing w:before="360" w:after="80"/>
        <w:ind w:left="0" w:right="0" w:firstLine="0"/>
        <w:jc w:val="center"/>
        <w:rPr>
          <w:rStyle w:val="Section 1"/>
          <w:rFonts w:ascii="Helvetica" w:cs="Helvetica" w:hAnsi="Helvetica" w:eastAsia="Helvetica"/>
          <w:b w:val="0"/>
          <w:bCs w:val="0"/>
          <w:smallCaps w:val="1"/>
          <w:outline w:val="0"/>
          <w:color w:val="0f4761"/>
          <w:sz w:val="40"/>
          <w:szCs w:val="40"/>
          <w:u w:color="0f4761"/>
          <w:rtl w:val="0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</w:pPr>
      <w:bookmarkStart w:name="materialsandmethods" w:id="0"/>
      <w:r>
        <w:rPr>
          <w:rStyle w:val="Section 1"/>
          <w:rFonts w:ascii="Helvetica" w:hAnsi="Helvetica"/>
          <w:b w:val="0"/>
          <w:bCs w:val="0"/>
          <w:smallCaps w:val="1"/>
          <w:outline w:val="0"/>
          <w:color w:val="0f4761"/>
          <w:sz w:val="40"/>
          <w:szCs w:val="40"/>
          <w:u w:color="0f4761"/>
          <w:rtl w:val="0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F</w:t>
      </w:r>
      <w:bookmarkEnd w:id="0"/>
      <w:r>
        <w:rPr>
          <w:rStyle w:val="Section 1"/>
          <w:rFonts w:ascii="Helvetica" w:hAnsi="Helvetica"/>
          <w:b w:val="0"/>
          <w:bCs w:val="0"/>
          <w:smallCaps w:val="1"/>
          <w:outline w:val="0"/>
          <w:color w:val="0f4761"/>
          <w:sz w:val="40"/>
          <w:szCs w:val="40"/>
          <w:u w:color="0f4761"/>
          <w:rtl w:val="0"/>
          <w14:textOutline w14:w="12700" w14:cap="flat">
            <w14:noFill/>
            <w14:miter w14:lim="400000"/>
          </w14:textOutline>
          <w14:textFill>
            <w14:solidFill>
              <w14:srgbClr w14:val="0F4761"/>
            </w14:solidFill>
          </w14:textFill>
        </w:rPr>
        <w:t>igure Captions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80" w:after="180" w:line="480" w:lineRule="auto"/>
        <w:ind w:left="0" w:right="0" w:firstLine="0"/>
        <w:jc w:val="left"/>
        <w:outlineLvl w:val="9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spacing w:before="0" w:line="480" w:lineRule="auto"/>
        <w:ind w:left="0" w:right="0" w:firstLine="0"/>
        <w:jc w:val="left"/>
        <w:rPr>
          <w:outline w:val="0"/>
          <w:color w:val="596570"/>
          <w:rtl w:val="0"/>
          <w14:textFill>
            <w14:solidFill>
              <w14:srgbClr w14:val="5A6570"/>
            </w14:solidFill>
          </w14:textFill>
        </w:rPr>
      </w:pPr>
      <w:r>
        <w:rPr>
          <w:smallCaps w:val="1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Fig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—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Portraits in life of arboreal frogs in Asterophryinae. </w:t>
      </w:r>
      <w:r>
        <w:rPr>
          <w:i w:val="1"/>
          <w:iCs w:val="1"/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Oreophryne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 species on the left, </w:t>
      </w:r>
      <w:r>
        <w:rPr>
          <w:i w:val="1"/>
          <w:iCs w:val="1"/>
          <w:outline w:val="0"/>
          <w:color w:val="596570"/>
          <w:rtl w:val="0"/>
          <w:lang w:val="nl-NL"/>
          <w14:textFill>
            <w14:solidFill>
              <w14:srgbClr w14:val="5A6570"/>
            </w14:solidFill>
          </w14:textFill>
        </w:rPr>
        <w:t>Auparoparo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 on the right, species names as labeled. Comparison of finger and toe pad sizes in </w:t>
      </w:r>
      <w:r>
        <w:rPr>
          <w:i w:val="1"/>
          <w:iCs w:val="1"/>
          <w:outline w:val="0"/>
          <w:color w:val="596570"/>
          <w:rtl w:val="0"/>
          <w:lang w:val="it-IT"/>
          <w14:textFill>
            <w14:solidFill>
              <w14:srgbClr w14:val="5A6570"/>
            </w14:solidFill>
          </w14:textFill>
        </w:rPr>
        <w:t>Oreophryne inornata</w:t>
      </w:r>
      <w:r>
        <w:rPr>
          <w:outline w:val="0"/>
          <w:color w:val="596570"/>
          <w:rtl w:val="0"/>
          <w:lang w:val="pt-PT"/>
          <w14:textFill>
            <w14:solidFill>
              <w14:srgbClr w14:val="5A6570"/>
            </w14:solidFill>
          </w14:textFill>
        </w:rPr>
        <w:t xml:space="preserve"> BPBM16217 vs.</w:t>
      </w:r>
      <w:r>
        <w:rPr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 </w:t>
      </w:r>
      <w:r>
        <w:rPr>
          <w:i w:val="1"/>
          <w:iCs w:val="1"/>
          <w:outline w:val="0"/>
          <w:color w:val="596570"/>
          <w:rtl w:val="0"/>
          <w:lang w:val="pt-PT"/>
          <w14:textFill>
            <w14:solidFill>
              <w14:srgbClr w14:val="5A6570"/>
            </w14:solidFill>
          </w14:textFill>
        </w:rPr>
        <w:t>Auparoparo equus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 BPBM15775, bottom row.</w:t>
      </w:r>
    </w:p>
    <w:p>
      <w:pPr>
        <w:pStyle w:val="Default"/>
        <w:bidi w:val="0"/>
        <w:spacing w:before="0" w:line="480" w:lineRule="auto"/>
        <w:ind w:left="0" w:right="0" w:firstLine="0"/>
        <w:jc w:val="left"/>
        <w:rPr>
          <w:outline w:val="0"/>
          <w:color w:val="596570"/>
          <w:rtl w:val="0"/>
          <w14:textFill>
            <w14:solidFill>
              <w14:srgbClr w14:val="5A6570"/>
            </w14:solidFill>
          </w14:textFill>
        </w:rPr>
      </w:pPr>
    </w:p>
    <w:p>
      <w:pPr>
        <w:pStyle w:val="Default"/>
        <w:bidi w:val="0"/>
        <w:spacing w:before="0" w:line="480" w:lineRule="auto"/>
        <w:ind w:left="0" w:right="0" w:firstLine="0"/>
        <w:jc w:val="left"/>
        <w:rPr>
          <w:outline w:val="0"/>
          <w:color w:val="596570"/>
          <w:rtl w:val="0"/>
          <w14:textFill>
            <w14:solidFill>
              <w14:srgbClr w14:val="5A6570"/>
            </w14:solidFill>
          </w14:textFill>
        </w:rPr>
      </w:pPr>
      <w:r>
        <w:rPr>
          <w:smallCaps w:val="1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Fig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—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Molecular phyogenetic hypothesis of Asterophrinae showing polyphyly of </w:t>
      </w:r>
      <w:r>
        <w:rPr>
          <w:i w:val="1"/>
          <w:iCs w:val="1"/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Oreophryne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 sensu lato, into two reciprocally monophyletic clades, node A is </w:t>
      </w:r>
      <w:r>
        <w:rPr>
          <w:i w:val="1"/>
          <w:iCs w:val="1"/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Oreophryne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 (blue clade) and node B is </w:t>
      </w:r>
      <w:r>
        <w:rPr>
          <w:i w:val="1"/>
          <w:iCs w:val="1"/>
          <w:outline w:val="0"/>
          <w:color w:val="596570"/>
          <w:rtl w:val="0"/>
          <w:lang w:val="nl-NL"/>
          <w14:textFill>
            <w14:solidFill>
              <w14:srgbClr w14:val="5A6570"/>
            </w14:solidFill>
          </w14:textFill>
        </w:rPr>
        <w:t>Auparoparo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 (red clade) based on the position of the type species </w:t>
      </w:r>
      <w:r>
        <w:rPr>
          <w:i w:val="1"/>
          <w:iCs w:val="1"/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Oreophryne senkenbergiana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>. Molecular evidence includes two mitochondrial and three nuclear markers analyzed using Maximum Likelihood following Rivera et al. (</w:t>
      </w:r>
      <w:r>
        <w:rPr>
          <w:outline w:val="0"/>
          <w:color w:val="0c6dfd"/>
          <w:rtl w:val="0"/>
          <w14:textFill>
            <w14:solidFill>
              <w14:srgbClr w14:val="0D6EFD"/>
            </w14:solidFill>
          </w14:textFill>
        </w:rPr>
        <w:t>2017</w:t>
      </w:r>
      <w:r>
        <w:rPr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); Hill et al. (</w:t>
      </w:r>
      <w:r>
        <w:rPr>
          <w:outline w:val="0"/>
          <w:color w:val="0c6dfd"/>
          <w:rtl w:val="0"/>
          <w14:textFill>
            <w14:solidFill>
              <w14:srgbClr w14:val="0D6EFD"/>
            </w14:solidFill>
          </w14:textFill>
        </w:rPr>
        <w:t>2022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>). Nodal support: black dots indicate ML boostrap support &gt;= 95%, grey dots &gt;= 75%, numeric values given for nodes below 75% support. Outgroup taxa excluded.</w:t>
      </w:r>
    </w:p>
    <w:p>
      <w:pPr>
        <w:pStyle w:val="Default"/>
        <w:bidi w:val="0"/>
        <w:spacing w:before="0" w:line="480" w:lineRule="auto"/>
        <w:ind w:left="0" w:right="0" w:firstLine="0"/>
        <w:jc w:val="left"/>
        <w:rPr>
          <w:outline w:val="0"/>
          <w:color w:val="596570"/>
          <w:rtl w:val="0"/>
          <w14:textFill>
            <w14:solidFill>
              <w14:srgbClr w14:val="5A6570"/>
            </w14:solidFill>
          </w14:textFill>
        </w:rPr>
      </w:pPr>
    </w:p>
    <w:p>
      <w:pPr>
        <w:pStyle w:val="Default"/>
        <w:bidi w:val="0"/>
        <w:spacing w:before="0" w:line="480" w:lineRule="auto"/>
        <w:ind w:left="0" w:right="0" w:firstLine="0"/>
        <w:jc w:val="left"/>
        <w:rPr>
          <w:rtl w:val="0"/>
        </w:rPr>
      </w:pPr>
      <w:r>
        <w:rPr>
          <w:smallCaps w:val="1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Fig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smallCap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—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The known distribution of </w:t>
      </w:r>
      <w:r>
        <w:rPr>
          <w:i w:val="1"/>
          <w:iCs w:val="1"/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Oreophryne sensu lato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 is plotted in grey polygons (data source </w:t>
      </w:r>
      <w:r>
        <w:rPr>
          <w:outline w:val="0"/>
          <w:color w:val="0c6dfd"/>
          <w:rtl w:val="0"/>
          <w14:textFill>
            <w14:solidFill>
              <w14:srgbClr w14:val="0D6EFD"/>
            </w14:solidFill>
          </w14:textFill>
        </w:rPr>
        <w:t>IUCN 2025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), with points indicating </w:t>
      </w:r>
      <w:r>
        <w:rPr>
          <w:i w:val="1"/>
          <w:iCs w:val="1"/>
          <w:outline w:val="0"/>
          <w:color w:val="596570"/>
          <w:rtl w:val="0"/>
          <w:lang w:val="nl-NL"/>
          <w14:textFill>
            <w14:solidFill>
              <w14:srgbClr w14:val="5A6570"/>
            </w14:solidFill>
          </w14:textFill>
        </w:rPr>
        <w:t>Auparoparo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 (red) and </w:t>
      </w:r>
      <w:r>
        <w:rPr>
          <w:i w:val="1"/>
          <w:iCs w:val="1"/>
          <w:outline w:val="0"/>
          <w:color w:val="596570"/>
          <w:rtl w:val="0"/>
          <w14:textFill>
            <w14:solidFill>
              <w14:srgbClr w14:val="5A6570"/>
            </w14:solidFill>
          </w14:textFill>
        </w:rPr>
        <w:t>Oreophryne</w:t>
      </w:r>
      <w:r>
        <w:rPr>
          <w:outline w:val="0"/>
          <w:color w:val="596570"/>
          <w:rtl w:val="0"/>
          <w:lang w:val="en-US"/>
          <w14:textFill>
            <w14:solidFill>
              <w14:srgbClr w14:val="5A6570"/>
            </w14:solidFill>
          </w14:textFill>
        </w:rPr>
        <w:t xml:space="preserve"> (blue) as identified by our phylogeny </w:t>
      </w:r>
      <w:r>
        <w:rPr>
          <w:outline w:val="0"/>
          <w:color w:val="0c6dfd"/>
          <w:u w:val="single" w:color="0c6dfd"/>
          <w:rtl w:val="0"/>
          <w:lang w:val="de-DE"/>
          <w14:textFill>
            <w14:solidFill>
              <w14:srgbClr w14:val="0D6EFD"/>
            </w14:solidFill>
          </w14:textFill>
        </w:rPr>
        <w:t>Figure</w:t>
      </w:r>
      <w:r>
        <w:rPr>
          <w:outline w:val="0"/>
          <w:color w:val="0c6dfd"/>
          <w:u w:val="single" w:color="0c6dfd"/>
          <w:rtl w:val="0"/>
          <w14:textFill>
            <w14:solidFill>
              <w14:srgbClr w14:val="0D6EFD"/>
            </w14:solidFill>
          </w14:textFill>
        </w:rPr>
        <w:t> </w:t>
      </w:r>
      <w:r>
        <w:rPr>
          <w:outline w:val="0"/>
          <w:color w:val="0c6dfd"/>
          <w:u w:val="single" w:color="0c6dfd"/>
          <w:rtl w:val="0"/>
          <w14:textFill>
            <w14:solidFill>
              <w14:srgbClr w14:val="0D6EFD"/>
            </w14:solidFill>
          </w14:textFill>
        </w:rPr>
        <w:t>2</w:t>
      </w:r>
      <w:r>
        <w:rPr>
          <w:outline w:val="0"/>
          <w:color w:val="596570"/>
          <w:u w:color="0c6dfd"/>
          <w:rtl w:val="0"/>
          <w:lang w:val="en-US"/>
          <w14:textFill>
            <w14:solidFill>
              <w14:srgbClr w14:val="5A6570"/>
            </w14:solidFill>
          </w14:textFill>
        </w:rPr>
        <w:t>. Note that there is overlap among points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Section 1">
    <w:name w:val="Section 1"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