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Herpetologica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Dr. Sarah Woodley,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Please consider our enclosed manuscript “When Molecular and Morphological Evidence Disagree and Morphology is Positively Misleading: the Modern Taxonomy of Oreophryne Subfamily Asterophryinae (Anura: Microhylidae)” for publication in </w:t>
      </w:r>
      <w:r w:rsidDel="00000000" w:rsidR="00000000" w:rsidRPr="00000000">
        <w:rPr>
          <w:i w:val="1"/>
          <w:rtl w:val="0"/>
        </w:rPr>
        <w:t xml:space="preserve">Herpetologica</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22222"/>
        </w:rPr>
      </w:pPr>
      <w:r w:rsidDel="00000000" w:rsidR="00000000" w:rsidRPr="00000000">
        <w:rPr>
          <w:color w:val="222222"/>
          <w:rtl w:val="0"/>
        </w:rPr>
        <w:t xml:space="preserve">We believe that our paper will be of interest to a broad audience as it resolved an important taxonomic issue that was not recognized despite a century of study of </w:t>
      </w:r>
      <w:r w:rsidDel="00000000" w:rsidR="00000000" w:rsidRPr="00000000">
        <w:rPr>
          <w:i w:val="1"/>
          <w:color w:val="222222"/>
          <w:rtl w:val="0"/>
        </w:rPr>
        <w:t xml:space="preserve">Oreophryne</w:t>
      </w:r>
      <w:r w:rsidDel="00000000" w:rsidR="00000000" w:rsidRPr="00000000">
        <w:rPr>
          <w:color w:val="222222"/>
          <w:rtl w:val="0"/>
        </w:rPr>
        <w:t xml:space="preserve">, the largest genus of Asterophryinae frogs, and contains a larger message that about our present practices which is important to recognize or we risk misrepresenting the evolutionary context of the species we study. </w:t>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believe our paper will be of interest to readers of </w:t>
      </w:r>
      <w:r w:rsidDel="00000000" w:rsidR="00000000" w:rsidRPr="00000000">
        <w:rPr>
          <w:i w:val="1"/>
          <w:rtl w:val="0"/>
        </w:rPr>
        <w:t xml:space="preserve">Herpetologica</w:t>
      </w:r>
      <w:r w:rsidDel="00000000" w:rsidR="00000000" w:rsidRPr="00000000">
        <w:rPr>
          <w:rtl w:val="0"/>
        </w:rPr>
        <w:t xml:space="preserve"> for several reasons:  </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We resolve a major taxonomic issue – polyphyly in the frog genus </w:t>
      </w:r>
      <w:r w:rsidDel="00000000" w:rsidR="00000000" w:rsidRPr="00000000">
        <w:rPr>
          <w:i w:val="1"/>
          <w:rtl w:val="0"/>
        </w:rPr>
        <w:t xml:space="preserve">Oreophryne</w:t>
      </w:r>
      <w:r w:rsidDel="00000000" w:rsidR="00000000" w:rsidRPr="00000000">
        <w:rPr>
          <w:rtl w:val="0"/>
        </w:rPr>
        <w:t xml:space="preserve">; we identify two reciprocally monophyletic groups, retaining the name </w:t>
      </w:r>
      <w:r w:rsidDel="00000000" w:rsidR="00000000" w:rsidRPr="00000000">
        <w:rPr>
          <w:i w:val="1"/>
          <w:rtl w:val="0"/>
        </w:rPr>
        <w:t xml:space="preserve">Oreophryne</w:t>
      </w:r>
      <w:r w:rsidDel="00000000" w:rsidR="00000000" w:rsidRPr="00000000">
        <w:rPr>
          <w:rtl w:val="0"/>
        </w:rPr>
        <w:t xml:space="preserve"> in the clade containing the type species, and name the new genus </w:t>
      </w:r>
      <w:r w:rsidDel="00000000" w:rsidR="00000000" w:rsidRPr="00000000">
        <w:rPr>
          <w:i w:val="1"/>
          <w:rtl w:val="0"/>
        </w:rPr>
        <w:t xml:space="preserve">Auparoparo</w:t>
      </w:r>
      <w:r w:rsidDel="00000000" w:rsidR="00000000" w:rsidRPr="00000000">
        <w:rPr>
          <w:rtl w:val="0"/>
        </w:rPr>
        <w:t xml:space="preserve">, a name which importantly</w:t>
      </w:r>
      <w:r w:rsidDel="00000000" w:rsidR="00000000" w:rsidRPr="00000000">
        <w:rPr>
          <w:rtl w:val="0"/>
        </w:rPr>
        <w:t xml:space="preserve"> comes from the regional indigenous language, Motu.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We conducted rigorous analyses using both molecular phylogenetics as well as a morphological analysis, to demonstrate that the clades are undiagnosable using only morphology.  </w:t>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case of </w:t>
      </w:r>
      <w:r w:rsidDel="00000000" w:rsidR="00000000" w:rsidRPr="00000000">
        <w:rPr>
          <w:i w:val="1"/>
          <w:rtl w:val="0"/>
        </w:rPr>
        <w:t xml:space="preserve">Auparoparo</w:t>
      </w:r>
      <w:r w:rsidDel="00000000" w:rsidR="00000000" w:rsidRPr="00000000">
        <w:rPr>
          <w:rtl w:val="0"/>
        </w:rPr>
        <w:t xml:space="preserve"> vs. </w:t>
      </w:r>
      <w:r w:rsidDel="00000000" w:rsidR="00000000" w:rsidRPr="00000000">
        <w:rPr>
          <w:i w:val="1"/>
          <w:rtl w:val="0"/>
        </w:rPr>
        <w:t xml:space="preserve">Oreophryne</w:t>
      </w:r>
      <w:r w:rsidDel="00000000" w:rsidR="00000000" w:rsidRPr="00000000">
        <w:rPr>
          <w:rtl w:val="0"/>
        </w:rPr>
        <w:t xml:space="preserve"> presents a clear case study where rank-based taxonomy to initially diagnose species to clade can be misleading, and that phylogenetic definitions are required to have a taxonomy that is consistent with evolution. Even if followed by a molecular phylogenetic analysis, the error cannot be fixed if the ingroup is not actually monophyletic. Explicit tests for monophyly are required to avoid critical errors in classification.  </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We provide a revised description for </w:t>
      </w:r>
      <w:r w:rsidDel="00000000" w:rsidR="00000000" w:rsidRPr="00000000">
        <w:rPr>
          <w:i w:val="1"/>
          <w:rtl w:val="0"/>
        </w:rPr>
        <w:t xml:space="preserve">Oreophryne</w:t>
      </w:r>
      <w:r w:rsidDel="00000000" w:rsidR="00000000" w:rsidRPr="00000000">
        <w:rPr>
          <w:rtl w:val="0"/>
        </w:rPr>
        <w:t xml:space="preserve"> and new description of </w:t>
      </w:r>
      <w:r w:rsidDel="00000000" w:rsidR="00000000" w:rsidRPr="00000000">
        <w:rPr>
          <w:i w:val="1"/>
          <w:rtl w:val="0"/>
        </w:rPr>
        <w:t xml:space="preserve">Auparoparo</w:t>
      </w:r>
      <w:r w:rsidDel="00000000" w:rsidR="00000000" w:rsidRPr="00000000">
        <w:rPr>
          <w:rtl w:val="0"/>
        </w:rPr>
        <w:t xml:space="preserve">, with the aim of being consistent with both the ICZN conventions for species nomenclature, and phylogenetic taxonomy for a higher-order classification consistent with evolution. We include lists of known species in each group and recommend the remaining taxa and additional samples be sequenced and diagnosed according to our sound phylogenetic framework.</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We provide a comprehensive review of the 130-year history of genus </w:t>
      </w:r>
      <w:r w:rsidDel="00000000" w:rsidR="00000000" w:rsidRPr="00000000">
        <w:rPr>
          <w:i w:val="1"/>
          <w:rtl w:val="0"/>
        </w:rPr>
        <w:t xml:space="preserve">Oreophryne</w:t>
      </w:r>
      <w:r w:rsidDel="00000000" w:rsidR="00000000" w:rsidRPr="00000000">
        <w:rPr>
          <w:rtl w:val="0"/>
        </w:rPr>
        <w:t xml:space="preserve"> including publication history, diagnostic traits, geographic range, species content, nomenclature, and previous molecular results. This synthesis offers a foundational reference for future research in </w:t>
      </w:r>
      <w:r w:rsidDel="00000000" w:rsidR="00000000" w:rsidRPr="00000000">
        <w:rPr>
          <w:i w:val="1"/>
          <w:rtl w:val="0"/>
        </w:rPr>
        <w:t xml:space="preserve">Oreophryne</w:t>
      </w:r>
      <w:r w:rsidDel="00000000" w:rsidR="00000000" w:rsidRPr="00000000">
        <w:rPr>
          <w:rtl w:val="0"/>
        </w:rPr>
        <w:t xml:space="preserve">, </w:t>
      </w:r>
      <w:r w:rsidDel="00000000" w:rsidR="00000000" w:rsidRPr="00000000">
        <w:rPr>
          <w:i w:val="1"/>
          <w:rtl w:val="0"/>
        </w:rPr>
        <w:t xml:space="preserve">Auparoparo</w:t>
      </w:r>
      <w:r w:rsidDel="00000000" w:rsidR="00000000" w:rsidRPr="00000000">
        <w:rPr>
          <w:rtl w:val="0"/>
        </w:rPr>
        <w:t xml:space="preserve">, and the broader Asterophryinae.</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possible, we request Dr. Chris Raxworthy as an Associate Editor for this manuscript, given his expertise in phylogenetics, taxonomy, and herpetology.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respectfully request as suggested reviewers:</w:t>
      </w:r>
    </w:p>
    <w:p w:rsidR="00000000" w:rsidDel="00000000" w:rsidP="00000000" w:rsidRDefault="00000000" w:rsidRPr="00000000" w14:paraId="00000015">
      <w:pPr>
        <w:spacing w:line="276" w:lineRule="auto"/>
        <w:rPr/>
      </w:pPr>
      <w:r w:rsidDel="00000000" w:rsidR="00000000" w:rsidRPr="00000000">
        <w:rPr>
          <w:rtl w:val="0"/>
        </w:rPr>
        <w:t xml:space="preserve">Rafe Brown - </w:t>
      </w:r>
      <w:hyperlink r:id="rId6">
        <w:r w:rsidDel="00000000" w:rsidR="00000000" w:rsidRPr="00000000">
          <w:rPr>
            <w:u w:val="single"/>
            <w:rtl w:val="0"/>
          </w:rPr>
          <w:t xml:space="preserve">rafe@ku.edu</w:t>
        </w:r>
      </w:hyperlink>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Rainer Guenther - </w:t>
      </w:r>
      <w:hyperlink r:id="rId7">
        <w:r w:rsidDel="00000000" w:rsidR="00000000" w:rsidRPr="00000000">
          <w:rPr>
            <w:color w:val="1155cc"/>
            <w:u w:val="single"/>
            <w:rtl w:val="0"/>
          </w:rPr>
          <w:t xml:space="preserve">rainer.guenther@mfn.berlin</w:t>
        </w:r>
      </w:hyperlink>
      <w:r w:rsidDel="00000000" w:rsidR="00000000" w:rsidRPr="00000000">
        <w:rPr>
          <w:rtl w:val="0"/>
        </w:rPr>
        <w:t xml:space="preserve"> </w:t>
      </w:r>
    </w:p>
    <w:p w:rsidR="00000000" w:rsidDel="00000000" w:rsidP="00000000" w:rsidRDefault="00000000" w:rsidRPr="00000000" w14:paraId="00000017">
      <w:pPr>
        <w:spacing w:line="276" w:lineRule="auto"/>
        <w:rPr/>
      </w:pPr>
      <w:r w:rsidDel="00000000" w:rsidR="00000000" w:rsidRPr="00000000">
        <w:rPr>
          <w:rtl w:val="0"/>
        </w:rPr>
        <w:t xml:space="preserve">Steve Richards - </w:t>
      </w:r>
      <w:hyperlink r:id="rId8">
        <w:r w:rsidDel="00000000" w:rsidR="00000000" w:rsidRPr="00000000">
          <w:rPr>
            <w:color w:val="1155cc"/>
            <w:u w:val="single"/>
            <w:rtl w:val="0"/>
          </w:rPr>
          <w:t xml:space="preserve">steve.richards@samuseum.sa.gov.au</w:t>
        </w:r>
      </w:hyperlink>
      <w:r w:rsidDel="00000000" w:rsidR="00000000" w:rsidRPr="00000000">
        <w:rPr>
          <w:rtl w:val="0"/>
        </w:rPr>
        <w:t xml:space="preserve"> </w:t>
      </w:r>
    </w:p>
    <w:p w:rsidR="00000000" w:rsidDel="00000000" w:rsidP="00000000" w:rsidRDefault="00000000" w:rsidRPr="00000000" w14:paraId="00000018">
      <w:pPr>
        <w:spacing w:line="276" w:lineRule="auto"/>
        <w:rPr/>
      </w:pPr>
      <w:r w:rsidDel="00000000" w:rsidR="00000000" w:rsidRPr="00000000">
        <w:rPr>
          <w:rtl w:val="0"/>
        </w:rPr>
        <w:t xml:space="preserve">David C. Cannatella - </w:t>
      </w:r>
      <w:hyperlink r:id="rId9">
        <w:r w:rsidDel="00000000" w:rsidR="00000000" w:rsidRPr="00000000">
          <w:rPr>
            <w:u w:val="single"/>
            <w:rtl w:val="0"/>
          </w:rPr>
          <w:t xml:space="preserve">catfish@utexas.edu</w:t>
        </w:r>
      </w:hyperlink>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Tom Near - </w:t>
      </w:r>
      <w:hyperlink r:id="rId10">
        <w:r w:rsidDel="00000000" w:rsidR="00000000" w:rsidRPr="00000000">
          <w:rPr>
            <w:color w:val="1155cc"/>
            <w:u w:val="single"/>
            <w:rtl w:val="0"/>
          </w:rPr>
          <w:t xml:space="preserve">thomas.near@yale.edu</w:t>
        </w:r>
      </w:hyperlink>
      <w:r w:rsidDel="00000000" w:rsidR="00000000" w:rsidRPr="00000000">
        <w:rPr>
          <w:rtl w:val="0"/>
        </w:rPr>
        <w:t xml:space="preserve"> </w:t>
      </w:r>
    </w:p>
    <w:p w:rsidR="00000000" w:rsidDel="00000000" w:rsidP="00000000" w:rsidRDefault="00000000" w:rsidRPr="00000000" w14:paraId="0000001A">
      <w:pPr>
        <w:spacing w:line="276" w:lineRule="auto"/>
        <w:rPr/>
      </w:pPr>
      <w:r w:rsidDel="00000000" w:rsidR="00000000" w:rsidRPr="00000000">
        <w:rPr>
          <w:rtl w:val="0"/>
        </w:rPr>
        <w:t xml:space="preserve">David Blackburn - </w:t>
      </w:r>
      <w:hyperlink r:id="rId11">
        <w:r w:rsidDel="00000000" w:rsidR="00000000" w:rsidRPr="00000000">
          <w:rPr>
            <w:u w:val="single"/>
            <w:rtl w:val="0"/>
          </w:rPr>
          <w:t xml:space="preserve">dblackburn@flmnh.ufl.edu</w:t>
        </w:r>
      </w:hyperlink>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Kelly Zamudio - </w:t>
      </w:r>
      <w:hyperlink r:id="rId12">
        <w:r w:rsidDel="00000000" w:rsidR="00000000" w:rsidRPr="00000000">
          <w:rPr>
            <w:u w:val="single"/>
            <w:rtl w:val="0"/>
          </w:rPr>
          <w:t xml:space="preserve">kelly.zamudio@austin.utexas.edu</w:t>
        </w:r>
      </w:hyperlink>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Kevin de Quieroz - </w:t>
      </w:r>
      <w:hyperlink r:id="rId13">
        <w:r w:rsidDel="00000000" w:rsidR="00000000" w:rsidRPr="00000000">
          <w:rPr>
            <w:u w:val="single"/>
            <w:rtl w:val="0"/>
          </w:rPr>
          <w:t xml:space="preserve">dequeirozk@si.edu</w:t>
        </w:r>
      </w:hyperlink>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Jim McGuire - </w:t>
      </w:r>
      <w:hyperlink r:id="rId14">
        <w:r w:rsidDel="00000000" w:rsidR="00000000" w:rsidRPr="00000000">
          <w:rPr>
            <w:u w:val="single"/>
            <w:rtl w:val="0"/>
          </w:rPr>
          <w:t xml:space="preserve">mcguirej@berkeley.edu</w:t>
        </w:r>
      </w:hyperlink>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Alex Dornburg - </w:t>
      </w:r>
      <w:hyperlink r:id="rId15">
        <w:r w:rsidDel="00000000" w:rsidR="00000000" w:rsidRPr="00000000">
          <w:rPr>
            <w:u w:val="single"/>
            <w:rtl w:val="0"/>
          </w:rPr>
          <w:t xml:space="preserve">adornbur@uncc.edu</w:t>
        </w:r>
      </w:hyperlink>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Alex Slavenko - </w:t>
      </w:r>
      <w:hyperlink r:id="rId16">
        <w:r w:rsidDel="00000000" w:rsidR="00000000" w:rsidRPr="00000000">
          <w:rPr>
            <w:u w:val="single"/>
            <w:rtl w:val="0"/>
          </w:rPr>
          <w:t xml:space="preserve">gluttony14@gmail.com</w:t>
        </w:r>
      </w:hyperlink>
      <w:r w:rsidDel="00000000" w:rsidR="00000000" w:rsidRPr="00000000">
        <w:rPr>
          <w:rtl w:val="0"/>
        </w:rPr>
        <w:t xml:space="preserve">  or slavenko@mail.tau.ac.il</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respectfully request that the paper not be sent to Fred Kraus, due to differences of opinion on the importance of certain research topics.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article has not been published previously and is not being considered for publication elsewhere. All authors have approved of the version of the manuscript presented.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Sincerely,</w:t>
      </w:r>
    </w:p>
    <w:p w:rsidR="00000000" w:rsidDel="00000000" w:rsidP="00000000" w:rsidRDefault="00000000" w:rsidRPr="00000000" w14:paraId="00000026">
      <w:pPr>
        <w:rPr/>
      </w:pPr>
      <w:r w:rsidDel="00000000" w:rsidR="00000000" w:rsidRPr="00000000">
        <w:rPr>
          <w:rtl w:val="0"/>
        </w:rPr>
        <w:t xml:space="preserve">Marguerite Butler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dblackburn@flmnh.ufl.edu" TargetMode="External"/><Relationship Id="rId10" Type="http://schemas.openxmlformats.org/officeDocument/2006/relationships/hyperlink" Target="mailto:thomas.near@yale.edu" TargetMode="External"/><Relationship Id="rId13" Type="http://schemas.openxmlformats.org/officeDocument/2006/relationships/hyperlink" Target="mailto:dequeirozk@si.edu" TargetMode="External"/><Relationship Id="rId12" Type="http://schemas.openxmlformats.org/officeDocument/2006/relationships/hyperlink" Target="mailto:kelly.zamudio@austin.utexas.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fish@utexas.edu" TargetMode="External"/><Relationship Id="rId15" Type="http://schemas.openxmlformats.org/officeDocument/2006/relationships/hyperlink" Target="mailto:adornbur@uncc.edu" TargetMode="External"/><Relationship Id="rId14" Type="http://schemas.openxmlformats.org/officeDocument/2006/relationships/hyperlink" Target="mailto:mcguirej@berkeley.edu" TargetMode="External"/><Relationship Id="rId16" Type="http://schemas.openxmlformats.org/officeDocument/2006/relationships/hyperlink" Target="mailto:gluttony14@gmail.com" TargetMode="External"/><Relationship Id="rId5" Type="http://schemas.openxmlformats.org/officeDocument/2006/relationships/styles" Target="styles.xml"/><Relationship Id="rId6" Type="http://schemas.openxmlformats.org/officeDocument/2006/relationships/hyperlink" Target="mailto:rafe@ku.edu" TargetMode="External"/><Relationship Id="rId7" Type="http://schemas.openxmlformats.org/officeDocument/2006/relationships/hyperlink" Target="mailto:rainer.guenther@mfn.berlin" TargetMode="External"/><Relationship Id="rId8" Type="http://schemas.openxmlformats.org/officeDocument/2006/relationships/hyperlink" Target="mailto:steve.richards@samuseum.sa.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