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Helvetica" w:cs="Helvetica" w:hAnsi="Helvetica" w:eastAsia="Helvetica"/>
          <w:sz w:val="36"/>
          <w:szCs w:val="36"/>
        </w:rPr>
      </w:pPr>
      <w:r>
        <w:rPr>
          <w:rFonts w:ascii="Helvetica" w:hAnsi="Helvetica"/>
          <w:sz w:val="36"/>
          <w:szCs w:val="36"/>
          <w:rtl w:val="0"/>
          <w:lang w:val="en-US"/>
        </w:rPr>
        <w:t xml:space="preserve">When Molecular and Morphological Evidence Disagree and Morphology is Positively Misleading: the Modern Taxonomy of </w:t>
      </w:r>
      <w:r>
        <w:rPr>
          <w:rFonts w:ascii="Helvetica" w:hAnsi="Helvetica"/>
          <w:i w:val="1"/>
          <w:iCs w:val="1"/>
          <w:sz w:val="36"/>
          <w:szCs w:val="36"/>
          <w:rtl w:val="0"/>
          <w:lang w:val="en-US"/>
        </w:rPr>
        <w:t>Oreophryne</w:t>
      </w:r>
      <w:r>
        <w:rPr>
          <w:rFonts w:ascii="Helvetica" w:hAnsi="Helvetica"/>
          <w:sz w:val="36"/>
          <w:szCs w:val="36"/>
          <w:rtl w:val="0"/>
          <w:lang w:val="en-US"/>
        </w:rPr>
        <w:t xml:space="preserve"> Subfamily Asterophrinae (Anura: Microhylidae)</w:t>
      </w:r>
    </w:p>
    <w:p>
      <w:pPr>
        <w:pStyle w:val="Body Text"/>
        <w:rPr>
          <w:rFonts w:ascii="Helvetica" w:cs="Helvetica" w:hAnsi="Helvetica" w:eastAsia="Helvetica"/>
          <w14:textOutline w14:w="12700" w14:cap="flat">
            <w14:noFill/>
            <w14:miter w14:lim="400000"/>
          </w14:textOutline>
        </w:rPr>
      </w:pPr>
    </w:p>
    <w:p>
      <w:pPr>
        <w:pStyle w:val="Default"/>
        <w:keepNext w:val="1"/>
        <w:keepLines w:val="1"/>
        <w:spacing w:before="0" w:after="200" w:line="240" w:lineRule="auto"/>
        <w:jc w:val="center"/>
        <w:rPr>
          <w:rFonts w:ascii="Helvetica" w:cs="Helvetica" w:hAnsi="Helvetica" w:eastAsia="Helvetica"/>
          <w:vertAlign w:val="superscript"/>
        </w:rPr>
      </w:pPr>
      <w:r>
        <w:rPr>
          <w:rFonts w:ascii="Helvetica" w:hAnsi="Helvetica"/>
          <w:rtl w:val="0"/>
          <w:lang w:val="en-US"/>
        </w:rPr>
        <w:t>Allison Fisher</w:t>
      </w:r>
      <w:r>
        <w:rPr>
          <w:rFonts w:ascii="Helvetica" w:hAnsi="Helvetica"/>
          <w:vertAlign w:val="superscript"/>
          <w:rtl w:val="0"/>
          <w:lang w:val="en-US"/>
        </w:rPr>
        <w:t xml:space="preserve">1, </w:t>
      </w:r>
      <w:r>
        <w:rPr>
          <w:rFonts w:ascii="Helvetica" w:hAnsi="Helvetica"/>
          <w:rtl w:val="0"/>
          <w:lang w:val="en-US"/>
        </w:rPr>
        <w:t>Ke Cao</w:t>
      </w:r>
      <w:r>
        <w:rPr>
          <w:rFonts w:ascii="Helvetica" w:hAnsi="Helvetica"/>
          <w:vertAlign w:val="superscript"/>
          <w:rtl w:val="0"/>
          <w:lang w:val="en-US"/>
        </w:rPr>
        <w:t>1</w:t>
      </w:r>
      <w:r>
        <w:rPr>
          <w:rFonts w:ascii="Helvetica" w:hAnsi="Helvetica"/>
          <w:rtl w:val="0"/>
          <w:lang w:val="en-US"/>
        </w:rPr>
        <w:t>, Allen Allison</w:t>
      </w:r>
      <w:r>
        <w:rPr>
          <w:rFonts w:ascii="Helvetica" w:hAnsi="Helvetica"/>
          <w:vertAlign w:val="superscript"/>
          <w:rtl w:val="0"/>
          <w:lang w:val="en-US"/>
        </w:rPr>
        <w:t>1,2</w:t>
      </w:r>
      <w:r>
        <w:rPr>
          <w:rFonts w:ascii="Helvetica" w:hAnsi="Helvetica"/>
          <w:rtl w:val="0"/>
          <w:lang w:val="en-US"/>
        </w:rPr>
        <w:t>, Bulisa Iova</w:t>
      </w:r>
      <w:r>
        <w:rPr>
          <w:rFonts w:ascii="Helvetica" w:hAnsi="Helvetica"/>
          <w:vertAlign w:val="superscript"/>
          <w:rtl w:val="0"/>
          <w:lang w:val="en-US"/>
        </w:rPr>
        <w:t>3</w:t>
      </w:r>
      <w:r>
        <w:rPr>
          <w:rFonts w:ascii="Helvetica" w:hAnsi="Helvetica"/>
          <w:rtl w:val="0"/>
          <w:lang w:val="en-US"/>
        </w:rPr>
        <w:t>, and Marguerite Butler</w:t>
      </w:r>
      <w:r>
        <w:rPr>
          <w:rFonts w:ascii="Helvetica" w:hAnsi="Helvetica"/>
          <w:vertAlign w:val="superscript"/>
          <w:rtl w:val="0"/>
          <w:lang w:val="en-US"/>
        </w:rPr>
        <w:t>1,4</w:t>
      </w:r>
    </w:p>
    <w:p>
      <w:pPr>
        <w:pStyle w:val="Default"/>
        <w:keepNext w:val="1"/>
        <w:keepLines w:val="1"/>
        <w:spacing w:before="0" w:after="200" w:line="240" w:lineRule="auto"/>
        <w:jc w:val="center"/>
        <w:rPr>
          <w:rFonts w:ascii="Helvetica" w:cs="Helvetica" w:hAnsi="Helvetica" w:eastAsia="Helvetica"/>
          <w:vertAlign w:val="superscript"/>
        </w:rPr>
      </w:pPr>
    </w:p>
    <w:p>
      <w:pPr>
        <w:pStyle w:val="Body"/>
        <w:numPr>
          <w:ilvl w:val="0"/>
          <w:numId w:val="2"/>
        </w:numPr>
        <w:bidi w:val="0"/>
        <w:spacing w:line="480" w:lineRule="auto"/>
        <w:ind w:right="0"/>
        <w:jc w:val="left"/>
        <w:rPr>
          <w:rFonts w:ascii="Helvetica" w:hAnsi="Helvetica"/>
          <w:rtl w:val="0"/>
          <w:lang w:val="en-US"/>
        </w:rPr>
      </w:pPr>
      <w:r>
        <w:rPr>
          <w:rFonts w:ascii="Helvetica" w:hAnsi="Helvetica"/>
          <w:rtl w:val="0"/>
          <w:lang w:val="en-US"/>
          <w14:textOutline w14:w="12700" w14:cap="flat">
            <w14:noFill/>
            <w14:miter w14:lim="400000"/>
          </w14:textOutline>
        </w:rPr>
        <w:t>University of Hawai'i at Manoa, Honolulu, HI 96822, USA</w:t>
      </w:r>
    </w:p>
    <w:p>
      <w:pPr>
        <w:pStyle w:val="Body"/>
        <w:numPr>
          <w:ilvl w:val="0"/>
          <w:numId w:val="2"/>
        </w:numPr>
        <w:bidi w:val="0"/>
        <w:spacing w:line="480" w:lineRule="auto"/>
        <w:ind w:right="0"/>
        <w:jc w:val="left"/>
        <w:rPr>
          <w:rFonts w:ascii="Helvetica" w:hAnsi="Helvetica"/>
          <w:rtl w:val="0"/>
          <w:lang w:val="en-US"/>
        </w:rPr>
      </w:pPr>
      <w:r>
        <w:rPr>
          <w:rFonts w:ascii="Helvetica" w:hAnsi="Helvetica"/>
          <w:rtl w:val="0"/>
          <w:lang w:val="en-US"/>
          <w14:textOutline w14:w="12700" w14:cap="flat">
            <w14:noFill/>
            <w14:miter w14:lim="400000"/>
          </w14:textOutline>
        </w:rPr>
        <w:t>Bernice P. Bishop Museum, Natural Sciences, Honolulu, HI 96817, USA</w:t>
      </w:r>
    </w:p>
    <w:p>
      <w:pPr>
        <w:pStyle w:val="Body"/>
        <w:numPr>
          <w:ilvl w:val="0"/>
          <w:numId w:val="2"/>
        </w:numPr>
        <w:bidi w:val="0"/>
        <w:spacing w:line="480" w:lineRule="auto"/>
        <w:ind w:right="0"/>
        <w:jc w:val="left"/>
        <w:rPr>
          <w:rFonts w:ascii="Helvetica" w:hAnsi="Helvetica"/>
          <w:rtl w:val="0"/>
          <w:lang w:val="en-US"/>
        </w:rPr>
      </w:pPr>
      <w:r>
        <w:rPr>
          <w:rFonts w:ascii="Helvetica" w:hAnsi="Helvetica"/>
          <w:rtl w:val="0"/>
          <w:lang w:val="en-US"/>
          <w14:textOutline w14:w="12700" w14:cap="flat">
            <w14:noFill/>
            <w14:miter w14:lim="400000"/>
          </w14:textOutline>
        </w:rPr>
        <w:t>Papua New Guinea National Museum and Art Gallery, Boroko, National Capital District, Papua New Guinea</w:t>
      </w:r>
    </w:p>
    <w:p>
      <w:pPr>
        <w:pStyle w:val="Body"/>
        <w:numPr>
          <w:ilvl w:val="0"/>
          <w:numId w:val="2"/>
        </w:numPr>
        <w:bidi w:val="0"/>
        <w:spacing w:line="480" w:lineRule="auto"/>
        <w:ind w:right="0"/>
        <w:jc w:val="left"/>
        <w:rPr>
          <w:rFonts w:ascii="Helvetica" w:hAnsi="Helvetica"/>
          <w:rtl w:val="0"/>
          <w:lang w:val="en-US"/>
        </w:rPr>
      </w:pPr>
      <w:r>
        <w:rPr>
          <w:rFonts w:ascii="Helvetica" w:hAnsi="Helvetica"/>
          <w:rtl w:val="0"/>
          <w:lang w:val="en-US"/>
          <w14:textOutline w14:w="12700" w14:cap="flat">
            <w14:noFill/>
            <w14:miter w14:lim="400000"/>
          </w14:textOutline>
        </w:rPr>
        <w:t>CORRESPONDENCE: email, mbutler@hawaii.edu</w:t>
      </w:r>
    </w:p>
    <w:p>
      <w:pPr>
        <w:pStyle w:val="Body"/>
        <w:spacing w:line="480" w:lineRule="auto"/>
        <w:rPr>
          <w:rFonts w:ascii="Helvetica" w:cs="Helvetica" w:hAnsi="Helvetica" w:eastAsia="Helvetica"/>
          <w:i w:val="1"/>
          <w:iCs w:val="1"/>
          <w14:textOutline w14:w="12700" w14:cap="flat">
            <w14:noFill/>
            <w14:miter w14:lim="400000"/>
          </w14:textOutline>
        </w:rPr>
      </w:pPr>
      <w:r>
        <w:rPr>
          <w:rFonts w:ascii="Helvetica" w:hAnsi="Helvetica"/>
          <w:rtl w:val="0"/>
          <w:lang w:val="en-US"/>
          <w14:textOutline w14:w="12700" w14:cap="flat">
            <w14:noFill/>
            <w14:miter w14:lim="400000"/>
          </w14:textOutline>
        </w:rPr>
        <w:t xml:space="preserve">RRH: </w:t>
      </w:r>
      <w:r>
        <w:rPr>
          <w:rFonts w:ascii="Helvetica" w:hAnsi="Helvetica"/>
          <w:i w:val="1"/>
          <w:iCs w:val="1"/>
          <w:rtl w:val="0"/>
          <w:lang w:val="en-US"/>
          <w14:textOutline w14:w="12700" w14:cap="flat">
            <w14:noFill/>
            <w14:miter w14:lim="400000"/>
          </w14:textOutline>
        </w:rPr>
        <w:t>Auparoparo</w:t>
      </w:r>
      <w:r>
        <w:rPr>
          <w:rFonts w:ascii="Helvetica" w:hAnsi="Helvetica"/>
          <w:rtl w:val="0"/>
          <w:lang w:val="en-US"/>
          <w14:textOutline w14:w="12700" w14:cap="flat">
            <w14:noFill/>
            <w14:miter w14:lim="400000"/>
          </w14:textOutline>
        </w:rPr>
        <w:t xml:space="preserve"> vs. </w:t>
      </w:r>
      <w:r>
        <w:rPr>
          <w:rFonts w:ascii="Helvetica" w:hAnsi="Helvetica"/>
          <w:i w:val="1"/>
          <w:iCs w:val="1"/>
          <w:rtl w:val="0"/>
          <w:lang w:val="en-US"/>
          <w14:textOutline w14:w="12700" w14:cap="flat">
            <w14:noFill/>
            <w14:miter w14:lim="400000"/>
          </w14:textOutline>
        </w:rPr>
        <w:t>Oreophryne</w:t>
      </w:r>
    </w:p>
    <w:p>
      <w:pPr>
        <w:pStyle w:val="Body"/>
        <w:spacing w:line="480" w:lineRule="auto"/>
        <w:rPr>
          <w:rFonts w:ascii="Helvetica" w:cs="Helvetica" w:hAnsi="Helvetica" w:eastAsia="Helvetica"/>
          <w:lang w:val="en-US"/>
          <w14:textOutline w14:w="12700" w14:cap="flat">
            <w14:noFill/>
            <w14:miter w14:lim="400000"/>
          </w14:textOutline>
        </w:rPr>
      </w:pPr>
    </w:p>
    <w:p>
      <w:pPr>
        <w:pStyle w:val="Body A"/>
        <w:spacing w:line="480" w:lineRule="auto"/>
        <w:rPr>
          <w:rFonts w:ascii="Helvetica" w:cs="Helvetica" w:hAnsi="Helvetica" w:eastAsia="Helvetica"/>
        </w:rPr>
      </w:pPr>
    </w:p>
    <w:p>
      <w:pPr>
        <w:pStyle w:val="Heading 1"/>
      </w:pPr>
      <w:r>
        <w:rPr>
          <w:rFonts w:ascii="Arial Unicode MS" w:cs="Arial Unicode MS" w:hAnsi="Arial Unicode MS" w:eastAsia="Arial Unicode MS"/>
          <w:b w:val="0"/>
          <w:bCs w:val="0"/>
          <w:i w:val="0"/>
          <w:iCs w:val="0"/>
          <w:smallCaps w:val="1"/>
        </w:rPr>
        <w:br w:type="page"/>
      </w:r>
    </w:p>
    <w:p>
      <w:pPr>
        <w:pStyle w:val="Heading 1"/>
        <w:spacing w:before="0" w:after="0"/>
        <w:rPr>
          <w:smallCaps w:val="1"/>
        </w:rPr>
      </w:pPr>
      <w:bookmarkStart w:name="abstract" w:id="0"/>
      <w:r>
        <w:rPr>
          <w:smallCaps w:val="1"/>
          <w:rtl w:val="0"/>
          <w:lang w:val="de-DE"/>
        </w:rPr>
        <w:t>Abstract:</w:t>
      </w:r>
    </w:p>
    <w:p>
      <w:pPr>
        <w:pStyle w:val="First Paragraph"/>
        <w:spacing w:before="0" w:after="0"/>
      </w:pPr>
      <w:r>
        <w:rPr>
          <w:rtl w:val="0"/>
        </w:rPr>
        <w:tab/>
        <w:t xml:space="preserve">Despite 130 years of active study, the frog genus </w:t>
      </w:r>
      <w:r>
        <w:rPr>
          <w:i w:val="1"/>
          <w:iCs w:val="1"/>
          <w:rtl w:val="0"/>
          <w:lang w:val="en-US"/>
        </w:rPr>
        <w:t>Oreophryne</w:t>
      </w:r>
      <w:r>
        <w:rPr>
          <w:rtl w:val="0"/>
          <w:lang w:val="en-US"/>
        </w:rPr>
        <w:t xml:space="preserve"> sensu lato (Boettger 1895), has only recently been discovered as polyphyletic, consisting of two unrelated reciprocally monophyletic genera. Here we show that these clades are undiagnosible using morphology and provide a phylogenetic taxonomic definition for the two genera. We acquired tissue samples of the type species (</w:t>
      </w:r>
      <w:r>
        <w:rPr>
          <w:i w:val="1"/>
          <w:iCs w:val="1"/>
          <w:rtl w:val="0"/>
          <w:lang w:val="en-US"/>
        </w:rPr>
        <w:t>O. senckenbergiana</w:t>
      </w:r>
      <w:r>
        <w:rPr>
          <w:rtl w:val="0"/>
          <w:lang w:val="en-US"/>
        </w:rPr>
        <w:t xml:space="preserve">) from North Maluku Island, Indonesia, allowing for a decisive molecular phylogenetic resolution for which clade retains the name </w:t>
      </w:r>
      <w:r>
        <w:rPr>
          <w:i w:val="1"/>
          <w:iCs w:val="1"/>
          <w:rtl w:val="0"/>
          <w:lang w:val="en-US"/>
        </w:rPr>
        <w:t>Oreophryne</w:t>
      </w:r>
      <w:r>
        <w:rPr>
          <w:rtl w:val="0"/>
          <w:lang w:val="en-US"/>
        </w:rPr>
        <w:t xml:space="preserve">, naming the other, unrelated genus of arboreal frogs </w:t>
      </w:r>
      <w:r>
        <w:rPr>
          <w:b w:val="1"/>
          <w:bCs w:val="1"/>
          <w:i w:val="1"/>
          <w:iCs w:val="1"/>
          <w:rtl w:val="0"/>
          <w:lang w:val="en-US"/>
        </w:rPr>
        <w:t>Auparoparo</w:t>
      </w:r>
      <w:r>
        <w:rPr>
          <w:b w:val="1"/>
          <w:bCs w:val="1"/>
          <w:rtl w:val="0"/>
          <w:lang w:val="en-US"/>
        </w:rPr>
        <w:t xml:space="preserve"> gen. nov.</w:t>
      </w:r>
      <w:r>
        <w:rPr>
          <w:rtl w:val="0"/>
          <w:lang w:val="en-US"/>
        </w:rPr>
        <w:t xml:space="preserve"> from the indigenous language Motu. Our findings clearly demonstrate that a second clade of primarily arboreal frogs has evolved within Asterophryne, with striking morphological similarity, given that the other non-arboreal genera are quite distinct. Furthermore, our findings present a cautionary tale illustrating that polyphyletic (non-evolutionary) groups may still be in use today, as identifying taxa to include in phylogenetic analysis based on traditional taxonomy without confirmation of monophyly, importantly, with inclusion of sister taxa (i.e., employing a phylogenetic definition) can mislead evolutionary research, even today.</w:t>
      </w:r>
    </w:p>
    <w:p>
      <w:pPr>
        <w:pStyle w:val="Body Text"/>
        <w:spacing w:before="0" w:after="0"/>
      </w:pPr>
      <w:r>
        <w:rPr>
          <w:rFonts w:ascii="Helvetica" w:hAnsi="Helvetica"/>
          <w:b w:val="1"/>
          <w:bCs w:val="1"/>
          <w:rtl w:val="0"/>
          <w:lang w:val="en-US"/>
        </w:rPr>
        <w:t>Key Words:</w:t>
      </w:r>
      <w:r>
        <w:rPr>
          <w:rFonts w:ascii="Helvetica" w:hAnsi="Helvetica"/>
          <w:rtl w:val="0"/>
          <w:lang w:val="en-US"/>
        </w:rPr>
        <w:t xml:space="preserve"> Auparoparo; frogs; homoplasy; Indo-Pacific; molecular and morphological conflict; morphology; new classification; new genera; Papua New Guinea; parallelism; phylogenetic nomenclature; phylogenetics; zoological nomenclature </w:t>
      </w:r>
      <w:r>
        <w:rPr>
          <w:rFonts w:ascii="Arial Unicode MS" w:cs="Arial Unicode MS" w:hAnsi="Arial Unicode MS" w:eastAsia="Arial Unicode MS"/>
          <w:b w:val="0"/>
          <w:bCs w:val="0"/>
          <w:i w:val="0"/>
          <w:iCs w:val="0"/>
        </w:rPr>
        <w:br w:type="page"/>
      </w:r>
    </w:p>
    <w:p>
      <w:pPr>
        <w:pStyle w:val="First Paragraph"/>
        <w:spacing w:before="0" w:after="0"/>
      </w:pPr>
      <w:bookmarkEnd w:id="0"/>
      <w:r>
        <w:tab/>
      </w:r>
      <w:bookmarkStart w:name="introduction" w:id="1"/>
      <w:r>
        <w:rPr>
          <w:smallCaps w:val="1"/>
          <w:rtl w:val="0"/>
          <w:lang w:val="en-US"/>
        </w:rPr>
        <w:t>Although</w:t>
      </w:r>
      <w:r>
        <w:rPr>
          <w:rtl w:val="0"/>
          <w:lang w:val="en-US"/>
        </w:rPr>
        <w:t xml:space="preserve"> the generic taxonomy of the subfamily Asterophryinae has had a turbulent history (reviewed in Hill et al. 2022), the taxonomy of the genus </w:t>
      </w:r>
      <w:r>
        <w:rPr>
          <w:i w:val="1"/>
          <w:iCs w:val="1"/>
          <w:rtl w:val="0"/>
          <w:lang w:val="en-US"/>
        </w:rPr>
        <w:t>Oreophryne</w:t>
      </w:r>
      <w:r>
        <w:rPr>
          <w:rtl w:val="0"/>
          <w:lang w:val="en-US"/>
        </w:rPr>
        <w:t xml:space="preserve"> sensu lato (Boettger 1895) in particular has been comparatively stable until recently. Generic designation to </w:t>
      </w:r>
      <w:r>
        <w:rPr>
          <w:i w:val="1"/>
          <w:iCs w:val="1"/>
          <w:rtl w:val="0"/>
          <w:lang w:val="en-US"/>
        </w:rPr>
        <w:t>Oreophryne</w:t>
      </w:r>
      <w:r>
        <w:rPr>
          <w:rtl w:val="0"/>
          <w:lang w:val="en-US"/>
        </w:rPr>
        <w:t xml:space="preserve"> sensu lato has traditionally relied on a pectoral anatomy that is distinct from all other genera, with highly reduced and distinctly curved clavicles (Parker 1934; Zweifel 2003). Using this taxonomic definition, over the past 130 years the genus </w:t>
      </w:r>
      <w:r>
        <w:rPr>
          <w:i w:val="1"/>
          <w:iCs w:val="1"/>
          <w:rtl w:val="0"/>
          <w:lang w:val="en-US"/>
        </w:rPr>
        <w:t>Oreophryne</w:t>
      </w:r>
      <w:r>
        <w:rPr>
          <w:rtl w:val="0"/>
          <w:lang w:val="en-US"/>
        </w:rPr>
        <w:t xml:space="preserve"> sensu lato (Boettger 1895) has grown to 75 diagnosed species, fully 1/5 of the total diversity of the hyperdiverse subfamily Asterophryinae and the largest of the ~16 genera (Hill et al. 2022; Frost 2024). In addition, other curious features suggesting that </w:t>
      </w:r>
      <w:r>
        <w:rPr>
          <w:i w:val="1"/>
          <w:iCs w:val="1"/>
          <w:rtl w:val="0"/>
          <w:lang w:val="en-US"/>
        </w:rPr>
        <w:t>Oreophryne</w:t>
      </w:r>
      <w:r>
        <w:rPr>
          <w:rtl w:val="0"/>
          <w:lang w:val="en-US"/>
        </w:rPr>
        <w:t xml:space="preserve"> sensu lato may not be a natural group include the largest geographic distribution in the subfamily (Hill et al. 2023a), with species centered on mainland New Guinea and its offshore islands (Werner 1898; Zweifel 1956; Zweifel et al. 2003; Kraus and Allison 2004; Kraus and Allison 2009; Kraus 2013; Frost 2024), but ranging westward across open ocean (M</w:t>
      </w:r>
      <w:r>
        <w:rPr>
          <w:rtl w:val="0"/>
          <w:lang w:val="en-US"/>
        </w:rPr>
        <w:t>ü</w:t>
      </w:r>
      <w:r>
        <w:rPr>
          <w:rtl w:val="0"/>
          <w:lang w:val="en-US"/>
        </w:rPr>
        <w:t>ller 1894; Boulenger 1896; Ahl 1933; Putri et al. 2023) and northward to Indonesia (Boettger 1895; Setiadi et al. 2010; G</w:t>
      </w:r>
      <w:r>
        <w:rPr>
          <w:rtl w:val="0"/>
          <w:lang w:val="en-US"/>
        </w:rPr>
        <w:t>ü</w:t>
      </w:r>
      <w:r>
        <w:rPr>
          <w:rtl w:val="0"/>
          <w:lang w:val="en-US"/>
        </w:rPr>
        <w:t>nther et al. 2023) and the Southern Philippines Islands (Alcala 1986; Balinton and Se</w:t>
      </w:r>
      <w:r>
        <w:rPr>
          <w:rtl w:val="0"/>
          <w:lang w:val="en-US"/>
        </w:rPr>
        <w:t>ñ</w:t>
      </w:r>
      <w:r>
        <w:rPr>
          <w:rtl w:val="0"/>
          <w:lang w:val="en-US"/>
        </w:rPr>
        <w:t xml:space="preserve">a 2015). Furthermore, unlike other genera that have greater degrees of lifestyle evolution, </w:t>
      </w:r>
      <w:r>
        <w:rPr>
          <w:i w:val="1"/>
          <w:iCs w:val="1"/>
          <w:rtl w:val="0"/>
          <w:lang w:val="en-US"/>
        </w:rPr>
        <w:t>Oreophryne</w:t>
      </w:r>
      <w:r>
        <w:rPr>
          <w:rtl w:val="0"/>
          <w:lang w:val="en-US"/>
        </w:rPr>
        <w:t xml:space="preserve"> sensu lato are conspicuously arboreal (or scansorial) and the genus accounts for nearly all arboreal species of Asterophryinae (G</w:t>
      </w:r>
      <w:r>
        <w:rPr>
          <w:rtl w:val="0"/>
          <w:lang w:val="en-US"/>
        </w:rPr>
        <w:t>ü</w:t>
      </w:r>
      <w:r>
        <w:rPr>
          <w:rtl w:val="0"/>
          <w:lang w:val="en-US"/>
        </w:rPr>
        <w:t>nther et al. 2001; Menzies 2006), inhabiting lowland to montane rain forest. However, there is a small group of diminutive species that inhabit high elevation grasslands, a few which are terrestrial (Zweifel et al. 2005; G</w:t>
      </w:r>
      <w:r>
        <w:rPr>
          <w:rtl w:val="0"/>
          <w:lang w:val="en-US"/>
        </w:rPr>
        <w:t>ü</w:t>
      </w:r>
      <w:r>
        <w:rPr>
          <w:rtl w:val="0"/>
          <w:lang w:val="en-US"/>
        </w:rPr>
        <w:t>nther and Richards 2012; Putri et al. 2023).</w:t>
      </w:r>
    </w:p>
    <w:p>
      <w:pPr>
        <w:pStyle w:val="Body Text"/>
        <w:spacing w:before="0" w:after="0"/>
        <w:rPr>
          <w:rFonts w:ascii="Helvetica" w:cs="Helvetica" w:hAnsi="Helvetica" w:eastAsia="Helvetica"/>
        </w:rPr>
      </w:pPr>
      <w:r>
        <w:rPr>
          <w:rFonts w:ascii="Helvetica" w:cs="Helvetica" w:hAnsi="Helvetica" w:eastAsia="Helvetica"/>
          <w:rtl w:val="0"/>
        </w:rPr>
        <w:tab/>
        <w:t xml:space="preserve">The apparently reliable diagnostic character, however, has never been demonstrated to be a synapomorphy. Recently, Hill et. al (2022, 2023b) established that </w:t>
      </w:r>
      <w:r>
        <w:rPr>
          <w:rFonts w:ascii="Helvetica" w:hAnsi="Helvetica"/>
          <w:i w:val="1"/>
          <w:iCs w:val="1"/>
          <w:rtl w:val="0"/>
          <w:lang w:val="en-US"/>
        </w:rPr>
        <w:t>Oreophryne</w:t>
      </w:r>
      <w:r>
        <w:rPr>
          <w:rFonts w:ascii="Helvetica" w:hAnsi="Helvetica"/>
          <w:rtl w:val="0"/>
          <w:lang w:val="en-US"/>
        </w:rPr>
        <w:t xml:space="preserve"> sensu lato represents two reciprocally monophyletic groups, temporarily labeled </w:t>
      </w:r>
      <w:r>
        <w:rPr>
          <w:rFonts w:ascii="Helvetica" w:hAnsi="Helvetica" w:hint="default"/>
          <w:rtl w:val="0"/>
          <w:lang w:val="en-US"/>
        </w:rPr>
        <w:t>“</w:t>
      </w:r>
      <w:r>
        <w:rPr>
          <w:rFonts w:ascii="Helvetica" w:hAnsi="Helvetica"/>
          <w:rtl w:val="0"/>
          <w:lang w:val="en-US"/>
        </w:rPr>
        <w:t>Oreophryne A</w:t>
      </w:r>
      <w:r>
        <w:rPr>
          <w:rFonts w:ascii="Helvetica" w:hAnsi="Helvetica" w:hint="default"/>
          <w:rtl w:val="0"/>
          <w:lang w:val="en-US"/>
        </w:rPr>
        <w:t xml:space="preserve">” </w:t>
      </w:r>
      <w:r>
        <w:rPr>
          <w:rFonts w:ascii="Helvetica" w:hAnsi="Helvetica"/>
          <w:rtl w:val="0"/>
          <w:lang w:val="en-US"/>
        </w:rPr>
        <w:t xml:space="preserve">and </w:t>
      </w:r>
      <w:r>
        <w:rPr>
          <w:rFonts w:ascii="Helvetica" w:hAnsi="Helvetica" w:hint="default"/>
          <w:rtl w:val="0"/>
          <w:lang w:val="en-US"/>
        </w:rPr>
        <w:t>“</w:t>
      </w:r>
      <w:r>
        <w:rPr>
          <w:rFonts w:ascii="Helvetica" w:hAnsi="Helvetica"/>
          <w:rtl w:val="0"/>
          <w:lang w:val="en-US"/>
        </w:rPr>
        <w:t>Oreophryne B</w:t>
      </w:r>
      <w:r>
        <w:rPr>
          <w:rFonts w:ascii="Helvetica" w:hAnsi="Helvetica" w:hint="default"/>
          <w:rtl w:val="0"/>
          <w:lang w:val="en-US"/>
        </w:rPr>
        <w:t>”</w:t>
      </w:r>
      <w:r>
        <w:rPr>
          <w:rFonts w:ascii="Helvetica" w:hAnsi="Helvetica"/>
          <w:rtl w:val="0"/>
          <w:lang w:val="en-US"/>
        </w:rPr>
        <w:t xml:space="preserve">, yet it is unknown whether characters exist to identify these groups. The aims of this study are to assess the phylogenetic position of the newly available type species of </w:t>
      </w:r>
      <w:r>
        <w:rPr>
          <w:rFonts w:ascii="Helvetica" w:hAnsi="Helvetica"/>
          <w:i w:val="1"/>
          <w:iCs w:val="1"/>
          <w:rtl w:val="0"/>
          <w:lang w:val="en-US"/>
        </w:rPr>
        <w:t>Oreophryne</w:t>
      </w:r>
      <w:r>
        <w:rPr>
          <w:rFonts w:ascii="Helvetica" w:hAnsi="Helvetica"/>
          <w:rtl w:val="0"/>
          <w:lang w:val="en-US"/>
        </w:rPr>
        <w:t xml:space="preserve"> (</w:t>
      </w:r>
      <w:r>
        <w:rPr>
          <w:rFonts w:ascii="Helvetica" w:hAnsi="Helvetica"/>
          <w:i w:val="1"/>
          <w:iCs w:val="1"/>
          <w:rtl w:val="0"/>
          <w:lang w:val="en-US"/>
        </w:rPr>
        <w:t>Oreophryne senkenbergiana</w:t>
      </w:r>
      <w:r>
        <w:rPr>
          <w:rFonts w:ascii="Helvetica" w:hAnsi="Helvetica"/>
          <w:rtl w:val="0"/>
          <w:lang w:val="en-US"/>
        </w:rPr>
        <w:t xml:space="preserve">) into a large Asterophrinae (subfamily-level) phylogeny, to name and describe the new genus, and to develop phylogenetic definitions for both. Furthermore, we analyze the morphological characteristics to assess whether morphological diagnosis is possible, and consider whether there are any additional features to assist collectors when identifying putative </w:t>
      </w:r>
      <w:r>
        <w:rPr>
          <w:rFonts w:ascii="Helvetica" w:hAnsi="Helvetica"/>
          <w:i w:val="1"/>
          <w:iCs w:val="1"/>
          <w:rtl w:val="0"/>
          <w:lang w:val="en-US"/>
        </w:rPr>
        <w:t>Oreophryne</w:t>
      </w:r>
      <w:r>
        <w:rPr>
          <w:rFonts w:ascii="Helvetica" w:hAnsi="Helvetica"/>
          <w:rtl w:val="0"/>
          <w:lang w:val="en-US"/>
        </w:rPr>
        <w:t xml:space="preserve"> in the field (e.g., call type, geography, other characters), and discuss the evolutionary patterns and taxonomic utility of these morphological characters.</w:t>
      </w:r>
      <w:bookmarkEnd w:id="1"/>
    </w:p>
    <w:p>
      <w:pPr>
        <w:pStyle w:val="heading 4"/>
        <w:spacing w:before="0" w:after="0" w:line="480" w:lineRule="auto"/>
        <w:jc w:val="center"/>
      </w:pPr>
      <w:bookmarkStart w:name="taxonomichistory" w:id="2"/>
      <w:r>
        <w:rPr>
          <w:rtl w:val="0"/>
          <w:lang w:val="en-US"/>
        </w:rPr>
        <w:t>Taxonomic History:</w:t>
      </w:r>
    </w:p>
    <w:p>
      <w:pPr>
        <w:pStyle w:val="First Paragraph"/>
        <w:spacing w:before="0" w:after="0"/>
      </w:pPr>
      <w:r>
        <w:rPr>
          <w:rtl w:val="0"/>
        </w:rPr>
        <w:tab/>
        <w:t xml:space="preserve">Boettger (1895) described the genus </w:t>
      </w:r>
      <w:r>
        <w:rPr>
          <w:i w:val="1"/>
          <w:iCs w:val="1"/>
          <w:rtl w:val="0"/>
          <w:lang w:val="en-US"/>
        </w:rPr>
        <w:t>Oreoprhyne</w:t>
      </w:r>
      <w:r>
        <w:rPr>
          <w:rtl w:val="0"/>
          <w:lang w:val="en-US"/>
        </w:rPr>
        <w:t xml:space="preserve"> sensu lato and the species </w:t>
      </w:r>
      <w:r>
        <w:rPr>
          <w:i w:val="1"/>
          <w:iCs w:val="1"/>
          <w:rtl w:val="0"/>
          <w:lang w:val="en-US"/>
        </w:rPr>
        <w:t>Oreophryne senckenbergiana</w:t>
      </w:r>
      <w:r>
        <w:rPr>
          <w:rtl w:val="0"/>
          <w:lang w:val="en-US"/>
        </w:rPr>
        <w:t xml:space="preserve"> on the basis of two specimens from Halmahera Island, in the Maluku Archipelago west of New Guinea, that lacked procoracoids and had cartilaginous sterna. He also noted the presence of expanded finger pads and transverse folds of skin in the palate. Parker (1934) noted that procoracoids were present, but were reduced and re-diagnosed the genus on the basis of this feature together with the presence of reduced clavicles, no omosternum and a large cartilaginous sternum. Zweifel (2003) noted that </w:t>
      </w:r>
      <w:r>
        <w:rPr>
          <w:rtl w:val="0"/>
          <w:lang w:val="en-US"/>
        </w:rPr>
        <w:t>“</w:t>
      </w:r>
      <w:r>
        <w:rPr>
          <w:rtl w:val="0"/>
          <w:lang w:val="en-US"/>
        </w:rPr>
        <w:t>the clavicles are tiny, slightly curved bones lying on (ventral to) the procoracoid cartilage and apart from the midline and the scapula.</w:t>
      </w:r>
      <w:r>
        <w:rPr>
          <w:rtl w:val="0"/>
          <w:lang w:val="en-US"/>
        </w:rPr>
        <w:t xml:space="preserve">” </w:t>
      </w:r>
      <w:r>
        <w:rPr>
          <w:rtl w:val="0"/>
          <w:lang w:val="en-US"/>
        </w:rPr>
        <w:t>On the basis of these features there are now 75 recognized species in the genus (Frost 2024).</w:t>
      </w:r>
    </w:p>
    <w:p>
      <w:pPr>
        <w:pStyle w:val="Body Text"/>
        <w:spacing w:before="0" w:after="0"/>
        <w:rPr>
          <w:rFonts w:ascii="Helvetica" w:cs="Helvetica" w:hAnsi="Helvetica" w:eastAsia="Helvetica"/>
        </w:rPr>
      </w:pPr>
      <w:r>
        <w:rPr>
          <w:rFonts w:ascii="Helvetica" w:cs="Helvetica" w:hAnsi="Helvetica" w:eastAsia="Helvetica"/>
          <w:rtl w:val="0"/>
        </w:rPr>
        <w:tab/>
        <w:t xml:space="preserve">While </w:t>
      </w:r>
      <w:r>
        <w:rPr>
          <w:rFonts w:ascii="Helvetica" w:hAnsi="Helvetica"/>
          <w:i w:val="1"/>
          <w:iCs w:val="1"/>
          <w:rtl w:val="0"/>
          <w:lang w:val="en-US"/>
        </w:rPr>
        <w:t>Oreophryne</w:t>
      </w:r>
      <w:r>
        <w:rPr>
          <w:rFonts w:ascii="Helvetica" w:hAnsi="Helvetica"/>
          <w:rtl w:val="0"/>
          <w:lang w:val="en-US"/>
        </w:rPr>
        <w:t xml:space="preserve"> sensu lato is united morphologically (</w:t>
      </w: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\l "bookmark" </w:instrText>
      </w:r>
      <w:r>
        <w:rPr>
          <w:rStyle w:val="Hyperlink.0"/>
          <w:rFonts w:ascii="Helvetica" w:cs="Helvetica" w:hAnsi="Helvetica" w:eastAsia="Helvetica"/>
        </w:rPr>
        <w:fldChar w:fldCharType="separate" w:fldLock="0"/>
      </w:r>
      <w:r>
        <w:rPr>
          <w:rStyle w:val="Hyperlink.0"/>
          <w:rFonts w:ascii="Helvetica" w:hAnsi="Helvetica"/>
          <w:rtl w:val="0"/>
          <w:lang w:val="en-US"/>
        </w:rPr>
        <w:t>Figure</w:t>
      </w:r>
      <w:r>
        <w:rPr>
          <w:rStyle w:val="Hyperlink.0"/>
          <w:rFonts w:ascii="Helvetica" w:hAnsi="Helvetica" w:hint="default"/>
          <w:rtl w:val="0"/>
          <w:lang w:val="en-US"/>
        </w:rPr>
        <w:t> </w:t>
      </w:r>
      <w:r>
        <w:rPr>
          <w:rStyle w:val="Hyperlink.0"/>
          <w:rFonts w:ascii="Helvetica" w:hAnsi="Helvetica"/>
          <w:rtl w:val="0"/>
          <w:lang w:val="en-US"/>
        </w:rPr>
        <w:t>1</w:t>
      </w:r>
      <w:r>
        <w:rPr>
          <w:rFonts w:ascii="Helvetica" w:cs="Helvetica" w:hAnsi="Helvetica" w:eastAsia="Helvetica"/>
        </w:rPr>
        <w:fldChar w:fldCharType="end" w:fldLock="0"/>
      </w:r>
      <w:r>
        <w:rPr>
          <w:rFonts w:ascii="Helvetica" w:hAnsi="Helvetica"/>
          <w:rtl w:val="0"/>
          <w:lang w:val="en-US"/>
        </w:rPr>
        <w:t>), large scale molecular phylogenetic analysis with many ingroup samples were required to clarify that this group contains two reciprocally monophyletic clades (Hill et al. 2022, 2023b). Early molecular phylogenetic studies suggested monophyly but only included a few taxa within a larger-scale study (K</w:t>
      </w:r>
      <w:r>
        <w:rPr>
          <w:rFonts w:ascii="Helvetica" w:hAnsi="Helvetica" w:hint="default"/>
          <w:rtl w:val="0"/>
          <w:lang w:val="en-US"/>
        </w:rPr>
        <w:t>ö</w:t>
      </w:r>
      <w:r>
        <w:rPr>
          <w:rFonts w:ascii="Helvetica" w:hAnsi="Helvetica"/>
          <w:rtl w:val="0"/>
          <w:lang w:val="en-US"/>
        </w:rPr>
        <w:t>hler and G</w:t>
      </w:r>
      <w:r>
        <w:rPr>
          <w:rFonts w:ascii="Helvetica" w:hAnsi="Helvetica" w:hint="default"/>
          <w:rtl w:val="0"/>
          <w:lang w:val="en-US"/>
        </w:rPr>
        <w:t>ü</w:t>
      </w:r>
      <w:r>
        <w:rPr>
          <w:rFonts w:ascii="Helvetica" w:hAnsi="Helvetica"/>
          <w:rtl w:val="0"/>
          <w:lang w:val="en-US"/>
        </w:rPr>
        <w:t xml:space="preserve">nther 2008 included 9 Oreophryne taxa; de Sa et al. 2012 included 4). Rivera et al. (2017) provided the first molecular evidence of a polyphyletic </w:t>
      </w:r>
      <w:r>
        <w:rPr>
          <w:rStyle w:val="None"/>
          <w:rFonts w:ascii="Helvetica" w:hAnsi="Helvetica"/>
          <w:i w:val="1"/>
          <w:iCs w:val="1"/>
          <w:rtl w:val="0"/>
          <w:lang w:val="en-US"/>
        </w:rPr>
        <w:t>Oreophryne</w:t>
      </w:r>
      <w:r>
        <w:rPr>
          <w:rFonts w:ascii="Helvetica" w:hAnsi="Helvetica"/>
          <w:rtl w:val="0"/>
          <w:lang w:val="en-US"/>
        </w:rPr>
        <w:t xml:space="preserve"> sensu lato with 36 </w:t>
      </w:r>
      <w:r>
        <w:rPr>
          <w:rStyle w:val="None"/>
          <w:rFonts w:ascii="Helvetica" w:hAnsi="Helvetica"/>
          <w:i w:val="1"/>
          <w:iCs w:val="1"/>
          <w:rtl w:val="0"/>
          <w:lang w:val="en-US"/>
        </w:rPr>
        <w:t>Oreophryne</w:t>
      </w:r>
      <w:r>
        <w:rPr>
          <w:rFonts w:ascii="Helvetica" w:hAnsi="Helvetica"/>
          <w:rtl w:val="0"/>
          <w:lang w:val="en-US"/>
        </w:rPr>
        <w:t xml:space="preserve"> within a larger phylogeny Asterophryinae which included 155 samples, followed by Tu et al. (2018)</w:t>
      </w:r>
      <w:r>
        <w:rPr>
          <w:rFonts w:ascii="Helvetica" w:hAnsi="Helvetica" w:hint="default"/>
          <w:rtl w:val="0"/>
          <w:lang w:val="en-US"/>
        </w:rPr>
        <w:t>’</w:t>
      </w:r>
      <w:r>
        <w:rPr>
          <w:rFonts w:ascii="Helvetica" w:hAnsi="Helvetica"/>
          <w:rtl w:val="0"/>
          <w:lang w:val="en-US"/>
        </w:rPr>
        <w:t xml:space="preserve">s sparse supermatrix approach with 18 taxa of Oreophryne falling out in various places within a much larger phylogeny, but both of these lacked strong nodal support connecting the hypothesized clades to the backbone of the phylogeny. The polyphyletic nature of </w:t>
      </w:r>
      <w:r>
        <w:rPr>
          <w:rStyle w:val="None"/>
          <w:rFonts w:ascii="Helvetica" w:hAnsi="Helvetica"/>
          <w:i w:val="1"/>
          <w:iCs w:val="1"/>
          <w:rtl w:val="0"/>
          <w:lang w:val="en-US"/>
        </w:rPr>
        <w:t>Oreophryne</w:t>
      </w:r>
      <w:r>
        <w:rPr>
          <w:rFonts w:ascii="Helvetica" w:hAnsi="Helvetica"/>
          <w:rtl w:val="0"/>
          <w:lang w:val="en-US"/>
        </w:rPr>
        <w:t xml:space="preserve"> sensu lato was not clearly demonstrated until Hill et. al (2022, 2023b) included 44 taxa of </w:t>
      </w:r>
      <w:r>
        <w:rPr>
          <w:rStyle w:val="None"/>
          <w:rFonts w:ascii="Helvetica" w:hAnsi="Helvetica"/>
          <w:i w:val="1"/>
          <w:iCs w:val="1"/>
          <w:rtl w:val="0"/>
          <w:lang w:val="en-US"/>
        </w:rPr>
        <w:t>Oreophryne</w:t>
      </w:r>
      <w:r>
        <w:rPr>
          <w:rFonts w:ascii="Helvetica" w:hAnsi="Helvetica"/>
          <w:rtl w:val="0"/>
          <w:lang w:val="en-US"/>
        </w:rPr>
        <w:t xml:space="preserve"> with complete data sampling within a 218 taxon phylogeny of Asterophryinae. This phylogeny is the most complete and robust phylogeny to date. The two clades, labeled </w:t>
      </w:r>
      <w:r>
        <w:rPr>
          <w:rFonts w:ascii="Helvetica" w:hAnsi="Helvetica" w:hint="default"/>
          <w:rtl w:val="0"/>
          <w:lang w:val="en-US"/>
        </w:rPr>
        <w:t>“</w:t>
      </w:r>
      <w:r>
        <w:rPr>
          <w:rFonts w:ascii="Helvetica" w:hAnsi="Helvetica"/>
          <w:rtl w:val="0"/>
          <w:lang w:val="en-US"/>
        </w:rPr>
        <w:t>Oreophryne A</w:t>
      </w:r>
      <w:r>
        <w:rPr>
          <w:rFonts w:ascii="Helvetica" w:hAnsi="Helvetica" w:hint="default"/>
          <w:rtl w:val="0"/>
          <w:lang w:val="en-US"/>
        </w:rPr>
        <w:t xml:space="preserve">” </w:t>
      </w:r>
      <w:r>
        <w:rPr>
          <w:rFonts w:ascii="Helvetica" w:hAnsi="Helvetica"/>
          <w:rtl w:val="0"/>
          <w:lang w:val="en-US"/>
        </w:rPr>
        <w:t xml:space="preserve">and </w:t>
      </w:r>
      <w:r>
        <w:rPr>
          <w:rFonts w:ascii="Helvetica" w:hAnsi="Helvetica" w:hint="default"/>
          <w:rtl w:val="0"/>
          <w:lang w:val="en-US"/>
        </w:rPr>
        <w:t>“</w:t>
      </w:r>
      <w:r>
        <w:rPr>
          <w:rFonts w:ascii="Helvetica" w:hAnsi="Helvetica"/>
          <w:rtl w:val="0"/>
          <w:lang w:val="en-US"/>
        </w:rPr>
        <w:t>Oreophryne B</w:t>
      </w:r>
      <w:r>
        <w:rPr>
          <w:rFonts w:ascii="Helvetica" w:hAnsi="Helvetica" w:hint="default"/>
          <w:rtl w:val="0"/>
          <w:lang w:val="en-US"/>
        </w:rPr>
        <w:t xml:space="preserve">” </w:t>
      </w:r>
      <w:r>
        <w:rPr>
          <w:rFonts w:ascii="Helvetica" w:hAnsi="Helvetica"/>
          <w:rtl w:val="0"/>
          <w:lang w:val="en-US"/>
        </w:rPr>
        <w:t xml:space="preserve">have deep histories of ~ 18MY and ~16MY, respectively, with </w:t>
      </w:r>
      <w:r>
        <w:rPr>
          <w:rFonts w:ascii="Helvetica" w:hAnsi="Helvetica" w:hint="default"/>
          <w:rtl w:val="0"/>
          <w:lang w:val="en-US"/>
        </w:rPr>
        <w:t>“</w:t>
      </w:r>
      <w:r>
        <w:rPr>
          <w:rFonts w:ascii="Helvetica" w:hAnsi="Helvetica"/>
          <w:rtl w:val="0"/>
          <w:lang w:val="en-US"/>
        </w:rPr>
        <w:t>Oreophryne A</w:t>
      </w:r>
      <w:r>
        <w:rPr>
          <w:rFonts w:ascii="Helvetica" w:hAnsi="Helvetica" w:hint="default"/>
          <w:rtl w:val="0"/>
          <w:lang w:val="en-US"/>
        </w:rPr>
        <w:t xml:space="preserve">” </w:t>
      </w:r>
      <w:r>
        <w:rPr>
          <w:rFonts w:ascii="Helvetica" w:hAnsi="Helvetica"/>
          <w:rtl w:val="0"/>
          <w:lang w:val="en-US"/>
        </w:rPr>
        <w:t>most basal to the rest of the subfamily.</w:t>
      </w:r>
      <w:bookmarkEnd w:id="2"/>
    </w:p>
    <w:p>
      <w:pPr>
        <w:pStyle w:val="Heading 1"/>
        <w:spacing w:before="0" w:after="0"/>
        <w:jc w:val="center"/>
        <w:rPr>
          <w:rStyle w:val="None"/>
          <w:smallCaps w:val="1"/>
        </w:rPr>
      </w:pPr>
      <w:bookmarkStart w:name="materialsandmethods" w:id="3"/>
      <w:r>
        <w:rPr>
          <w:rStyle w:val="None"/>
          <w:smallCaps w:val="1"/>
          <w:rtl w:val="0"/>
          <w:lang w:val="en-US"/>
        </w:rPr>
        <w:t>Materials and Methods</w:t>
      </w:r>
      <w:bookmarkEnd w:id="3"/>
    </w:p>
    <w:p>
      <w:pPr>
        <w:pStyle w:val="Heading 2"/>
        <w:spacing w:before="0" w:after="0"/>
        <w:rPr>
          <w:rFonts w:ascii="Helvetica" w:cs="Helvetica" w:hAnsi="Helvetica" w:eastAsia="Helvetica"/>
        </w:rPr>
      </w:pPr>
    </w:p>
    <w:p>
      <w:pPr>
        <w:pStyle w:val="Heading 2"/>
        <w:spacing w:before="0" w:after="0" w:line="480" w:lineRule="auto"/>
        <w:jc w:val="center"/>
        <w:rPr>
          <w:rFonts w:ascii="Helvetica" w:cs="Helvetica" w:hAnsi="Helvetica" w:eastAsia="Helvetica"/>
        </w:rPr>
      </w:pPr>
      <w:bookmarkStart w:name="taxonsampling" w:id="4"/>
      <w:r>
        <w:rPr>
          <w:rFonts w:ascii="Helvetica" w:hAnsi="Helvetica"/>
          <w:rtl w:val="0"/>
          <w:lang w:val="en-US"/>
        </w:rPr>
        <w:t>Taxon Sampling</w:t>
      </w:r>
    </w:p>
    <w:p>
      <w:pPr>
        <w:pStyle w:val="First Paragraph"/>
        <w:spacing w:before="0" w:after="0"/>
      </w:pPr>
      <w:r>
        <w:rPr>
          <w:rtl w:val="0"/>
        </w:rPr>
        <w:tab/>
        <w:t xml:space="preserve">Asterophryinae is an adaptive radiation with short branch lengths along the backbone separating generic-level taxa (Rivera et al. 2017; Hill et al. 2022, 2023b), we reconstruct the phylogeny of </w:t>
      </w:r>
      <w:r>
        <w:rPr>
          <w:rStyle w:val="None"/>
          <w:i w:val="1"/>
          <w:iCs w:val="1"/>
          <w:rtl w:val="0"/>
          <w:lang w:val="en-US"/>
        </w:rPr>
        <w:t>Oreophryne</w:t>
      </w:r>
      <w:r>
        <w:rPr>
          <w:rtl w:val="0"/>
          <w:lang w:val="en-US"/>
        </w:rPr>
        <w:t xml:space="preserve"> sensu lato within the larger context of the subfamily. We include 30 species and 18 unnamed taxa of </w:t>
      </w:r>
      <w:r>
        <w:rPr>
          <w:rStyle w:val="None"/>
          <w:i w:val="1"/>
          <w:iCs w:val="1"/>
          <w:rtl w:val="0"/>
          <w:lang w:val="en-US"/>
        </w:rPr>
        <w:t>Oreophryne</w:t>
      </w:r>
      <w:r>
        <w:rPr>
          <w:rtl w:val="0"/>
          <w:lang w:val="en-US"/>
        </w:rPr>
        <w:t xml:space="preserve"> sensu lato within a larger dataset of 234 samples of 203 taxa of Asterophryinae collected across New Guinea, the Philippines, and Indonesia with three outgroup species to root the phylogeny (</w:t>
      </w:r>
      <w:r>
        <w:rPr>
          <w:rStyle w:val="None"/>
          <w:i w:val="1"/>
          <w:iCs w:val="1"/>
          <w:rtl w:val="0"/>
          <w:lang w:val="en-US"/>
        </w:rPr>
        <w:t>Dyscophus antongilii</w:t>
      </w:r>
      <w:r>
        <w:rPr>
          <w:rtl w:val="0"/>
          <w:lang w:val="en-US"/>
        </w:rPr>
        <w:t xml:space="preserve">, </w:t>
      </w:r>
      <w:r>
        <w:rPr>
          <w:rStyle w:val="None"/>
          <w:i w:val="1"/>
          <w:iCs w:val="1"/>
          <w:rtl w:val="0"/>
          <w:lang w:val="en-US"/>
        </w:rPr>
        <w:t>Scaphiophryne marmorata</w:t>
      </w:r>
      <w:r>
        <w:rPr>
          <w:rtl w:val="0"/>
          <w:lang w:val="en-US"/>
        </w:rPr>
        <w:t xml:space="preserve">, and </w:t>
      </w:r>
      <w:r>
        <w:rPr>
          <w:rStyle w:val="None"/>
          <w:i w:val="1"/>
          <w:iCs w:val="1"/>
          <w:rtl w:val="0"/>
          <w:lang w:val="en-US"/>
        </w:rPr>
        <w:t>Platypelis grandis</w:t>
      </w:r>
      <w:r>
        <w:rPr>
          <w:rtl w:val="0"/>
          <w:lang w:val="en-US"/>
        </w:rPr>
        <w:t xml:space="preserve">). Importantly, we include the type species </w:t>
      </w:r>
      <w:r>
        <w:rPr>
          <w:rStyle w:val="None"/>
          <w:i w:val="1"/>
          <w:iCs w:val="1"/>
          <w:rtl w:val="0"/>
          <w:lang w:val="en-US"/>
        </w:rPr>
        <w:t>Oreophryne senckenbergiana</w:t>
      </w:r>
      <w:r>
        <w:rPr>
          <w:rtl w:val="0"/>
          <w:lang w:val="en-US"/>
        </w:rPr>
        <w:t xml:space="preserve"> (Boettger 1895) in a molecular phylogeny for the first time. The samples were collected in Halmahera, North Maluku Province, Indonesia by Iqbal Setiadi , </w:t>
      </w:r>
      <w:r>
        <w:rPr>
          <w:rStyle w:val="Hyperlink.0"/>
        </w:rPr>
        <w:fldChar w:fldCharType="begin" w:fldLock="0"/>
      </w:r>
      <w:r>
        <w:rPr>
          <w:rStyle w:val="Hyperlink.0"/>
        </w:rPr>
        <w:instrText xml:space="preserve"> HYPERLINK \l "bookmark1" </w:instrText>
      </w:r>
      <w:r>
        <w:rPr>
          <w:rStyle w:val="Hyperlink.0"/>
        </w:rPr>
        <w:fldChar w:fldCharType="separate" w:fldLock="0"/>
      </w:r>
      <w:r>
        <w:rPr>
          <w:rStyle w:val="Hyperlink.0"/>
          <w:rtl w:val="0"/>
          <w:lang w:val="en-US"/>
        </w:rPr>
        <w:t>Table</w:t>
      </w:r>
      <w:r>
        <w:rPr>
          <w:rStyle w:val="Hyperlink.0"/>
          <w:rtl w:val="0"/>
          <w:lang w:val="en-US"/>
        </w:rPr>
        <w:t> </w:t>
      </w:r>
      <w:r>
        <w:rPr>
          <w:rStyle w:val="Hyperlink.0"/>
          <w:rtl w:val="0"/>
          <w:lang w:val="en-US"/>
        </w:rPr>
        <w:t>1</w:t>
      </w:r>
      <w:r>
        <w:rPr/>
        <w:fldChar w:fldCharType="end" w:fldLock="0"/>
      </w:r>
      <w:r>
        <w:rPr>
          <w:rtl w:val="0"/>
          <w:lang w:val="en-US"/>
        </w:rPr>
        <w:t xml:space="preserve">, near the type locality for </w:t>
      </w:r>
      <w:r>
        <w:rPr>
          <w:rStyle w:val="None"/>
          <w:i w:val="1"/>
          <w:iCs w:val="1"/>
          <w:rtl w:val="0"/>
          <w:lang w:val="en-US"/>
        </w:rPr>
        <w:t>O. senkenbergiana</w:t>
      </w:r>
      <w:r>
        <w:rPr>
          <w:rtl w:val="0"/>
          <w:lang w:val="en-US"/>
        </w:rPr>
        <w:t xml:space="preserve"> (Halmahera, Indonesia as documented by Boettger 1895).</w:t>
      </w:r>
    </w:p>
    <w:p>
      <w:pPr>
        <w:pStyle w:val="First Paragraph"/>
        <w:widowControl w:val="0"/>
        <w:spacing w:line="240" w:lineRule="auto"/>
      </w:pPr>
      <w:bookmarkEnd w:id="4"/>
      <w:r>
        <w:rPr>
          <w:rFonts w:ascii="Arial Unicode MS" w:cs="Arial Unicode MS" w:hAnsi="Arial Unicode MS" w:eastAsia="Arial Unicode MS"/>
          <w:b w:val="0"/>
          <w:bCs w:val="0"/>
          <w:i w:val="0"/>
          <w:iCs w:val="0"/>
        </w:rPr>
        <w:br w:type="page"/>
      </w:r>
    </w:p>
    <w:p>
      <w:pPr>
        <w:pStyle w:val="heading 4"/>
        <w:keepNext w:val="0"/>
        <w:keepLines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before="0" w:after="0"/>
        <w:outlineLvl w:val="9"/>
        <w:rPr>
          <w:i w:val="0"/>
          <w:iCs w:val="0"/>
          <w:outline w:val="0"/>
          <w:color w:val="000000"/>
          <w:u w:color="000000"/>
          <w14:textOutline w14:w="12700" w14:cap="flat">
            <w14:noFill/>
            <w14:miter w14:lim="400000"/>
          </w14:textOutline>
          <w14:textFill>
            <w14:solidFill>
              <w14:srgbClr w14:val="000000"/>
            </w14:solidFill>
          </w14:textFill>
        </w:rPr>
      </w:pPr>
    </w:p>
    <w:tbl>
      <w:tblPr>
        <w:tblW w:w="9417"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39"/>
        <w:gridCol w:w="2923"/>
        <w:gridCol w:w="3254"/>
        <w:gridCol w:w="1901"/>
      </w:tblGrid>
      <w:tr>
        <w:tblPrEx>
          <w:shd w:val="clear" w:color="auto" w:fill="156082"/>
        </w:tblPrEx>
        <w:trPr>
          <w:trHeight w:val="805" w:hRule="atLeast"/>
          <w:tblHeader/>
        </w:trPr>
        <w:tc>
          <w:tcPr>
            <w:tcW w:type="dxa" w:w="9417"/>
            <w:gridSpan w:val="4"/>
            <w:tcBorders>
              <w:top w:val="nil"/>
              <w:left w:val="nil"/>
              <w:bottom w:val="single" w:color="000000" w:sz="12" w:space="0" w:shadow="0" w:frame="0"/>
              <w:right w:val="nil"/>
            </w:tcBorders>
            <w:shd w:val="clear" w:color="auto" w:fill="ffffff"/>
            <w:tcMar>
              <w:top w:type="dxa" w:w="80"/>
              <w:left w:type="dxa" w:w="120"/>
              <w:bottom w:type="dxa" w:w="80"/>
              <w:right w:type="dxa" w:w="120"/>
            </w:tcMar>
            <w:vAlign w:val="bottom"/>
          </w:tcPr>
          <w:p>
            <w:pPr>
              <w:pStyle w:val="heading 4"/>
              <w:keepNext w:val="0"/>
              <w:keepLines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before="40" w:line="480" w:lineRule="auto"/>
              <w:ind w:left="40" w:right="40" w:firstLine="0"/>
              <w:outlineLvl w:val="9"/>
            </w:pPr>
            <w:r>
              <w:rPr>
                <w:rStyle w:val="None"/>
                <w:i w:val="0"/>
                <w:iCs w:val="0"/>
                <w:smallCaps w:val="1"/>
                <w:outline w:val="0"/>
                <w:color w:val="666666"/>
                <w:sz w:val="22"/>
                <w:szCs w:val="22"/>
                <w:u w:color="666666"/>
                <w:shd w:val="nil" w:color="auto" w:fill="auto"/>
                <w:rtl w:val="0"/>
                <w:lang w:val="fr-FR"/>
                <w14:textOutline w14:w="12700" w14:cap="flat">
                  <w14:noFill/>
                  <w14:miter w14:lim="400000"/>
                </w14:textOutline>
                <w14:textFill>
                  <w14:solidFill>
                    <w14:srgbClr w14:val="666666"/>
                  </w14:solidFill>
                </w14:textFill>
              </w:rPr>
              <w:t>Table 1</w:t>
            </w: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 xml:space="preserve">. </w:t>
            </w: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 xml:space="preserve">— </w:t>
            </w: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Locality information for samples sequenced in this study. See Hill, et al., 2023, Table 1 for additional metadata.</w:t>
            </w:r>
          </w:p>
        </w:tc>
      </w:tr>
      <w:tr>
        <w:tblPrEx>
          <w:shd w:val="clear" w:color="auto" w:fill="156082"/>
        </w:tblPrEx>
        <w:trPr>
          <w:trHeight w:val="870" w:hRule="atLeast"/>
          <w:tblHeader/>
        </w:trPr>
        <w:tc>
          <w:tcPr>
            <w:tcW w:type="dxa" w:w="1339"/>
            <w:tcBorders>
              <w:top w:val="single" w:color="000000" w:sz="12" w:space="0" w:shadow="0" w:frame="0"/>
              <w:left w:val="nil"/>
              <w:bottom w:val="single" w:color="666666" w:sz="12" w:space="0" w:shadow="0" w:frame="0"/>
              <w:right w:val="nil"/>
            </w:tcBorders>
            <w:shd w:val="clear" w:color="auto" w:fill="ffffff"/>
            <w:tcMar>
              <w:top w:type="dxa" w:w="80"/>
              <w:left w:type="dxa" w:w="120"/>
              <w:bottom w:type="dxa" w:w="80"/>
              <w:right w:type="dxa" w:w="120"/>
            </w:tcMar>
            <w:vAlign w:val="bottom"/>
          </w:tcPr>
          <w:p>
            <w:pPr>
              <w:pStyle w:val="heading 4"/>
              <w:keepNext w:val="0"/>
              <w:keepLines w:val="0"/>
              <w:tabs>
                <w:tab w:val="left" w:pos="708"/>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ID</w:t>
            </w:r>
          </w:p>
        </w:tc>
        <w:tc>
          <w:tcPr>
            <w:tcW w:type="dxa" w:w="2923"/>
            <w:tcBorders>
              <w:top w:val="single" w:color="000000" w:sz="12" w:space="0" w:shadow="0" w:frame="0"/>
              <w:left w:val="nil"/>
              <w:bottom w:val="single" w:color="666666" w:sz="12" w:space="0" w:shadow="0" w:frame="0"/>
              <w:right w:val="nil"/>
            </w:tcBorders>
            <w:shd w:val="clear" w:color="auto" w:fill="ffffff"/>
            <w:tcMar>
              <w:top w:type="dxa" w:w="80"/>
              <w:left w:type="dxa" w:w="120"/>
              <w:bottom w:type="dxa" w:w="80"/>
              <w:right w:type="dxa" w:w="120"/>
            </w:tcMar>
            <w:vAlign w:val="bottom"/>
          </w:tcPr>
          <w:p>
            <w:pPr>
              <w:pStyle w:val="heading 4"/>
              <w:keepNext w:val="0"/>
              <w:keepLines w:val="0"/>
              <w:tabs>
                <w:tab w:val="left" w:pos="708"/>
                <w:tab w:val="left" w:pos="1416"/>
                <w:tab w:val="left" w:pos="2124"/>
                <w:tab w:val="left" w:pos="2832"/>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Species</w:t>
            </w:r>
          </w:p>
        </w:tc>
        <w:tc>
          <w:tcPr>
            <w:tcW w:type="dxa" w:w="3254"/>
            <w:tcBorders>
              <w:top w:val="single" w:color="000000" w:sz="12" w:space="0" w:shadow="0" w:frame="0"/>
              <w:left w:val="nil"/>
              <w:bottom w:val="single" w:color="666666" w:sz="12" w:space="0" w:shadow="0" w:frame="0"/>
              <w:right w:val="nil"/>
            </w:tcBorders>
            <w:shd w:val="clear" w:color="auto" w:fill="ffffff"/>
            <w:tcMar>
              <w:top w:type="dxa" w:w="80"/>
              <w:left w:type="dxa" w:w="120"/>
              <w:bottom w:type="dxa" w:w="80"/>
              <w:right w:type="dxa" w:w="120"/>
            </w:tcMar>
            <w:vAlign w:val="bottom"/>
          </w:tcPr>
          <w:p>
            <w:pPr>
              <w:pStyle w:val="heading 4"/>
              <w:keepNext w:val="0"/>
              <w:keepLines w:val="0"/>
              <w:tabs>
                <w:tab w:val="left" w:pos="708"/>
                <w:tab w:val="left" w:pos="1416"/>
                <w:tab w:val="left" w:pos="2124"/>
                <w:tab w:val="left" w:pos="2832"/>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Locality</w:t>
            </w:r>
          </w:p>
        </w:tc>
        <w:tc>
          <w:tcPr>
            <w:tcW w:type="dxa" w:w="1901"/>
            <w:tcBorders>
              <w:top w:val="single" w:color="000000" w:sz="12" w:space="0" w:shadow="0" w:frame="0"/>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Latitude, Longitude</w:t>
            </w:r>
          </w:p>
        </w:tc>
      </w:tr>
      <w:tr>
        <w:tblPrEx>
          <w:shd w:val="clear" w:color="auto" w:fill="cad1d7"/>
        </w:tblPrEx>
        <w:trPr>
          <w:trHeight w:val="1375" w:hRule="atLeast"/>
        </w:trPr>
        <w:tc>
          <w:tcPr>
            <w:tcW w:type="dxa" w:w="1339"/>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BJE01143</w:t>
            </w:r>
          </w:p>
        </w:tc>
        <w:tc>
          <w:tcPr>
            <w:tcW w:type="dxa" w:w="2923"/>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s>
              <w:spacing w:before="40" w:line="480" w:lineRule="auto"/>
              <w:ind w:left="40" w:right="40" w:firstLine="0"/>
              <w:outlineLvl w:val="9"/>
            </w:pPr>
            <w:r>
              <w:rPr>
                <w:rStyle w:val="None"/>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Oreophryne senckenbergiana</w:t>
            </w:r>
          </w:p>
        </w:tc>
        <w:tc>
          <w:tcPr>
            <w:tcW w:type="dxa" w:w="3254"/>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Kabupaten Halmahera Utara,</w:t>
            </w:r>
            <w:r>
              <w:rPr>
                <w:rStyle w:val="None"/>
                <w:i w:val="0"/>
                <w:iCs w:val="0"/>
                <w:outline w:val="0"/>
                <w:color w:val="666666"/>
                <w:sz w:val="22"/>
                <w:szCs w:val="22"/>
                <w:u w:color="666666"/>
                <w:shd w:val="nil" w:color="auto" w:fill="auto"/>
                <w:lang w:val="en-US"/>
                <w14:textOutline w14:w="12700" w14:cap="flat">
                  <w14:noFill/>
                  <w14:miter w14:lim="400000"/>
                </w14:textOutline>
                <w14:textFill>
                  <w14:solidFill>
                    <w14:srgbClr w14:val="666666"/>
                  </w14:solidFill>
                </w14:textFill>
              </w:rPr>
              <w:br w:type="textWrapping"/>
            </w: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Halmahera Island, North Maluku</w:t>
            </w:r>
          </w:p>
        </w:tc>
        <w:tc>
          <w:tcPr>
            <w:tcW w:type="dxa" w:w="1901"/>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1.7899, 127.8910</w:t>
            </w:r>
          </w:p>
        </w:tc>
      </w:tr>
      <w:tr>
        <w:tblPrEx>
          <w:shd w:val="clear" w:color="auto" w:fill="cad1d7"/>
        </w:tblPrEx>
        <w:trPr>
          <w:trHeight w:val="1320" w:hRule="atLeast"/>
        </w:trPr>
        <w:tc>
          <w:tcPr>
            <w:tcW w:type="dxa" w:w="1339"/>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BJE01144</w:t>
            </w:r>
          </w:p>
        </w:tc>
        <w:tc>
          <w:tcPr>
            <w:tcW w:type="dxa" w:w="2923"/>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s>
              <w:spacing w:before="40" w:line="480" w:lineRule="auto"/>
              <w:ind w:left="40" w:right="40" w:firstLine="0"/>
              <w:outlineLvl w:val="9"/>
            </w:pPr>
            <w:r>
              <w:rPr>
                <w:rStyle w:val="None"/>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Oreophryne senckenbergiana</w:t>
            </w:r>
          </w:p>
        </w:tc>
        <w:tc>
          <w:tcPr>
            <w:tcW w:type="dxa" w:w="3254"/>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Kabupaten Halmahera Utara,</w:t>
            </w:r>
            <w:r>
              <w:rPr>
                <w:rStyle w:val="None"/>
                <w:i w:val="0"/>
                <w:iCs w:val="0"/>
                <w:outline w:val="0"/>
                <w:color w:val="666666"/>
                <w:sz w:val="22"/>
                <w:szCs w:val="22"/>
                <w:u w:color="666666"/>
                <w:shd w:val="nil" w:color="auto" w:fill="auto"/>
                <w:lang w:val="en-US"/>
                <w14:textOutline w14:w="12700" w14:cap="flat">
                  <w14:noFill/>
                  <w14:miter w14:lim="400000"/>
                </w14:textOutline>
                <w14:textFill>
                  <w14:solidFill>
                    <w14:srgbClr w14:val="666666"/>
                  </w14:solidFill>
                </w14:textFill>
              </w:rPr>
              <w:br w:type="textWrapping"/>
            </w: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Halmahera Island, North Maluku</w:t>
            </w:r>
          </w:p>
        </w:tc>
        <w:tc>
          <w:tcPr>
            <w:tcW w:type="dxa" w:w="1901"/>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1.7899, 127.8910</w:t>
            </w:r>
          </w:p>
        </w:tc>
      </w:tr>
      <w:tr>
        <w:tblPrEx>
          <w:shd w:val="clear" w:color="auto" w:fill="cad1d7"/>
        </w:tblPrEx>
        <w:trPr>
          <w:trHeight w:val="1325" w:hRule="atLeast"/>
        </w:trPr>
        <w:tc>
          <w:tcPr>
            <w:tcW w:type="dxa" w:w="1339"/>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BJE01120</w:t>
            </w:r>
          </w:p>
        </w:tc>
        <w:tc>
          <w:tcPr>
            <w:tcW w:type="dxa" w:w="2923"/>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s>
              <w:spacing w:before="40" w:line="480" w:lineRule="auto"/>
              <w:ind w:left="40" w:right="40" w:firstLine="0"/>
              <w:outlineLvl w:val="9"/>
            </w:pPr>
            <w:r>
              <w:rPr>
                <w:rStyle w:val="None"/>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Oreophryne senckenbergiana</w:t>
            </w:r>
          </w:p>
        </w:tc>
        <w:tc>
          <w:tcPr>
            <w:tcW w:type="dxa" w:w="3254"/>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Kabupaten Halmahera Utara,</w:t>
            </w:r>
            <w:r>
              <w:rPr>
                <w:rStyle w:val="None"/>
                <w:i w:val="0"/>
                <w:iCs w:val="0"/>
                <w:outline w:val="0"/>
                <w:color w:val="666666"/>
                <w:sz w:val="22"/>
                <w:szCs w:val="22"/>
                <w:u w:color="666666"/>
                <w:shd w:val="nil" w:color="auto" w:fill="auto"/>
                <w:lang w:val="en-US"/>
                <w14:textOutline w14:w="12700" w14:cap="flat">
                  <w14:noFill/>
                  <w14:miter w14:lim="400000"/>
                </w14:textOutline>
                <w14:textFill>
                  <w14:solidFill>
                    <w14:srgbClr w14:val="666666"/>
                  </w14:solidFill>
                </w14:textFill>
              </w:rPr>
              <w:br w:type="textWrapping"/>
            </w: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Halmahera Island, North Maluku</w:t>
            </w:r>
          </w:p>
        </w:tc>
        <w:tc>
          <w:tcPr>
            <w:tcW w:type="dxa" w:w="1901"/>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1.8228, 127.8300</w:t>
            </w:r>
          </w:p>
        </w:tc>
      </w:tr>
    </w:tbl>
    <w:p>
      <w:pPr>
        <w:pStyle w:val="heading 4"/>
        <w:keepNext w:val="0"/>
        <w:keepLines w:val="0"/>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before="0" w:after="0"/>
        <w:ind w:left="216" w:hanging="216"/>
        <w:jc w:val="center"/>
        <w:outlineLvl w:val="9"/>
        <w:rPr>
          <w:i w:val="0"/>
          <w:iCs w:val="0"/>
          <w:outline w:val="0"/>
          <w:color w:val="000000"/>
          <w:u w:color="000000"/>
          <w14:textOutline w14:w="12700" w14:cap="flat">
            <w14:noFill/>
            <w14:miter w14:lim="400000"/>
          </w14:textOutline>
          <w14:textFill>
            <w14:solidFill>
              <w14:srgbClr w14:val="000000"/>
            </w14:solidFill>
          </w14:textFill>
        </w:rPr>
      </w:pPr>
    </w:p>
    <w:p>
      <w:pPr>
        <w:pStyle w:val="heading 4"/>
        <w:keepNext w:val="0"/>
        <w:keepLines w:val="0"/>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before="0" w:after="0"/>
        <w:ind w:left="108" w:hanging="108"/>
        <w:jc w:val="center"/>
        <w:outlineLvl w:val="9"/>
        <w:rPr>
          <w:i w:val="0"/>
          <w:iCs w:val="0"/>
          <w:outline w:val="0"/>
          <w:color w:val="000000"/>
          <w:u w:color="000000"/>
          <w14:textOutline w14:w="12700" w14:cap="flat">
            <w14:noFill/>
            <w14:miter w14:lim="400000"/>
          </w14:textOutline>
          <w14:textFill>
            <w14:solidFill>
              <w14:srgbClr w14:val="000000"/>
            </w14:solidFill>
          </w14:textFill>
        </w:rPr>
      </w:pPr>
    </w:p>
    <w:p>
      <w:pPr>
        <w:pStyle w:val="heading 4"/>
        <w:keepNext w:val="0"/>
        <w:keepLines w:val="0"/>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before="0" w:after="0"/>
        <w:ind w:left="108" w:hanging="108"/>
        <w:jc w:val="center"/>
        <w:outlineLvl w:val="9"/>
        <w:rPr>
          <w:i w:val="0"/>
          <w:iCs w:val="0"/>
          <w:outline w:val="0"/>
          <w:color w:val="000000"/>
          <w:u w:color="000000"/>
          <w14:textOutline w14:w="12700" w14:cap="flat">
            <w14:noFill/>
            <w14:miter w14:lim="400000"/>
          </w14:textOutline>
          <w14:textFill>
            <w14:solidFill>
              <w14:srgbClr w14:val="000000"/>
            </w14:solidFill>
          </w14:textFill>
        </w:rPr>
      </w:pPr>
    </w:p>
    <w:p>
      <w:pPr>
        <w:pStyle w:val="Heading 3"/>
        <w:jc w:val="center"/>
      </w:pPr>
      <w:r>
        <w:rPr>
          <w:rFonts w:ascii="Arial Unicode MS" w:cs="Arial Unicode MS" w:hAnsi="Arial Unicode MS" w:eastAsia="Arial Unicode MS"/>
          <w:b w:val="0"/>
          <w:bCs w:val="0"/>
          <w:i w:val="0"/>
          <w:iCs w:val="0"/>
        </w:rPr>
        <w:br w:type="page"/>
      </w:r>
    </w:p>
    <w:p>
      <w:pPr>
        <w:pStyle w:val="Heading 3"/>
        <w:spacing w:before="0" w:after="0" w:line="480" w:lineRule="auto"/>
        <w:jc w:val="center"/>
        <w:rPr>
          <w:rFonts w:ascii="Helvetica" w:cs="Helvetica" w:hAnsi="Helvetica" w:eastAsia="Helvetica"/>
        </w:rPr>
      </w:pPr>
      <w:bookmarkStart w:name="molecularsequence" w:id="5"/>
      <w:r>
        <w:rPr>
          <w:rStyle w:val="None"/>
          <w:rFonts w:ascii="Helvetica" w:hAnsi="Helvetica"/>
          <w:rtl w:val="0"/>
          <w:lang w:val="en-US"/>
        </w:rPr>
        <w:t>Molecular Sequence</w:t>
      </w:r>
    </w:p>
    <w:p>
      <w:pPr>
        <w:pStyle w:val="First Paragraph"/>
        <w:spacing w:before="0" w:after="0"/>
      </w:pPr>
      <w:r>
        <w:rPr>
          <w:rtl w:val="0"/>
        </w:rPr>
        <w:tab/>
        <w:t xml:space="preserve">We obtained nearly complete DNA sequence data for five loci (three nuclear: Seventh in Absentia [SIA], Brain Derived Neurotrophic Factor [BDNF], Sodium Calcium Exchange subunit-1 [NXC-1], and two mitochondrial loci (Cytochrome oxidase b [CYTB], and NADH dehydrogenase subunit 4 [ND4] from four samples of two taxa not previously sequenced and combined these with previously published data (Rivera et al. 2017; Hill et al. 2022, 2023b) for an alignment of 240 samples with 207 taxa and 2475 base pairs that is 96% complete. All loci were complete for the added samples. Sequence quality was evaluated using chromatogram quality scores, checks for stop codons indicating pseudogenes, BLAST search (Ye et al. 2012), and concordance of pairwise similarity with other Asterophryinae sequences. Primer sequences and detailed methods are provided in (Hill et al. 2023b). We note that we excluded from the previous alignment (Hill et al. 2022, 2023b) two samples of </w:t>
      </w:r>
      <w:r>
        <w:rPr>
          <w:rStyle w:val="None"/>
          <w:i w:val="1"/>
          <w:iCs w:val="1"/>
          <w:rtl w:val="0"/>
          <w:lang w:val="en-US"/>
        </w:rPr>
        <w:t>Aphantophryne pansa</w:t>
      </w:r>
      <w:r>
        <w:rPr>
          <w:rtl w:val="0"/>
          <w:lang w:val="en-US"/>
        </w:rPr>
        <w:t xml:space="preserve"> (BPBM 5299 and BPBM 8312) which were deemed unreliable as they came from formalin-fixed material, and three samples that should be confirmed with new material (BPBM 22708 </w:t>
      </w:r>
      <w:r>
        <w:rPr>
          <w:rStyle w:val="None"/>
          <w:i w:val="1"/>
          <w:iCs w:val="1"/>
          <w:rtl w:val="0"/>
          <w:lang w:val="en-US"/>
        </w:rPr>
        <w:t>Copiula tyleri</w:t>
      </w:r>
      <w:r>
        <w:rPr>
          <w:rtl w:val="0"/>
          <w:lang w:val="en-US"/>
        </w:rPr>
        <w:t xml:space="preserve">, BPBM 38939 </w:t>
      </w:r>
      <w:r>
        <w:rPr>
          <w:rStyle w:val="None"/>
          <w:i w:val="1"/>
          <w:iCs w:val="1"/>
          <w:rtl w:val="0"/>
          <w:lang w:val="en-US"/>
        </w:rPr>
        <w:t>Copiula sp. 7</w:t>
      </w:r>
      <w:r>
        <w:rPr>
          <w:rtl w:val="0"/>
          <w:lang w:val="en-US"/>
        </w:rPr>
        <w:t xml:space="preserve">, BPBM 37753 </w:t>
      </w:r>
      <w:r>
        <w:rPr>
          <w:rStyle w:val="None"/>
          <w:i w:val="1"/>
          <w:iCs w:val="1"/>
          <w:rtl w:val="0"/>
          <w:lang w:val="en-US"/>
        </w:rPr>
        <w:t>Paedophryne dekot</w:t>
      </w:r>
      <w:r>
        <w:rPr>
          <w:rtl w:val="0"/>
          <w:lang w:val="en-US"/>
        </w:rPr>
        <w:t xml:space="preserve">). We note that genetic material from 47 species of </w:t>
      </w:r>
      <w:r>
        <w:rPr>
          <w:rStyle w:val="None"/>
          <w:i w:val="1"/>
          <w:iCs w:val="1"/>
          <w:rtl w:val="0"/>
          <w:lang w:val="en-US"/>
        </w:rPr>
        <w:t>Oreophryne</w:t>
      </w:r>
      <w:r>
        <w:rPr>
          <w:rtl w:val="0"/>
          <w:lang w:val="en-US"/>
        </w:rPr>
        <w:t xml:space="preserve"> sensu lato was not available for this molecular diagnosis.</w:t>
      </w:r>
      <w:bookmarkEnd w:id="5"/>
    </w:p>
    <w:p>
      <w:pPr>
        <w:pStyle w:val="Heading 3"/>
        <w:spacing w:before="0" w:after="0" w:line="480" w:lineRule="auto"/>
        <w:jc w:val="center"/>
        <w:rPr>
          <w:rFonts w:ascii="Helvetica" w:cs="Helvetica" w:hAnsi="Helvetica" w:eastAsia="Helvetica"/>
        </w:rPr>
      </w:pPr>
      <w:bookmarkStart w:name="X891284e0a0cb4c95d3f14f43be5136f71288feb" w:id="6"/>
      <w:r>
        <w:rPr>
          <w:rStyle w:val="None"/>
          <w:rFonts w:ascii="Helvetica" w:hAnsi="Helvetica"/>
          <w:rtl w:val="0"/>
          <w:lang w:val="en-US"/>
        </w:rPr>
        <w:t>Morphology, Behavior, and Geographic Distribution</w:t>
      </w:r>
    </w:p>
    <w:p>
      <w:pPr>
        <w:pStyle w:val="First Paragraph"/>
        <w:spacing w:before="0" w:after="0"/>
      </w:pPr>
      <w:r>
        <w:rPr>
          <w:rtl w:val="0"/>
        </w:rPr>
        <w:tab/>
        <w:t>We collected new morphological characters and reexamined traits compiled from the diagnosing literature , character states defined in</w:t>
      </w:r>
      <w:r>
        <w:rPr>
          <w:rtl w:val="0"/>
          <w:lang w:val="en-US"/>
        </w:rPr>
        <w:t> </w:t>
      </w:r>
      <w:r>
        <w:rPr>
          <w:rtl w:val="0"/>
          <w:lang w:val="en-US"/>
        </w:rPr>
        <w:t xml:space="preserve">Table 2 for all named species of </w:t>
      </w:r>
      <w:r>
        <w:rPr>
          <w:rStyle w:val="None"/>
          <w:i w:val="1"/>
          <w:iCs w:val="1"/>
          <w:rtl w:val="0"/>
          <w:lang w:val="en-US"/>
        </w:rPr>
        <w:t>Oreophryne</w:t>
      </w:r>
      <w:r>
        <w:rPr>
          <w:rtl w:val="0"/>
          <w:lang w:val="en-US"/>
        </w:rPr>
        <w:t xml:space="preserve"> in our phylogenetic dataset. Our sample included all species available in the collections of the Bishop Museum, Honolulu, Hawaii (BPBM): thirteen species of </w:t>
      </w:r>
      <w:r>
        <w:rPr>
          <w:rtl w:val="0"/>
          <w:lang w:val="en-US"/>
        </w:rPr>
        <w:t>“</w:t>
      </w:r>
      <w:r>
        <w:rPr>
          <w:rtl w:val="0"/>
          <w:lang w:val="en-US"/>
        </w:rPr>
        <w:t>Oreophryne A</w:t>
      </w:r>
      <w:r>
        <w:rPr>
          <w:rtl w:val="0"/>
          <w:lang w:val="en-US"/>
        </w:rPr>
        <w:t>”</w:t>
      </w:r>
      <w:r>
        <w:rPr>
          <w:rtl w:val="0"/>
          <w:lang w:val="en-US"/>
        </w:rPr>
        <w:t xml:space="preserve">, eight species </w:t>
      </w:r>
      <w:r>
        <w:rPr>
          <w:rtl w:val="0"/>
          <w:lang w:val="en-US"/>
        </w:rPr>
        <w:t>“</w:t>
      </w:r>
      <w:r>
        <w:rPr>
          <w:rtl w:val="0"/>
          <w:lang w:val="en-US"/>
        </w:rPr>
        <w:t>Oreophryne B</w:t>
      </w:r>
      <w:r>
        <w:rPr>
          <w:rtl w:val="0"/>
          <w:lang w:val="en-US"/>
        </w:rPr>
        <w:t xml:space="preserve">” </w:t>
      </w:r>
      <w:r>
        <w:rPr>
          <w:rtl w:val="0"/>
          <w:lang w:val="en-US"/>
        </w:rPr>
        <w:t>(</w:t>
      </w:r>
      <w:r>
        <w:rPr>
          <w:rStyle w:val="Hyperlink.0"/>
        </w:rPr>
        <w:fldChar w:fldCharType="begin" w:fldLock="0"/>
      </w:r>
      <w:r>
        <w:rPr>
          <w:rStyle w:val="Hyperlink.0"/>
        </w:rPr>
        <w:instrText xml:space="preserve"> HYPERLINK \l "bookmark2" </w:instrText>
      </w:r>
      <w:r>
        <w:rPr>
          <w:rStyle w:val="Hyperlink.0"/>
        </w:rPr>
        <w:fldChar w:fldCharType="separate" w:fldLock="0"/>
      </w:r>
      <w:r>
        <w:rPr>
          <w:rStyle w:val="Hyperlink.0"/>
          <w:rtl w:val="0"/>
          <w:lang w:val="en-US"/>
        </w:rPr>
        <w:t>Table</w:t>
      </w:r>
      <w:r>
        <w:rPr>
          <w:rStyle w:val="Hyperlink.0"/>
          <w:rtl w:val="0"/>
          <w:lang w:val="en-US"/>
        </w:rPr>
        <w:t> </w:t>
      </w:r>
      <w:r>
        <w:rPr>
          <w:rStyle w:val="Hyperlink.0"/>
          <w:rtl w:val="0"/>
          <w:lang w:val="en-US"/>
        </w:rPr>
        <w:t>3</w:t>
      </w:r>
      <w:r>
        <w:rPr/>
        <w:fldChar w:fldCharType="end" w:fldLock="0"/>
      </w:r>
      <w:r>
        <w:rPr>
          <w:rtl w:val="0"/>
          <w:lang w:val="en-US"/>
        </w:rPr>
        <w:t xml:space="preserve">). Finger and toe pads were photographed and length and width of the toe tips were measured using ImageJ software. Trait information for the remaining species were gathered from the literature, six species of </w:t>
      </w:r>
      <w:r>
        <w:rPr>
          <w:rtl w:val="0"/>
          <w:lang w:val="en-US"/>
        </w:rPr>
        <w:t>“</w:t>
      </w:r>
      <w:r>
        <w:rPr>
          <w:rtl w:val="0"/>
          <w:lang w:val="en-US"/>
        </w:rPr>
        <w:t>Oreophryne A</w:t>
      </w:r>
      <w:r>
        <w:rPr>
          <w:rtl w:val="0"/>
          <w:lang w:val="en-US"/>
        </w:rPr>
        <w:t xml:space="preserve">” </w:t>
      </w:r>
      <w:r>
        <w:rPr>
          <w:rtl w:val="0"/>
          <w:lang w:val="en-US"/>
        </w:rPr>
        <w:t xml:space="preserve">and one </w:t>
      </w:r>
      <w:r>
        <w:rPr>
          <w:rtl w:val="0"/>
          <w:lang w:val="en-US"/>
        </w:rPr>
        <w:t>“</w:t>
      </w:r>
      <w:r>
        <w:rPr>
          <w:rtl w:val="0"/>
          <w:lang w:val="en-US"/>
        </w:rPr>
        <w:t>Oreophryne B</w:t>
      </w:r>
      <w:r>
        <w:rPr>
          <w:rtl w:val="0"/>
          <w:lang w:val="en-US"/>
        </w:rPr>
        <w:t>”</w:t>
      </w:r>
      <w:r>
        <w:rPr>
          <w:rtl w:val="0"/>
          <w:lang w:val="en-US"/>
        </w:rPr>
        <w:t xml:space="preserve">. In addition, we compiled information on call type from the literature and collection location from the respective collectors or the BPBM database (global positioning coordinates [GPS]; </w:t>
      </w:r>
      <w:r>
        <w:rPr>
          <w:rStyle w:val="Hyperlink.0"/>
        </w:rPr>
        <w:fldChar w:fldCharType="begin" w:fldLock="0"/>
      </w:r>
      <w:r>
        <w:rPr>
          <w:rStyle w:val="Hyperlink.0"/>
        </w:rPr>
        <w:instrText xml:space="preserve"> HYPERLINK \l "bookmark3" </w:instrText>
      </w:r>
      <w:r>
        <w:rPr>
          <w:rStyle w:val="Hyperlink.0"/>
        </w:rPr>
        <w:fldChar w:fldCharType="separate" w:fldLock="0"/>
      </w:r>
      <w:r>
        <w:rPr>
          <w:rStyle w:val="Hyperlink.0"/>
          <w:rtl w:val="0"/>
          <w:lang w:val="en-US"/>
        </w:rPr>
        <w:t>Table</w:t>
      </w:r>
      <w:r>
        <w:rPr>
          <w:rStyle w:val="Hyperlink.0"/>
          <w:rtl w:val="0"/>
          <w:lang w:val="en-US"/>
        </w:rPr>
        <w:t> </w:t>
      </w:r>
      <w:r>
        <w:rPr>
          <w:rStyle w:val="Hyperlink.0"/>
          <w:rtl w:val="0"/>
          <w:lang w:val="en-US"/>
        </w:rPr>
        <w:t>3</w:t>
      </w:r>
      <w:r>
        <w:rPr/>
        <w:fldChar w:fldCharType="end" w:fldLock="0"/>
      </w:r>
      <w:r>
        <w:rPr>
          <w:rtl w:val="0"/>
          <w:lang w:val="en-US"/>
        </w:rPr>
        <w:t>). We examined the ability of morphological and behavioral characters to provide a diagnosis to the genus-level clade consistent with molecular phylogenetics.</w:t>
      </w:r>
    </w:p>
    <w:p>
      <w:pPr>
        <w:pStyle w:val="First Paragraph"/>
        <w:widowControl w:val="0"/>
        <w:spacing w:line="240" w:lineRule="auto"/>
      </w:pPr>
      <w:r>
        <w:rPr>
          <w:rFonts w:ascii="Arial Unicode MS" w:cs="Arial Unicode MS" w:hAnsi="Arial Unicode MS" w:eastAsia="Arial Unicode MS"/>
          <w:b w:val="0"/>
          <w:bCs w:val="0"/>
          <w:i w:val="0"/>
          <w:iCs w:val="0"/>
        </w:rPr>
        <w:br w:type="page"/>
      </w:r>
    </w:p>
    <w:p>
      <w:pPr>
        <w:pStyle w:val="heading 4"/>
        <w:keepNext w:val="0"/>
        <w:keepLines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before="0" w:after="0"/>
        <w:outlineLvl w:val="9"/>
        <w:rPr>
          <w:i w:val="0"/>
          <w:iCs w:val="0"/>
          <w:outline w:val="0"/>
          <w:color w:val="000000"/>
          <w:u w:color="000000"/>
          <w14:textOutline w14:w="12700" w14:cap="flat">
            <w14:noFill/>
            <w14:miter w14:lim="400000"/>
          </w14:textOutline>
          <w14:textFill>
            <w14:solidFill>
              <w14:srgbClr w14:val="000000"/>
            </w14:solidFill>
          </w14:textFill>
        </w:rPr>
      </w:pPr>
    </w:p>
    <w:tbl>
      <w:tblPr>
        <w:tblW w:w="9403"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138"/>
        <w:gridCol w:w="2174"/>
        <w:gridCol w:w="6091"/>
      </w:tblGrid>
      <w:tr>
        <w:tblPrEx>
          <w:shd w:val="clear" w:color="auto" w:fill="cad1d7"/>
        </w:tblPrEx>
        <w:trPr>
          <w:trHeight w:val="1320" w:hRule="atLeast"/>
        </w:trPr>
        <w:tc>
          <w:tcPr>
            <w:tcW w:type="dxa" w:w="9403"/>
            <w:gridSpan w:val="3"/>
            <w:tcBorders>
              <w:top w:val="nil"/>
              <w:left w:val="nil"/>
              <w:bottom w:val="single" w:color="000000" w:sz="8" w:space="0" w:shadow="0" w:frame="0"/>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before="40" w:line="480" w:lineRule="auto"/>
              <w:ind w:left="40" w:right="40" w:firstLine="0"/>
              <w:outlineLvl w:val="9"/>
            </w:pPr>
            <w:r>
              <w:rPr>
                <w:rStyle w:val="None"/>
                <w:i w:val="0"/>
                <w:iCs w:val="0"/>
                <w:smallCaps w:val="1"/>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Table 2.</w:t>
            </w: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 xml:space="preserve"> — </w:t>
            </w: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Description of traits surveyed. Several traits are traditionally noted for Asterophryinae species: presence of two palatal folds, horizontal pupil, and lack of vomerine teeth (Boettger 1895; VanKampen 1923; Parker 1934).</w:t>
            </w:r>
          </w:p>
        </w:tc>
      </w:tr>
      <w:tr>
        <w:tblPrEx>
          <w:shd w:val="clear" w:color="auto" w:fill="cad1d7"/>
        </w:tblPrEx>
        <w:trPr>
          <w:trHeight w:val="325" w:hRule="atLeast"/>
        </w:trPr>
        <w:tc>
          <w:tcPr>
            <w:tcW w:type="dxa" w:w="1138"/>
            <w:tcBorders>
              <w:top w:val="single" w:color="000000" w:sz="8" w:space="0" w:shadow="0" w:frame="0"/>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Column*</w:t>
            </w:r>
          </w:p>
        </w:tc>
        <w:tc>
          <w:tcPr>
            <w:tcW w:type="dxa" w:w="2174"/>
            <w:tcBorders>
              <w:top w:val="single" w:color="000000" w:sz="8" w:space="0" w:shadow="0" w:frame="0"/>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Trait</w:t>
            </w:r>
          </w:p>
        </w:tc>
        <w:tc>
          <w:tcPr>
            <w:tcW w:type="dxa" w:w="6091"/>
            <w:tcBorders>
              <w:top w:val="single" w:color="000000" w:sz="8" w:space="0" w:shadow="0" w:frame="0"/>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Definition</w:t>
            </w:r>
          </w:p>
        </w:tc>
      </w:tr>
      <w:tr>
        <w:tblPrEx>
          <w:shd w:val="clear" w:color="auto" w:fill="cad1d7"/>
        </w:tblPrEx>
        <w:trPr>
          <w:trHeight w:val="855" w:hRule="atLeast"/>
        </w:trPr>
        <w:tc>
          <w:tcPr>
            <w:tcW w:type="dxa" w:w="1138"/>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1</w:t>
            </w:r>
          </w:p>
        </w:tc>
        <w:tc>
          <w:tcPr>
            <w:tcW w:type="dxa" w:w="2174"/>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Procoracoids</w:t>
            </w:r>
          </w:p>
        </w:tc>
        <w:tc>
          <w:tcPr>
            <w:tcW w:type="dxa" w:w="6091"/>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Size and shape of the procoracoid cartilages, CR= curved, reduced</w:t>
            </w:r>
          </w:p>
        </w:tc>
      </w:tr>
      <w:tr>
        <w:tblPrEx>
          <w:shd w:val="clear" w:color="auto" w:fill="cad1d7"/>
        </w:tblPrEx>
        <w:trPr>
          <w:trHeight w:val="299" w:hRule="atLeast"/>
        </w:trPr>
        <w:tc>
          <w:tcPr>
            <w:tcW w:type="dxa" w:w="1138"/>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2</w:t>
            </w:r>
          </w:p>
        </w:tc>
        <w:tc>
          <w:tcPr>
            <w:tcW w:type="dxa" w:w="2174"/>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Clavicles</w:t>
            </w:r>
          </w:p>
        </w:tc>
        <w:tc>
          <w:tcPr>
            <w:tcW w:type="dxa" w:w="6091"/>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Size and shape of the clavicles, CR= curved, reduced</w:t>
            </w:r>
          </w:p>
        </w:tc>
      </w:tr>
      <w:tr>
        <w:tblPrEx>
          <w:shd w:val="clear" w:color="auto" w:fill="cad1d7"/>
        </w:tblPrEx>
        <w:trPr>
          <w:trHeight w:val="296" w:hRule="atLeast"/>
        </w:trPr>
        <w:tc>
          <w:tcPr>
            <w:tcW w:type="dxa" w:w="1138"/>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3</w:t>
            </w:r>
          </w:p>
        </w:tc>
        <w:tc>
          <w:tcPr>
            <w:tcW w:type="dxa" w:w="2174"/>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Omasternum</w:t>
            </w:r>
          </w:p>
        </w:tc>
        <w:tc>
          <w:tcPr>
            <w:tcW w:type="dxa" w:w="6091"/>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Presence (+) or absence (-) of the omasternum</w:t>
            </w:r>
          </w:p>
        </w:tc>
      </w:tr>
      <w:tr>
        <w:tblPrEx>
          <w:shd w:val="clear" w:color="auto" w:fill="cad1d7"/>
        </w:tblPrEx>
        <w:trPr>
          <w:trHeight w:val="301" w:hRule="atLeast"/>
        </w:trPr>
        <w:tc>
          <w:tcPr>
            <w:tcW w:type="dxa" w:w="1138"/>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4</w:t>
            </w:r>
          </w:p>
        </w:tc>
        <w:tc>
          <w:tcPr>
            <w:tcW w:type="dxa" w:w="2174"/>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Sternum</w:t>
            </w:r>
          </w:p>
        </w:tc>
        <w:tc>
          <w:tcPr>
            <w:tcW w:type="dxa" w:w="6091"/>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Cartilaginous sternum or sternal plate</w:t>
            </w:r>
          </w:p>
        </w:tc>
      </w:tr>
      <w:tr>
        <w:tblPrEx>
          <w:shd w:val="clear" w:color="auto" w:fill="cad1d7"/>
        </w:tblPrEx>
        <w:trPr>
          <w:trHeight w:val="300" w:hRule="atLeast"/>
        </w:trPr>
        <w:tc>
          <w:tcPr>
            <w:tcW w:type="dxa" w:w="1138"/>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5</w:t>
            </w:r>
          </w:p>
        </w:tc>
        <w:tc>
          <w:tcPr>
            <w:tcW w:type="dxa" w:w="2174"/>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Call type</w:t>
            </w:r>
          </w:p>
        </w:tc>
        <w:tc>
          <w:tcPr>
            <w:tcW w:type="dxa" w:w="6091"/>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Qualitative description of the call type</w:t>
            </w:r>
          </w:p>
        </w:tc>
      </w:tr>
      <w:tr>
        <w:tblPrEx>
          <w:shd w:val="clear" w:color="auto" w:fill="cad1d7"/>
        </w:tblPrEx>
        <w:trPr>
          <w:trHeight w:val="299" w:hRule="atLeast"/>
        </w:trPr>
        <w:tc>
          <w:tcPr>
            <w:tcW w:type="dxa" w:w="1138"/>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6</w:t>
            </w:r>
          </w:p>
        </w:tc>
        <w:tc>
          <w:tcPr>
            <w:tcW w:type="dxa" w:w="2174"/>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Finger:toe width</w:t>
            </w:r>
          </w:p>
        </w:tc>
        <w:tc>
          <w:tcPr>
            <w:tcW w:type="dxa" w:w="6091"/>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The ratio of finger pad width to toe pad width</w:t>
            </w:r>
          </w:p>
        </w:tc>
      </w:tr>
      <w:tr>
        <w:tblPrEx>
          <w:shd w:val="clear" w:color="auto" w:fill="cad1d7"/>
        </w:tblPrEx>
        <w:trPr>
          <w:trHeight w:val="800" w:hRule="atLeast"/>
        </w:trPr>
        <w:tc>
          <w:tcPr>
            <w:tcW w:type="dxa" w:w="1138"/>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7</w:t>
            </w:r>
          </w:p>
        </w:tc>
        <w:tc>
          <w:tcPr>
            <w:tcW w:type="dxa" w:w="2174"/>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Pectoral ligament</w:t>
            </w:r>
          </w:p>
        </w:tc>
        <w:tc>
          <w:tcPr>
            <w:tcW w:type="dxa" w:w="6091"/>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Cartilaginous or ligamentous connection between scapula and procoracoid</w:t>
            </w:r>
          </w:p>
        </w:tc>
      </w:tr>
      <w:tr>
        <w:tblPrEx>
          <w:shd w:val="clear" w:color="auto" w:fill="cad1d7"/>
        </w:tblPrEx>
        <w:trPr>
          <w:trHeight w:val="800" w:hRule="atLeast"/>
        </w:trPr>
        <w:tc>
          <w:tcPr>
            <w:tcW w:type="dxa" w:w="1138"/>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8</w:t>
            </w:r>
          </w:p>
        </w:tc>
        <w:tc>
          <w:tcPr>
            <w:tcW w:type="dxa" w:w="2174"/>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Rel toe length</w:t>
            </w:r>
          </w:p>
        </w:tc>
        <w:tc>
          <w:tcPr>
            <w:tcW w:type="dxa" w:w="6091"/>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Relative length of 5th toe compared to length of 3rd toe (5&lt;3, 5=3, 5&gt;3)</w:t>
            </w:r>
          </w:p>
        </w:tc>
      </w:tr>
      <w:tr>
        <w:tblPrEx>
          <w:shd w:val="clear" w:color="auto" w:fill="cad1d7"/>
        </w:tblPrEx>
        <w:trPr>
          <w:trHeight w:val="800" w:hRule="atLeast"/>
        </w:trPr>
        <w:tc>
          <w:tcPr>
            <w:tcW w:type="dxa" w:w="1138"/>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9</w:t>
            </w:r>
          </w:p>
        </w:tc>
        <w:tc>
          <w:tcPr>
            <w:tcW w:type="dxa" w:w="2174"/>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Toe webbing</w:t>
            </w:r>
          </w:p>
        </w:tc>
        <w:tc>
          <w:tcPr>
            <w:tcW w:type="dxa" w:w="6091"/>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Toe webbing assessed on 5th toe (absent (-), basally webbed, well webbed)</w:t>
            </w:r>
          </w:p>
        </w:tc>
      </w:tr>
      <w:tr>
        <w:tblPrEx>
          <w:shd w:val="clear" w:color="auto" w:fill="cad1d7"/>
        </w:tblPrEx>
        <w:trPr>
          <w:trHeight w:val="800" w:hRule="atLeast"/>
        </w:trPr>
        <w:tc>
          <w:tcPr>
            <w:tcW w:type="dxa" w:w="1138"/>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10</w:t>
            </w:r>
          </w:p>
        </w:tc>
        <w:tc>
          <w:tcPr>
            <w:tcW w:type="dxa" w:w="2174"/>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Tympanum:eye diameter</w:t>
            </w:r>
          </w:p>
        </w:tc>
        <w:tc>
          <w:tcPr>
            <w:tcW w:type="dxa" w:w="6091"/>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Tympanum diameter relative to eye diameter (</w:t>
            </w: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¼</w:t>
            </w: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 xml:space="preserve">, </w:t>
            </w:r>
            <w:r>
              <w:rPr>
                <w:rStyle w:val="None"/>
                <w:rFonts w:ascii="Arial Unicode MS" w:hAnsi="Arial Unicode MS" w:hint="default"/>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⅓</w:t>
            </w: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 xml:space="preserve">, or </w:t>
            </w: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½</w:t>
            </w: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w:t>
            </w:r>
          </w:p>
        </w:tc>
      </w:tr>
      <w:tr>
        <w:tblPrEx>
          <w:shd w:val="clear" w:color="auto" w:fill="cad1d7"/>
        </w:tblPrEx>
        <w:trPr>
          <w:trHeight w:val="280" w:hRule="atLeast"/>
        </w:trPr>
        <w:tc>
          <w:tcPr>
            <w:tcW w:type="dxa" w:w="1138"/>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11</w:t>
            </w:r>
          </w:p>
        </w:tc>
        <w:tc>
          <w:tcPr>
            <w:tcW w:type="dxa" w:w="2174"/>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Reference</w:t>
            </w:r>
          </w:p>
        </w:tc>
        <w:tc>
          <w:tcPr>
            <w:tcW w:type="dxa" w:w="6091"/>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Citation</w:t>
            </w:r>
          </w:p>
        </w:tc>
      </w:tr>
      <w:tr>
        <w:tblPrEx>
          <w:shd w:val="clear" w:color="auto" w:fill="cad1d7"/>
        </w:tblPrEx>
        <w:trPr>
          <w:trHeight w:val="310" w:hRule="atLeast"/>
        </w:trPr>
        <w:tc>
          <w:tcPr>
            <w:tcW w:type="dxa" w:w="1138"/>
            <w:tcBorders>
              <w:top w:val="nil"/>
              <w:left w:val="nil"/>
              <w:bottom w:val="nil"/>
              <w:right w:val="nil"/>
            </w:tcBorders>
            <w:shd w:val="clear" w:color="auto" w:fill="ffffff"/>
            <w:tcMar>
              <w:top w:type="dxa" w:w="80"/>
              <w:left w:type="dxa" w:w="80"/>
              <w:bottom w:type="dxa" w:w="80"/>
              <w:right w:type="dxa" w:w="80"/>
            </w:tcMar>
            <w:vAlign w:val="center"/>
          </w:tcPr>
          <w:p/>
        </w:tc>
        <w:tc>
          <w:tcPr>
            <w:tcW w:type="dxa" w:w="2174"/>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Pupil horizontal</w:t>
            </w:r>
          </w:p>
        </w:tc>
        <w:tc>
          <w:tcPr>
            <w:tcW w:type="dxa" w:w="6091"/>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 xml:space="preserve">Whether the pupil is horizontal </w:t>
            </w:r>
          </w:p>
        </w:tc>
      </w:tr>
      <w:tr>
        <w:tblPrEx>
          <w:shd w:val="clear" w:color="auto" w:fill="cad1d7"/>
        </w:tblPrEx>
        <w:trPr>
          <w:trHeight w:val="310" w:hRule="atLeast"/>
        </w:trPr>
        <w:tc>
          <w:tcPr>
            <w:tcW w:type="dxa" w:w="1138"/>
            <w:tcBorders>
              <w:top w:val="nil"/>
              <w:left w:val="nil"/>
              <w:bottom w:val="nil"/>
              <w:right w:val="nil"/>
            </w:tcBorders>
            <w:shd w:val="clear" w:color="auto" w:fill="ffffff"/>
            <w:tcMar>
              <w:top w:type="dxa" w:w="80"/>
              <w:left w:type="dxa" w:w="80"/>
              <w:bottom w:type="dxa" w:w="80"/>
              <w:right w:type="dxa" w:w="80"/>
            </w:tcMar>
            <w:vAlign w:val="center"/>
          </w:tcPr>
          <w:p/>
        </w:tc>
        <w:tc>
          <w:tcPr>
            <w:tcW w:type="dxa" w:w="2174"/>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Teeth</w:t>
            </w:r>
          </w:p>
        </w:tc>
        <w:tc>
          <w:tcPr>
            <w:tcW w:type="dxa" w:w="6091"/>
            <w:tcBorders>
              <w:top w:val="nil"/>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Whether teeth are present</w:t>
            </w:r>
          </w:p>
        </w:tc>
      </w:tr>
      <w:tr>
        <w:tblPrEx>
          <w:shd w:val="clear" w:color="auto" w:fill="cad1d7"/>
        </w:tblPrEx>
        <w:trPr>
          <w:trHeight w:val="805" w:hRule="atLeast"/>
        </w:trPr>
        <w:tc>
          <w:tcPr>
            <w:tcW w:type="dxa" w:w="1138"/>
            <w:tcBorders>
              <w:top w:val="nil"/>
              <w:left w:val="nil"/>
              <w:bottom w:val="single" w:color="666666" w:sz="12" w:space="0" w:shadow="0" w:frame="0"/>
              <w:right w:val="nil"/>
            </w:tcBorders>
            <w:shd w:val="clear" w:color="auto" w:fill="ffffff"/>
            <w:tcMar>
              <w:top w:type="dxa" w:w="80"/>
              <w:left w:type="dxa" w:w="80"/>
              <w:bottom w:type="dxa" w:w="80"/>
              <w:right w:type="dxa" w:w="80"/>
            </w:tcMar>
            <w:vAlign w:val="center"/>
          </w:tcPr>
          <w:p/>
        </w:tc>
        <w:tc>
          <w:tcPr>
            <w:tcW w:type="dxa" w:w="2174"/>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Palatal folds</w:t>
            </w:r>
          </w:p>
        </w:tc>
        <w:tc>
          <w:tcPr>
            <w:tcW w:type="dxa" w:w="6091"/>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Whether two horizontal palatal folds in front of the pharynx are present</w:t>
            </w:r>
          </w:p>
        </w:tc>
      </w:tr>
      <w:tr>
        <w:tblPrEx>
          <w:shd w:val="clear" w:color="auto" w:fill="cad1d7"/>
        </w:tblPrEx>
        <w:trPr>
          <w:trHeight w:val="335" w:hRule="atLeast"/>
        </w:trPr>
        <w:tc>
          <w:tcPr>
            <w:tcW w:type="dxa" w:w="9403"/>
            <w:gridSpan w:val="3"/>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heading 4"/>
              <w:keepNext w:val="0"/>
              <w:keepLines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before="40" w:line="480" w:lineRule="auto"/>
              <w:ind w:left="40" w:right="40" w:firstLine="0"/>
              <w:outlineLvl w:val="9"/>
            </w:pPr>
            <w:r>
              <w:rPr>
                <w:rStyle w:val="None"/>
                <w:i w:val="0"/>
                <w:iCs w:val="0"/>
                <w:outline w:val="0"/>
                <w:color w:val="666666"/>
                <w:sz w:val="22"/>
                <w:szCs w:val="22"/>
                <w:u w:color="666666"/>
                <w:shd w:val="nil" w:color="auto" w:fill="auto"/>
                <w:rtl w:val="0"/>
                <w:lang w:val="en-US"/>
                <w14:textOutline w14:w="12700" w14:cap="flat">
                  <w14:noFill/>
                  <w14:miter w14:lim="400000"/>
                </w14:textOutline>
                <w14:textFill>
                  <w14:solidFill>
                    <w14:srgbClr w14:val="666666"/>
                  </w14:solidFill>
                </w14:textFill>
              </w:rPr>
              <w:t>*Corresponding column in Table 3.</w:t>
            </w:r>
          </w:p>
        </w:tc>
      </w:tr>
    </w:tbl>
    <w:p>
      <w:pPr>
        <w:pStyle w:val="heading 4"/>
        <w:keepNext w:val="0"/>
        <w:keepLines w:val="0"/>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before="0" w:after="0"/>
        <w:ind w:left="216" w:hanging="216"/>
        <w:jc w:val="center"/>
        <w:outlineLvl w:val="9"/>
        <w:rPr>
          <w:i w:val="0"/>
          <w:iCs w:val="0"/>
          <w:outline w:val="0"/>
          <w:color w:val="000000"/>
          <w:u w:color="000000"/>
          <w14:textOutline w14:w="12700" w14:cap="flat">
            <w14:noFill/>
            <w14:miter w14:lim="400000"/>
          </w14:textOutline>
          <w14:textFill>
            <w14:solidFill>
              <w14:srgbClr w14:val="000000"/>
            </w14:solidFill>
          </w14:textFill>
        </w:rPr>
      </w:pPr>
    </w:p>
    <w:p>
      <w:pPr>
        <w:pStyle w:val="heading 4"/>
        <w:keepNext w:val="0"/>
        <w:keepLines w:val="0"/>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before="0" w:after="0"/>
        <w:ind w:left="108" w:hanging="108"/>
        <w:jc w:val="center"/>
        <w:outlineLvl w:val="9"/>
        <w:rPr>
          <w:i w:val="0"/>
          <w:iCs w:val="0"/>
          <w:outline w:val="0"/>
          <w:color w:val="000000"/>
          <w:u w:color="000000"/>
          <w14:textOutline w14:w="12700" w14:cap="flat">
            <w14:noFill/>
            <w14:miter w14:lim="400000"/>
          </w14:textOutline>
          <w14:textFill>
            <w14:solidFill>
              <w14:srgbClr w14:val="000000"/>
            </w14:solidFill>
          </w14:textFill>
        </w:rPr>
      </w:pPr>
    </w:p>
    <w:p>
      <w:pPr>
        <w:pStyle w:val="heading 4"/>
        <w:keepNext w:val="0"/>
        <w:keepLines w:val="0"/>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s>
        <w:spacing w:before="0" w:after="0"/>
        <w:ind w:left="108" w:hanging="108"/>
        <w:jc w:val="center"/>
        <w:outlineLvl w:val="9"/>
        <w:rPr>
          <w:i w:val="0"/>
          <w:iCs w:val="0"/>
          <w:outline w:val="0"/>
          <w:color w:val="000000"/>
          <w:u w:color="000000"/>
          <w14:textOutline w14:w="12700" w14:cap="flat">
            <w14:noFill/>
            <w14:miter w14:lim="400000"/>
          </w14:textOutline>
          <w14:textFill>
            <w14:solidFill>
              <w14:srgbClr w14:val="000000"/>
            </w14:solidFill>
          </w14:textFill>
        </w:rPr>
      </w:pPr>
    </w:p>
    <w:p>
      <w:pPr>
        <w:pStyle w:val="Heading 2"/>
        <w:jc w:val="center"/>
        <w:sectPr>
          <w:headerReference w:type="default" r:id="rId4"/>
          <w:footerReference w:type="default" r:id="rId5"/>
          <w:pgSz w:w="12240" w:h="14240" w:orient="portrait"/>
          <w:pgMar w:top="1440" w:right="1440" w:bottom="1440" w:left="1440" w:header="720" w:footer="720"/>
          <w:bidi w:val="0"/>
        </w:sectPr>
      </w:pPr>
      <w:bookmarkEnd w:id="6"/>
    </w:p>
    <w:p>
      <w:pPr>
        <w:pStyle w:val="Heading 2"/>
        <w:spacing w:before="0" w:after="0" w:line="480" w:lineRule="auto"/>
        <w:jc w:val="center"/>
        <w:rPr>
          <w:rFonts w:ascii="Helvetica" w:cs="Helvetica" w:hAnsi="Helvetica" w:eastAsia="Helvetica"/>
        </w:rPr>
      </w:pPr>
      <w:bookmarkStart w:name="nomenclature" w:id="7"/>
      <w:r>
        <w:rPr>
          <w:rFonts w:ascii="Helvetica" w:hAnsi="Helvetica"/>
          <w:rtl w:val="0"/>
          <w:lang w:val="en-US"/>
        </w:rPr>
        <w:t>Nomenclature</w:t>
      </w:r>
    </w:p>
    <w:p>
      <w:pPr>
        <w:pStyle w:val="First Paragraph"/>
        <w:spacing w:before="0" w:after="0"/>
      </w:pPr>
      <w:r>
        <w:rPr>
          <w:rtl w:val="0"/>
        </w:rPr>
        <w:tab/>
        <w:t xml:space="preserve">We conducted a comprehensive taxonomic literature review of diagnoses for all species known to belong to the clades </w:t>
      </w:r>
      <w:r>
        <w:rPr>
          <w:rtl w:val="0"/>
          <w:lang w:val="en-US"/>
        </w:rPr>
        <w:t>“</w:t>
      </w:r>
      <w:r>
        <w:rPr>
          <w:rtl w:val="0"/>
          <w:lang w:val="en-US"/>
        </w:rPr>
        <w:t>Oreophryne A</w:t>
      </w:r>
      <w:r>
        <w:rPr>
          <w:rtl w:val="0"/>
          <w:lang w:val="en-US"/>
        </w:rPr>
        <w:t xml:space="preserve">” </w:t>
      </w:r>
      <w:r>
        <w:rPr>
          <w:rtl w:val="0"/>
          <w:lang w:val="en-US"/>
        </w:rPr>
        <w:t xml:space="preserve">and </w:t>
      </w:r>
      <w:r>
        <w:rPr>
          <w:rtl w:val="0"/>
          <w:lang w:val="en-US"/>
        </w:rPr>
        <w:t>“</w:t>
      </w:r>
      <w:r>
        <w:rPr>
          <w:rtl w:val="0"/>
          <w:lang w:val="en-US"/>
        </w:rPr>
        <w:t>Oreophryne B</w:t>
      </w:r>
      <w:r>
        <w:rPr>
          <w:rtl w:val="0"/>
          <w:lang w:val="en-US"/>
        </w:rPr>
        <w:t xml:space="preserve">” </w:t>
      </w:r>
      <w:r>
        <w:rPr>
          <w:rtl w:val="0"/>
          <w:lang w:val="en-US"/>
        </w:rPr>
        <w:t xml:space="preserve">(Hill et al. 2022). We applied the ICZN code (Zoological Nomenclature et al. 1999) as well as the Phylocode (de Queiroz and Cantino 2020). We support the nascent effort to assign indigenous names in taxonomy whenever possible (e.g., Gillman and Wright 2020). One of us (B. Iova) is a local indigenous language expert, and provided guidance in proposing the novel genus name, </w:t>
      </w:r>
      <w:r>
        <w:rPr>
          <w:rStyle w:val="None"/>
          <w:i w:val="1"/>
          <w:iCs w:val="1"/>
          <w:rtl w:val="0"/>
          <w:lang w:val="en-US"/>
        </w:rPr>
        <w:t>Auparoparo</w:t>
      </w:r>
      <w:r>
        <w:rPr>
          <w:rtl w:val="0"/>
          <w:lang w:val="en-US"/>
        </w:rPr>
        <w:t xml:space="preserve">, meaning </w:t>
      </w:r>
      <w:r>
        <w:rPr>
          <w:rtl w:val="0"/>
          <w:lang w:val="en-US"/>
        </w:rPr>
        <w:t>“</w:t>
      </w:r>
      <w:r>
        <w:rPr>
          <w:rtl w:val="0"/>
          <w:lang w:val="en-US"/>
        </w:rPr>
        <w:t>tree frog</w:t>
      </w:r>
      <w:r>
        <w:rPr>
          <w:rtl w:val="0"/>
          <w:lang w:val="en-US"/>
        </w:rPr>
        <w:t xml:space="preserve">” </w:t>
      </w:r>
      <w:r>
        <w:rPr>
          <w:rtl w:val="0"/>
          <w:lang w:val="en-US"/>
        </w:rPr>
        <w:t xml:space="preserve">in Motu, a regional language, for </w:t>
      </w:r>
      <w:r>
        <w:rPr>
          <w:rStyle w:val="None"/>
          <w:i w:val="1"/>
          <w:iCs w:val="1"/>
          <w:rtl w:val="0"/>
          <w:lang w:val="en-US"/>
        </w:rPr>
        <w:t>Oreophryne</w:t>
      </w:r>
      <w:r>
        <w:rPr>
          <w:rtl w:val="0"/>
          <w:lang w:val="en-US"/>
        </w:rPr>
        <w:t xml:space="preserve"> “</w:t>
      </w:r>
      <w:r>
        <w:rPr>
          <w:rtl w:val="0"/>
          <w:lang w:val="en-US"/>
        </w:rPr>
        <w:t>B</w:t>
      </w:r>
      <w:r>
        <w:rPr>
          <w:rtl w:val="0"/>
          <w:lang w:val="en-US"/>
        </w:rPr>
        <w:t>”</w:t>
      </w:r>
      <w:r>
        <w:rPr>
          <w:rtl w:val="0"/>
          <w:lang w:val="en-US"/>
        </w:rPr>
        <w:t>.</w:t>
      </w:r>
      <w:bookmarkEnd w:id="7"/>
    </w:p>
    <w:p>
      <w:pPr>
        <w:pStyle w:val="Heading 2"/>
        <w:spacing w:before="0" w:after="0" w:line="480" w:lineRule="auto"/>
        <w:jc w:val="center"/>
        <w:rPr>
          <w:rFonts w:ascii="Helvetica" w:cs="Helvetica" w:hAnsi="Helvetica" w:eastAsia="Helvetica"/>
        </w:rPr>
      </w:pPr>
      <w:bookmarkStart w:name="phylogeneticreconstruction" w:id="8"/>
      <w:r>
        <w:rPr>
          <w:rFonts w:ascii="Helvetica" w:hAnsi="Helvetica"/>
          <w:rtl w:val="0"/>
          <w:lang w:val="en-US"/>
        </w:rPr>
        <w:t>Phylogenetic Reconstruction</w:t>
      </w:r>
    </w:p>
    <w:p>
      <w:pPr>
        <w:pStyle w:val="First Paragraph"/>
        <w:spacing w:before="0" w:after="0"/>
      </w:pPr>
      <w:r>
        <w:rPr>
          <w:rtl w:val="0"/>
        </w:rPr>
        <w:tab/>
        <w:t>We used Partitionfinder in IQTREE2 to find the best-fit evolutionary model followed by Maximum Likelihood (ML) phylogenetic reconstruction (Lanfear et al. 2012; Minh et al. 2020). We tested models partitioned by both locus and codon versus by loci only (15 vs.</w:t>
      </w:r>
      <w:r>
        <w:rPr>
          <w:rtl w:val="0"/>
          <w:lang w:val="en-US"/>
        </w:rPr>
        <w:t> </w:t>
      </w:r>
      <w:r>
        <w:rPr>
          <w:rtl w:val="0"/>
          <w:lang w:val="en-US"/>
        </w:rPr>
        <w:t>5 partition scheme), and found that the locus and codon model was superior by the Akaike Information Criterion. Nodal support values for the ML tree were inferred using 2000 bootstrap replicates.</w:t>
      </w:r>
      <w:bookmarkEnd w:id="8"/>
    </w:p>
    <w:p>
      <w:pPr>
        <w:pStyle w:val="Heading 2"/>
        <w:spacing w:before="0" w:after="0" w:line="480" w:lineRule="auto"/>
        <w:jc w:val="center"/>
        <w:rPr>
          <w:rFonts w:ascii="Helvetica" w:cs="Helvetica" w:hAnsi="Helvetica" w:eastAsia="Helvetica"/>
        </w:rPr>
      </w:pPr>
      <w:bookmarkStart w:name="phylogeneticdefinition" w:id="9"/>
      <w:r>
        <w:rPr>
          <w:rFonts w:ascii="Helvetica" w:hAnsi="Helvetica"/>
          <w:rtl w:val="0"/>
          <w:lang w:val="en-US"/>
        </w:rPr>
        <w:t>Phylogenetic Definition</w:t>
      </w:r>
    </w:p>
    <w:p>
      <w:pPr>
        <w:pStyle w:val="First Paragraph"/>
        <w:spacing w:before="0" w:after="0"/>
      </w:pPr>
      <w:r>
        <w:rPr>
          <w:rtl w:val="0"/>
        </w:rPr>
        <w:tab/>
        <w:t>We use a maximum crown-clade definition under the PhyloCode (de Queiroz and Gauthier 1990, 1992; de Queiroz and Cantino 2020), specifically, the largest crown clade originating with the most recent common ancestor of the reference species for the clade (e.g., the type species of the genus), and all extant species of the clade more recently than they do with reference species of other clades (i.e., in this study, other generic-level clades). This definition is robust to uncertainty in basal relationships such as in the case of adaptive radiations with short branch lengths along the backbone as in Asterophryinae, as well as being robust to identification of new species and new clades.</w:t>
      </w:r>
      <w:bookmarkEnd w:id="9"/>
    </w:p>
    <w:p>
      <w:pPr>
        <w:pStyle w:val="Heading 2"/>
        <w:spacing w:before="0" w:after="0" w:line="480" w:lineRule="auto"/>
        <w:jc w:val="center"/>
        <w:rPr>
          <w:rFonts w:ascii="Helvetica" w:cs="Helvetica" w:hAnsi="Helvetica" w:eastAsia="Helvetica"/>
        </w:rPr>
      </w:pPr>
      <w:bookmarkStart w:name="Xd1f882dcb3586d0cf347d8ecffd42cfce6c9b61" w:id="10"/>
      <w:r>
        <w:rPr>
          <w:rFonts w:ascii="Helvetica" w:hAnsi="Helvetica"/>
          <w:rtl w:val="0"/>
          <w:lang w:val="en-US"/>
        </w:rPr>
        <w:t>Analyses, Visualization, and Data Availability</w:t>
      </w:r>
    </w:p>
    <w:p>
      <w:pPr>
        <w:pStyle w:val="First Paragraph"/>
        <w:spacing w:before="0" w:after="0"/>
      </w:pPr>
      <w:r>
        <w:rPr>
          <w:rtl w:val="0"/>
        </w:rPr>
        <w:tab/>
        <w:t>All analyses were conducted and graphics produced in the R Statistical Computing Environment unless noted below (R Core Team 2024). Initial DNA sequence alignment was conducted using MUSCLE (Edgar 2004) with manual adjustments in Mesquite (Maddison and Maddison 2023). Phylogenetic reconstruction was conducted using the IQTREE2 suite of software (Lanfear et al. 2012; Minh et al. 2020).</w:t>
      </w:r>
    </w:p>
    <w:p>
      <w:pPr>
        <w:pStyle w:val="Body Text"/>
        <w:spacing w:before="0" w:after="0"/>
        <w:rPr>
          <w:rFonts w:ascii="Helvetica" w:cs="Helvetica" w:hAnsi="Helvetica" w:eastAsia="Helvetica"/>
        </w:rPr>
      </w:pPr>
      <w:r>
        <w:rPr>
          <w:rFonts w:ascii="Helvetica" w:cs="Helvetica" w:hAnsi="Helvetica" w:eastAsia="Helvetica"/>
          <w:rtl w:val="0"/>
        </w:rPr>
        <w:tab/>
        <w:t xml:space="preserve">The known ranges of </w:t>
      </w:r>
      <w:r>
        <w:rPr>
          <w:rStyle w:val="None"/>
          <w:rFonts w:ascii="Helvetica" w:hAnsi="Helvetica"/>
          <w:i w:val="1"/>
          <w:iCs w:val="1"/>
          <w:rtl w:val="0"/>
          <w:lang w:val="en-US"/>
        </w:rPr>
        <w:t>Oreophryne</w:t>
      </w:r>
      <w:r>
        <w:rPr>
          <w:rFonts w:ascii="Helvetica" w:hAnsi="Helvetica"/>
          <w:rtl w:val="0"/>
          <w:lang w:val="en-US"/>
        </w:rPr>
        <w:t xml:space="preserve"> sensu lato were downloaded as shape files from the IUCN (2025) redlist database, and sites from collection locations for </w:t>
      </w:r>
      <w:r>
        <w:rPr>
          <w:rStyle w:val="None"/>
          <w:rFonts w:ascii="Helvetica" w:hAnsi="Helvetica"/>
          <w:i w:val="1"/>
          <w:iCs w:val="1"/>
          <w:rtl w:val="0"/>
          <w:lang w:val="en-US"/>
        </w:rPr>
        <w:t>Oreophryne</w:t>
      </w:r>
      <w:r>
        <w:rPr>
          <w:rFonts w:ascii="Helvetica" w:hAnsi="Helvetica"/>
          <w:rtl w:val="0"/>
          <w:lang w:val="en-US"/>
        </w:rPr>
        <w:t xml:space="preserve"> and </w:t>
      </w:r>
      <w:r>
        <w:rPr>
          <w:rStyle w:val="None"/>
          <w:rFonts w:ascii="Helvetica" w:hAnsi="Helvetica"/>
          <w:i w:val="1"/>
          <w:iCs w:val="1"/>
          <w:rtl w:val="0"/>
          <w:lang w:val="en-US"/>
        </w:rPr>
        <w:t>Auparoparo</w:t>
      </w:r>
      <w:r>
        <w:rPr>
          <w:rFonts w:ascii="Helvetica" w:hAnsi="Helvetica"/>
          <w:rtl w:val="0"/>
          <w:lang w:val="en-US"/>
        </w:rPr>
        <w:t xml:space="preserve"> were mapped using the sf and ggplot2 packages (Wickham 2016; Pebesma 2018), overlaid on a basemap created using rnaturalearth, grid, and ggspatial packages (Massicotte and South 2023; Dunnington 2023). Tree graphics were produced with the ggtree package Yu (2020) supplemented by ggplot2 (Wickham 2016). All data, alignments, and code to reproduce analyses are available in the public repository </w:t>
      </w:r>
      <w:r>
        <w:rPr>
          <w:rFonts w:ascii="Helvetica" w:hAnsi="Helvetica" w:hint="default"/>
          <w:rtl w:val="0"/>
          <w:lang w:val="en-US"/>
        </w:rPr>
        <w:t>…</w:t>
      </w:r>
      <w:bookmarkEnd w:id="10"/>
    </w:p>
    <w:p>
      <w:pPr>
        <w:pStyle w:val="Heading 1"/>
        <w:spacing w:before="0" w:after="0"/>
        <w:jc w:val="center"/>
        <w:rPr>
          <w:rStyle w:val="None"/>
          <w:smallCaps w:val="1"/>
        </w:rPr>
      </w:pPr>
      <w:bookmarkStart w:name="results" w:id="11"/>
      <w:r>
        <w:rPr>
          <w:rStyle w:val="None"/>
          <w:smallCaps w:val="1"/>
          <w:rtl w:val="0"/>
          <w:lang w:val="en-US"/>
        </w:rPr>
        <w:t>Results</w:t>
      </w:r>
      <w:bookmarkEnd w:id="11"/>
    </w:p>
    <w:p>
      <w:pPr>
        <w:pStyle w:val="Body Text"/>
        <w:spacing w:before="0" w:after="0"/>
        <w:rPr>
          <w:rFonts w:ascii="Helvetica" w:cs="Helvetica" w:hAnsi="Helvetica" w:eastAsia="Helvetica"/>
        </w:rPr>
      </w:pPr>
    </w:p>
    <w:p>
      <w:pPr>
        <w:pStyle w:val="Heading 2"/>
        <w:spacing w:before="0" w:after="0" w:line="480" w:lineRule="auto"/>
        <w:jc w:val="center"/>
        <w:rPr>
          <w:rFonts w:ascii="Helvetica" w:cs="Helvetica" w:hAnsi="Helvetica" w:eastAsia="Helvetica"/>
        </w:rPr>
      </w:pPr>
      <w:bookmarkStart w:name="phylogenyandphylogenetictaxonomy" w:id="12"/>
      <w:r>
        <w:rPr>
          <w:rFonts w:ascii="Helvetica" w:hAnsi="Helvetica"/>
          <w:rtl w:val="0"/>
          <w:lang w:val="en-US"/>
        </w:rPr>
        <w:t>Phylogeny and Phylogenetic Taxonomy</w:t>
      </w:r>
    </w:p>
    <w:p>
      <w:pPr>
        <w:pStyle w:val="First Paragraph"/>
        <w:spacing w:before="0" w:after="0"/>
      </w:pPr>
      <w:r>
        <w:rPr>
          <w:rtl w:val="0"/>
        </w:rPr>
        <w:tab/>
        <w:t>A partition scheme including codon as well as locus resulted in an improvment of fit by 3,127 AIC units (evolutionary model partitioned by locus and codon, 15-partitions: AIC of 155,492, versus partitioned by locus only, 5 partitions: AIC of 158,619). Unless otherwise noted, all phylogenetic reconstructions used the 15-partition scheme identified as best-fit by IQTREE2.</w:t>
      </w:r>
    </w:p>
    <w:p>
      <w:pPr>
        <w:pStyle w:val="Body Text"/>
        <w:spacing w:before="0" w:after="0"/>
        <w:rPr>
          <w:rFonts w:ascii="Helvetica" w:cs="Helvetica" w:hAnsi="Helvetica" w:eastAsia="Helvetica"/>
        </w:rPr>
      </w:pPr>
      <w:r>
        <w:rPr>
          <w:rFonts w:ascii="Helvetica" w:cs="Helvetica" w:hAnsi="Helvetica" w:eastAsia="Helvetica"/>
          <w:rtl w:val="0"/>
        </w:rPr>
        <w:tab/>
        <w:t xml:space="preserve">We recovered a maximum likelihood topology that confirms that </w:t>
      </w:r>
      <w:r>
        <w:rPr>
          <w:rStyle w:val="None"/>
          <w:rFonts w:ascii="Helvetica" w:hAnsi="Helvetica"/>
          <w:i w:val="1"/>
          <w:iCs w:val="1"/>
          <w:rtl w:val="0"/>
          <w:lang w:val="en-US"/>
        </w:rPr>
        <w:t>Oreophryne</w:t>
      </w:r>
      <w:r>
        <w:rPr>
          <w:rFonts w:ascii="Helvetica" w:hAnsi="Helvetica"/>
          <w:rtl w:val="0"/>
          <w:lang w:val="en-US"/>
        </w:rPr>
        <w:t xml:space="preserve"> sensu lato is polyphyletic, with species falling into two independently-evolved, reciprocally monophyletic, highly-supported clades </w:t>
      </w: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\l "bookmark4" </w:instrText>
      </w:r>
      <w:r>
        <w:rPr>
          <w:rStyle w:val="Hyperlink.0"/>
          <w:rFonts w:ascii="Helvetica" w:cs="Helvetica" w:hAnsi="Helvetica" w:eastAsia="Helvetica"/>
        </w:rPr>
        <w:fldChar w:fldCharType="separate" w:fldLock="0"/>
      </w:r>
      <w:r>
        <w:rPr>
          <w:rStyle w:val="Hyperlink.0"/>
          <w:rFonts w:ascii="Helvetica" w:hAnsi="Helvetica"/>
          <w:rtl w:val="0"/>
          <w:lang w:val="en-US"/>
        </w:rPr>
        <w:t>Figure</w:t>
      </w:r>
      <w:r>
        <w:rPr>
          <w:rStyle w:val="Hyperlink.0"/>
          <w:rFonts w:ascii="Helvetica" w:hAnsi="Helvetica" w:hint="default"/>
          <w:rtl w:val="0"/>
          <w:lang w:val="en-US"/>
        </w:rPr>
        <w:t> </w:t>
      </w:r>
      <w:r>
        <w:rPr>
          <w:rStyle w:val="Hyperlink.0"/>
          <w:rFonts w:ascii="Helvetica" w:hAnsi="Helvetica"/>
          <w:rtl w:val="0"/>
          <w:lang w:val="en-US"/>
        </w:rPr>
        <w:t>2</w:t>
      </w:r>
      <w:r>
        <w:rPr>
          <w:rFonts w:ascii="Helvetica" w:cs="Helvetica" w:hAnsi="Helvetica" w:eastAsia="Helvetica"/>
        </w:rPr>
        <w:fldChar w:fldCharType="end" w:fldLock="0"/>
      </w:r>
      <w:r>
        <w:rPr>
          <w:rFonts w:ascii="Helvetica" w:hAnsi="Helvetica"/>
          <w:rtl w:val="0"/>
          <w:lang w:val="en-US"/>
        </w:rPr>
        <w:t>. Nearly all nodes are moderately or highly supported, with most of the weakly supported nodes falling along the backbone where there are very short branch lengths as characteristic of an adaptive radiation.</w:t>
      </w:r>
    </w:p>
    <w:p>
      <w:pPr>
        <w:pStyle w:val="Body Text"/>
        <w:spacing w:before="0" w:after="0"/>
        <w:rPr>
          <w:rFonts w:ascii="Helvetica" w:cs="Helvetica" w:hAnsi="Helvetica" w:eastAsia="Helvetica"/>
        </w:rPr>
      </w:pPr>
      <w:r>
        <w:rPr>
          <w:rFonts w:ascii="Helvetica" w:cs="Helvetica" w:hAnsi="Helvetica" w:eastAsia="Helvetica"/>
          <w:rtl w:val="0"/>
        </w:rPr>
        <w:tab/>
        <w:t xml:space="preserve">Furthermore, these findings demonstrate that the clade descended from node A should retain the converted clade name (CCN) </w:t>
      </w:r>
      <w:r>
        <w:rPr>
          <w:rStyle w:val="None"/>
          <w:rFonts w:ascii="Helvetica" w:hAnsi="Helvetica"/>
          <w:i w:val="1"/>
          <w:iCs w:val="1"/>
          <w:rtl w:val="0"/>
          <w:lang w:val="en-US"/>
        </w:rPr>
        <w:t>Oreophryne</w:t>
      </w:r>
      <w:r>
        <w:rPr>
          <w:rFonts w:ascii="Helvetica" w:hAnsi="Helvetica"/>
          <w:rtl w:val="0"/>
          <w:lang w:val="en-US"/>
        </w:rPr>
        <w:t xml:space="preserve">, as the type species, </w:t>
      </w:r>
      <w:r>
        <w:rPr>
          <w:rStyle w:val="None"/>
          <w:rFonts w:ascii="Helvetica" w:hAnsi="Helvetica"/>
          <w:i w:val="1"/>
          <w:iCs w:val="1"/>
          <w:rtl w:val="0"/>
          <w:lang w:val="en-US"/>
        </w:rPr>
        <w:t>O. senckenbergiana</w:t>
      </w:r>
      <w:r>
        <w:rPr>
          <w:rFonts w:ascii="Helvetica" w:hAnsi="Helvetica"/>
          <w:rtl w:val="0"/>
          <w:lang w:val="en-US"/>
        </w:rPr>
        <w:t xml:space="preserve">, from North Maluku Island, Indonesia, is situated within </w:t>
      </w:r>
      <w:r>
        <w:rPr>
          <w:rStyle w:val="None"/>
          <w:rFonts w:ascii="Helvetica" w:hAnsi="Helvetica"/>
          <w:i w:val="1"/>
          <w:iCs w:val="1"/>
          <w:rtl w:val="0"/>
          <w:lang w:val="en-US"/>
        </w:rPr>
        <w:t>Oreophryne</w:t>
      </w:r>
      <w:r>
        <w:rPr>
          <w:rFonts w:ascii="Helvetica" w:hAnsi="Helvetica"/>
          <w:rtl w:val="0"/>
          <w:lang w:val="en-US"/>
        </w:rPr>
        <w:t xml:space="preserve"> with high support (</w:t>
      </w: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\l "bookmark5" </w:instrText>
      </w:r>
      <w:r>
        <w:rPr>
          <w:rStyle w:val="Hyperlink.0"/>
          <w:rFonts w:ascii="Helvetica" w:cs="Helvetica" w:hAnsi="Helvetica" w:eastAsia="Helvetica"/>
        </w:rPr>
        <w:fldChar w:fldCharType="separate" w:fldLock="0"/>
      </w:r>
      <w:r>
        <w:rPr>
          <w:rStyle w:val="Hyperlink.0"/>
          <w:rFonts w:ascii="Helvetica" w:hAnsi="Helvetica"/>
          <w:rtl w:val="0"/>
          <w:lang w:val="en-US"/>
        </w:rPr>
        <w:t>Figure</w:t>
      </w:r>
      <w:r>
        <w:rPr>
          <w:rStyle w:val="Hyperlink.0"/>
          <w:rFonts w:ascii="Helvetica" w:hAnsi="Helvetica" w:hint="default"/>
          <w:rtl w:val="0"/>
          <w:lang w:val="en-US"/>
        </w:rPr>
        <w:t> </w:t>
      </w:r>
      <w:r>
        <w:rPr>
          <w:rStyle w:val="Hyperlink.0"/>
          <w:rFonts w:ascii="Helvetica" w:hAnsi="Helvetica"/>
          <w:rtl w:val="0"/>
          <w:lang w:val="en-US"/>
        </w:rPr>
        <w:t>2</w:t>
      </w:r>
      <w:r>
        <w:rPr>
          <w:rFonts w:ascii="Helvetica" w:cs="Helvetica" w:hAnsi="Helvetica" w:eastAsia="Helvetica"/>
        </w:rPr>
        <w:fldChar w:fldCharType="end" w:fldLock="0"/>
      </w:r>
      <w:r>
        <w:rPr>
          <w:rFonts w:ascii="Helvetica" w:hAnsi="Helvetica"/>
          <w:rtl w:val="0"/>
          <w:lang w:val="en-US"/>
        </w:rPr>
        <w:t xml:space="preserve">). We propose the new clade name (NCN) </w:t>
      </w:r>
      <w:r>
        <w:rPr>
          <w:rStyle w:val="None"/>
          <w:rFonts w:ascii="Helvetica" w:hAnsi="Helvetica"/>
          <w:i w:val="1"/>
          <w:iCs w:val="1"/>
          <w:rtl w:val="0"/>
          <w:lang w:val="en-US"/>
        </w:rPr>
        <w:t>Auparoparo</w:t>
      </w:r>
      <w:r>
        <w:rPr>
          <w:rFonts w:ascii="Helvetica" w:hAnsi="Helvetica"/>
          <w:rtl w:val="0"/>
          <w:lang w:val="en-US"/>
        </w:rPr>
        <w:t xml:space="preserve"> for the node descended from node B. </w:t>
      </w:r>
      <w:r>
        <w:rPr>
          <w:rStyle w:val="None"/>
          <w:rFonts w:ascii="Helvetica" w:hAnsi="Helvetica"/>
          <w:i w:val="1"/>
          <w:iCs w:val="1"/>
          <w:rtl w:val="0"/>
          <w:lang w:val="en-US"/>
        </w:rPr>
        <w:t>Oreophryne</w:t>
      </w:r>
      <w:r>
        <w:rPr>
          <w:rFonts w:ascii="Helvetica" w:hAnsi="Helvetica"/>
          <w:rtl w:val="0"/>
          <w:lang w:val="en-US"/>
        </w:rPr>
        <w:t xml:space="preserve"> is the oldest clade in the Papuan subfamily, with genera </w:t>
      </w:r>
      <w:r>
        <w:rPr>
          <w:rStyle w:val="None"/>
          <w:rFonts w:ascii="Helvetica" w:hAnsi="Helvetica"/>
          <w:i w:val="1"/>
          <w:iCs w:val="1"/>
          <w:rtl w:val="0"/>
          <w:lang w:val="en-US"/>
        </w:rPr>
        <w:t>Cophixalus</w:t>
      </w:r>
      <w:r>
        <w:rPr>
          <w:rFonts w:ascii="Helvetica" w:hAnsi="Helvetica"/>
          <w:rtl w:val="0"/>
          <w:lang w:val="en-US"/>
        </w:rPr>
        <w:t xml:space="preserve"> and </w:t>
      </w:r>
      <w:r>
        <w:rPr>
          <w:rStyle w:val="None"/>
          <w:rFonts w:ascii="Helvetica" w:hAnsi="Helvetica"/>
          <w:i w:val="1"/>
          <w:iCs w:val="1"/>
          <w:rtl w:val="0"/>
          <w:lang w:val="en-US"/>
        </w:rPr>
        <w:t>Paedophryne</w:t>
      </w:r>
      <w:r>
        <w:rPr>
          <w:rFonts w:ascii="Helvetica" w:hAnsi="Helvetica"/>
          <w:rtl w:val="0"/>
          <w:lang w:val="en-US"/>
        </w:rPr>
        <w:t xml:space="preserve"> arising before </w:t>
      </w:r>
      <w:r>
        <w:rPr>
          <w:rStyle w:val="None"/>
          <w:rFonts w:ascii="Helvetica" w:hAnsi="Helvetica"/>
          <w:i w:val="1"/>
          <w:iCs w:val="1"/>
          <w:rtl w:val="0"/>
          <w:lang w:val="en-US"/>
        </w:rPr>
        <w:t>Auparoparo</w:t>
      </w:r>
      <w:r>
        <w:rPr>
          <w:rFonts w:ascii="Helvetica" w:hAnsi="Helvetica"/>
          <w:rtl w:val="0"/>
          <w:lang w:val="en-US"/>
        </w:rPr>
        <w:t>, which split from the remaining genera of Asterophryinae.</w:t>
      </w:r>
    </w:p>
    <w:p>
      <w:pPr>
        <w:pStyle w:val="Body A"/>
        <w:widowControl w:val="0"/>
        <w:rPr>
          <w:rFonts w:ascii="Helvetica" w:cs="Helvetica" w:hAnsi="Helvetica" w:eastAsia="Helvetica"/>
        </w:rPr>
      </w:pPr>
      <w:bookmarkEnd w:id="12"/>
    </w:p>
    <w:p>
      <w:pPr>
        <w:pStyle w:val="Heading 2"/>
        <w:spacing w:before="0" w:after="0" w:line="480" w:lineRule="auto"/>
        <w:jc w:val="center"/>
        <w:rPr>
          <w:rFonts w:ascii="Helvetica" w:cs="Helvetica" w:hAnsi="Helvetica" w:eastAsia="Helvetica"/>
        </w:rPr>
      </w:pPr>
      <w:bookmarkStart w:name="morphologybehaviorandrankedtaxonomy" w:id="13"/>
      <w:r>
        <w:rPr>
          <w:rFonts w:ascii="Helvetica" w:hAnsi="Helvetica"/>
          <w:rtl w:val="0"/>
          <w:lang w:val="en-US"/>
        </w:rPr>
        <w:t>Morphology, Behavior, and Ranked Taxonomy</w:t>
      </w:r>
    </w:p>
    <w:p>
      <w:pPr>
        <w:pStyle w:val="First Paragraph"/>
        <w:spacing w:before="0" w:after="0"/>
      </w:pPr>
      <w:r>
        <w:rPr>
          <w:rtl w:val="0"/>
        </w:rPr>
        <w:tab/>
        <w:t xml:space="preserve">We find no morphological synapomorphies that distinguish </w:t>
      </w:r>
      <w:r>
        <w:rPr>
          <w:rStyle w:val="None"/>
          <w:i w:val="1"/>
          <w:iCs w:val="1"/>
          <w:rtl w:val="0"/>
          <w:lang w:val="en-US"/>
        </w:rPr>
        <w:t>Auparoparo</w:t>
      </w:r>
      <w:r>
        <w:rPr>
          <w:rtl w:val="0"/>
          <w:lang w:val="en-US"/>
        </w:rPr>
        <w:t xml:space="preserve"> from </w:t>
      </w:r>
      <w:r>
        <w:rPr>
          <w:rStyle w:val="None"/>
          <w:i w:val="1"/>
          <w:iCs w:val="1"/>
          <w:rtl w:val="0"/>
          <w:lang w:val="en-US"/>
        </w:rPr>
        <w:t>Oreophryne</w:t>
      </w:r>
      <w:r>
        <w:rPr>
          <w:rtl w:val="0"/>
          <w:lang w:val="en-US"/>
        </w:rPr>
        <w:t xml:space="preserve">. </w:t>
      </w:r>
      <w:r>
        <w:rPr>
          <w:rStyle w:val="None"/>
          <w:i w:val="1"/>
          <w:iCs w:val="1"/>
          <w:rtl w:val="0"/>
          <w:lang w:val="en-US"/>
        </w:rPr>
        <w:t>Oreophryne</w:t>
      </w:r>
      <w:r>
        <w:rPr>
          <w:rtl w:val="0"/>
          <w:lang w:val="en-US"/>
        </w:rPr>
        <w:t xml:space="preserve"> sensu lato is diagnosed by characters of the pectoral girdle: posessing highly reduced, curved procoracoid cartilages and clavicles, and lacking an omosternum (Parker 1934; Zweifel 2003). We found that this suite of characters are present in both </w:t>
      </w:r>
      <w:r>
        <w:rPr>
          <w:rStyle w:val="None"/>
          <w:i w:val="1"/>
          <w:iCs w:val="1"/>
          <w:rtl w:val="0"/>
          <w:lang w:val="en-US"/>
        </w:rPr>
        <w:t>Oreophryne</w:t>
      </w:r>
      <w:r>
        <w:rPr>
          <w:rtl w:val="0"/>
          <w:lang w:val="en-US"/>
        </w:rPr>
        <w:t xml:space="preserve"> and </w:t>
      </w:r>
      <w:r>
        <w:rPr>
          <w:rStyle w:val="None"/>
          <w:i w:val="1"/>
          <w:iCs w:val="1"/>
          <w:rtl w:val="0"/>
          <w:lang w:val="en-US"/>
        </w:rPr>
        <w:t>Auparoparo</w:t>
      </w:r>
      <w:r>
        <w:rPr>
          <w:rtl w:val="0"/>
          <w:lang w:val="en-US"/>
        </w:rPr>
        <w:t xml:space="preserve">, and therefore is not diagnostic for neither </w:t>
      </w:r>
      <w:r>
        <w:rPr>
          <w:rStyle w:val="None"/>
          <w:i w:val="1"/>
          <w:iCs w:val="1"/>
          <w:rtl w:val="0"/>
          <w:lang w:val="en-US"/>
        </w:rPr>
        <w:t>Oreophryne</w:t>
      </w:r>
      <w:r>
        <w:rPr>
          <w:rtl w:val="0"/>
          <w:lang w:val="en-US"/>
        </w:rPr>
        <w:t xml:space="preserve"> nor </w:t>
      </w:r>
      <w:r>
        <w:rPr>
          <w:rStyle w:val="None"/>
          <w:i w:val="1"/>
          <w:iCs w:val="1"/>
          <w:rtl w:val="0"/>
          <w:lang w:val="en-US"/>
        </w:rPr>
        <w:t>Auparoparo</w:t>
      </w:r>
      <w:r>
        <w:rPr>
          <w:rtl w:val="0"/>
          <w:lang w:val="en-US"/>
        </w:rPr>
        <w:t xml:space="preserve"> (</w:t>
      </w:r>
      <w:r>
        <w:rPr>
          <w:rStyle w:val="Hyperlink.0"/>
        </w:rPr>
        <w:fldChar w:fldCharType="begin" w:fldLock="0"/>
      </w:r>
      <w:r>
        <w:rPr>
          <w:rStyle w:val="Hyperlink.0"/>
        </w:rPr>
        <w:instrText xml:space="preserve"> HYPERLINK \l "bookmark6" </w:instrText>
      </w:r>
      <w:r>
        <w:rPr>
          <w:rStyle w:val="Hyperlink.0"/>
        </w:rPr>
        <w:fldChar w:fldCharType="separate" w:fldLock="0"/>
      </w:r>
      <w:r>
        <w:rPr>
          <w:rStyle w:val="Hyperlink.0"/>
          <w:rtl w:val="0"/>
          <w:lang w:val="en-US"/>
        </w:rPr>
        <w:t>Table</w:t>
      </w:r>
      <w:r>
        <w:rPr>
          <w:rStyle w:val="Hyperlink.0"/>
          <w:rtl w:val="0"/>
          <w:lang w:val="en-US"/>
        </w:rPr>
        <w:t> </w:t>
      </w:r>
      <w:r>
        <w:rPr>
          <w:rStyle w:val="Hyperlink.0"/>
          <w:rtl w:val="0"/>
          <w:lang w:val="en-US"/>
        </w:rPr>
        <w:t>3</w:t>
      </w:r>
      <w:r>
        <w:rPr/>
        <w:fldChar w:fldCharType="end" w:fldLock="0"/>
      </w:r>
      <w:r>
        <w:rPr>
          <w:rtl w:val="0"/>
          <w:lang w:val="en-US"/>
        </w:rPr>
        <w:t>).</w:t>
      </w:r>
    </w:p>
    <w:p>
      <w:pPr>
        <w:pStyle w:val="Body Text"/>
        <w:spacing w:before="0" w:after="0"/>
        <w:rPr>
          <w:rFonts w:ascii="Helvetica" w:cs="Helvetica" w:hAnsi="Helvetica" w:eastAsia="Helvetica"/>
        </w:rPr>
      </w:pPr>
      <w:r>
        <w:rPr>
          <w:rFonts w:ascii="Helvetica" w:cs="Helvetica" w:hAnsi="Helvetica" w:eastAsia="Helvetica"/>
          <w:rtl w:val="0"/>
        </w:rPr>
        <w:tab/>
        <w:t>Two traits imperfectly segregate between the clades, toe pad widths and call type (</w:t>
      </w: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\l "bookmark7" </w:instrText>
      </w:r>
      <w:r>
        <w:rPr>
          <w:rStyle w:val="Hyperlink.0"/>
          <w:rFonts w:ascii="Helvetica" w:cs="Helvetica" w:hAnsi="Helvetica" w:eastAsia="Helvetica"/>
        </w:rPr>
        <w:fldChar w:fldCharType="separate" w:fldLock="0"/>
      </w:r>
      <w:r>
        <w:rPr>
          <w:rStyle w:val="Hyperlink.0"/>
          <w:rFonts w:ascii="Helvetica" w:hAnsi="Helvetica"/>
          <w:rtl w:val="0"/>
          <w:lang w:val="en-US"/>
        </w:rPr>
        <w:t>Table</w:t>
      </w:r>
      <w:r>
        <w:rPr>
          <w:rStyle w:val="Hyperlink.0"/>
          <w:rFonts w:ascii="Helvetica" w:hAnsi="Helvetica" w:hint="default"/>
          <w:rtl w:val="0"/>
          <w:lang w:val="en-US"/>
        </w:rPr>
        <w:t> </w:t>
      </w:r>
      <w:r>
        <w:rPr>
          <w:rStyle w:val="Hyperlink.0"/>
          <w:rFonts w:ascii="Helvetica" w:hAnsi="Helvetica"/>
          <w:rtl w:val="0"/>
          <w:lang w:val="en-US"/>
        </w:rPr>
        <w:t>3</w:t>
      </w:r>
      <w:r>
        <w:rPr>
          <w:rFonts w:ascii="Helvetica" w:cs="Helvetica" w:hAnsi="Helvetica" w:eastAsia="Helvetica"/>
        </w:rPr>
        <w:fldChar w:fldCharType="end" w:fldLock="0"/>
      </w:r>
      <w:r>
        <w:rPr>
          <w:rFonts w:ascii="Helvetica" w:hAnsi="Helvetica"/>
          <w:rtl w:val="0"/>
          <w:lang w:val="en-US"/>
        </w:rPr>
        <w:t xml:space="preserve">), which may assist in preliminary identification. </w:t>
      </w:r>
      <w:r>
        <w:rPr>
          <w:rStyle w:val="None"/>
          <w:rFonts w:ascii="Helvetica" w:hAnsi="Helvetica"/>
          <w:i w:val="1"/>
          <w:iCs w:val="1"/>
          <w:rtl w:val="0"/>
          <w:lang w:val="en-US"/>
        </w:rPr>
        <w:t>Oreophryne</w:t>
      </w:r>
      <w:r>
        <w:rPr>
          <w:rFonts w:ascii="Helvetica" w:hAnsi="Helvetica"/>
          <w:rtl w:val="0"/>
          <w:lang w:val="en-US"/>
        </w:rPr>
        <w:t xml:space="preserve"> is an arboreal clade with expanded digital pads of roughly equal width between the fingers and toes, whereas </w:t>
      </w:r>
      <w:r>
        <w:rPr>
          <w:rStyle w:val="None"/>
          <w:rFonts w:ascii="Helvetica" w:hAnsi="Helvetica"/>
          <w:i w:val="1"/>
          <w:iCs w:val="1"/>
          <w:rtl w:val="0"/>
          <w:lang w:val="en-US"/>
        </w:rPr>
        <w:t>Auparoparo</w:t>
      </w:r>
      <w:r>
        <w:rPr>
          <w:rFonts w:ascii="Helvetica" w:hAnsi="Helvetica"/>
          <w:rtl w:val="0"/>
          <w:lang w:val="en-US"/>
        </w:rPr>
        <w:t xml:space="preserve"> have visibly larger finger pads, with finger pads roughly 20-30% wider than toes. Both </w:t>
      </w:r>
      <w:r>
        <w:rPr>
          <w:rStyle w:val="None"/>
          <w:rFonts w:ascii="Helvetica" w:hAnsi="Helvetica"/>
          <w:i w:val="1"/>
          <w:iCs w:val="1"/>
          <w:rtl w:val="0"/>
          <w:lang w:val="en-US"/>
        </w:rPr>
        <w:t>Oreophryne</w:t>
      </w:r>
      <w:r>
        <w:rPr>
          <w:rFonts w:ascii="Helvetica" w:hAnsi="Helvetica"/>
          <w:rtl w:val="0"/>
          <w:lang w:val="en-US"/>
        </w:rPr>
        <w:t xml:space="preserve"> and </w:t>
      </w:r>
      <w:r>
        <w:rPr>
          <w:rStyle w:val="None"/>
          <w:rFonts w:ascii="Helvetica" w:hAnsi="Helvetica"/>
          <w:i w:val="1"/>
          <w:iCs w:val="1"/>
          <w:rtl w:val="0"/>
          <w:lang w:val="en-US"/>
        </w:rPr>
        <w:t>Auparoparo</w:t>
      </w:r>
      <w:r>
        <w:rPr>
          <w:rFonts w:ascii="Helvetica" w:hAnsi="Helvetica"/>
          <w:rtl w:val="0"/>
          <w:lang w:val="en-US"/>
        </w:rPr>
        <w:t xml:space="preserve"> use a variety of call types, with </w:t>
      </w:r>
      <w:r>
        <w:rPr>
          <w:rFonts w:ascii="Helvetica" w:hAnsi="Helvetica" w:hint="default"/>
          <w:rtl w:val="0"/>
          <w:lang w:val="en-US"/>
        </w:rPr>
        <w:t>“</w:t>
      </w:r>
      <w:r>
        <w:rPr>
          <w:rFonts w:ascii="Helvetica" w:hAnsi="Helvetica"/>
          <w:rtl w:val="0"/>
          <w:lang w:val="en-US"/>
        </w:rPr>
        <w:t>honks</w:t>
      </w:r>
      <w:r>
        <w:rPr>
          <w:rFonts w:ascii="Helvetica" w:hAnsi="Helvetica" w:hint="default"/>
          <w:rtl w:val="0"/>
          <w:lang w:val="en-US"/>
        </w:rPr>
        <w:t xml:space="preserve">” </w:t>
      </w:r>
      <w:r>
        <w:rPr>
          <w:rFonts w:ascii="Helvetica" w:hAnsi="Helvetica"/>
          <w:rtl w:val="0"/>
          <w:lang w:val="en-US"/>
        </w:rPr>
        <w:t xml:space="preserve">or </w:t>
      </w:r>
      <w:r>
        <w:rPr>
          <w:rFonts w:ascii="Helvetica" w:hAnsi="Helvetica" w:hint="default"/>
          <w:rtl w:val="0"/>
          <w:lang w:val="en-US"/>
        </w:rPr>
        <w:t>“</w:t>
      </w:r>
      <w:r>
        <w:rPr>
          <w:rFonts w:ascii="Helvetica" w:hAnsi="Helvetica"/>
          <w:rtl w:val="0"/>
          <w:lang w:val="en-US"/>
        </w:rPr>
        <w:t>peeps</w:t>
      </w:r>
      <w:r>
        <w:rPr>
          <w:rFonts w:ascii="Helvetica" w:hAnsi="Helvetica" w:hint="default"/>
          <w:rtl w:val="0"/>
          <w:lang w:val="en-US"/>
        </w:rPr>
        <w:t xml:space="preserve">” </w:t>
      </w:r>
      <w:r>
        <w:rPr>
          <w:rFonts w:ascii="Helvetica" w:hAnsi="Helvetica"/>
          <w:rtl w:val="0"/>
          <w:lang w:val="en-US"/>
        </w:rPr>
        <w:t xml:space="preserve">used only by </w:t>
      </w:r>
      <w:r>
        <w:rPr>
          <w:rStyle w:val="None"/>
          <w:rFonts w:ascii="Helvetica" w:hAnsi="Helvetica"/>
          <w:i w:val="1"/>
          <w:iCs w:val="1"/>
          <w:rtl w:val="0"/>
          <w:lang w:val="en-US"/>
        </w:rPr>
        <w:t>Oreophryne</w:t>
      </w:r>
      <w:r>
        <w:rPr>
          <w:rFonts w:ascii="Helvetica" w:hAnsi="Helvetica"/>
          <w:rtl w:val="0"/>
          <w:lang w:val="en-US"/>
        </w:rPr>
        <w:t xml:space="preserve">, whereas </w:t>
      </w:r>
      <w:r>
        <w:rPr>
          <w:rFonts w:ascii="Helvetica" w:hAnsi="Helvetica" w:hint="default"/>
          <w:rtl w:val="0"/>
          <w:lang w:val="en-US"/>
        </w:rPr>
        <w:t>“</w:t>
      </w:r>
      <w:r>
        <w:rPr>
          <w:rFonts w:ascii="Helvetica" w:hAnsi="Helvetica"/>
          <w:rtl w:val="0"/>
          <w:lang w:val="en-US"/>
        </w:rPr>
        <w:t>whinny</w:t>
      </w:r>
      <w:r>
        <w:rPr>
          <w:rFonts w:ascii="Helvetica" w:hAnsi="Helvetica" w:hint="default"/>
          <w:rtl w:val="0"/>
          <w:lang w:val="en-US"/>
        </w:rPr>
        <w:t xml:space="preserve">” </w:t>
      </w:r>
      <w:r>
        <w:rPr>
          <w:rFonts w:ascii="Helvetica" w:hAnsi="Helvetica"/>
          <w:rtl w:val="0"/>
          <w:lang w:val="en-US"/>
        </w:rPr>
        <w:t xml:space="preserve">calls are used only by arboreal </w:t>
      </w:r>
      <w:r>
        <w:rPr>
          <w:rStyle w:val="None"/>
          <w:rFonts w:ascii="Helvetica" w:hAnsi="Helvetica"/>
          <w:i w:val="1"/>
          <w:iCs w:val="1"/>
          <w:rtl w:val="0"/>
          <w:lang w:val="en-US"/>
        </w:rPr>
        <w:t>Auparoparo</w:t>
      </w:r>
      <w:r>
        <w:rPr>
          <w:rFonts w:ascii="Helvetica" w:hAnsi="Helvetica"/>
          <w:rtl w:val="0"/>
          <w:lang w:val="en-US"/>
        </w:rPr>
        <w:t xml:space="preserve">. A minority of species in both groups use the </w:t>
      </w:r>
      <w:r>
        <w:rPr>
          <w:rFonts w:ascii="Helvetica" w:hAnsi="Helvetica" w:hint="default"/>
          <w:rtl w:val="0"/>
          <w:lang w:val="en-US"/>
        </w:rPr>
        <w:t>“</w:t>
      </w:r>
      <w:r>
        <w:rPr>
          <w:rFonts w:ascii="Helvetica" w:hAnsi="Helvetica"/>
          <w:rtl w:val="0"/>
          <w:lang w:val="en-US"/>
        </w:rPr>
        <w:t>rattle</w:t>
      </w:r>
      <w:r>
        <w:rPr>
          <w:rFonts w:ascii="Helvetica" w:hAnsi="Helvetica" w:hint="default"/>
          <w:rtl w:val="0"/>
          <w:lang w:val="en-US"/>
        </w:rPr>
        <w:t xml:space="preserve">” </w:t>
      </w:r>
      <w:r>
        <w:rPr>
          <w:rFonts w:ascii="Helvetica" w:hAnsi="Helvetica"/>
          <w:rtl w:val="0"/>
          <w:lang w:val="en-US"/>
        </w:rPr>
        <w:t>call type. Both toe pad width and call type are variable traits with some overlap and thus not reliable for diagnosis. Furthermore, toe pad is clearly an adaptive trait for arboreality.</w:t>
      </w:r>
    </w:p>
    <w:p>
      <w:pPr>
        <w:pStyle w:val="Body Text"/>
        <w:widowControl w:val="0"/>
        <w:spacing w:before="0" w:after="0" w:line="240" w:lineRule="auto"/>
      </w:pPr>
      <w:r>
        <w:rPr>
          <w:rFonts w:ascii="Arial Unicode MS" w:cs="Arial Unicode MS" w:hAnsi="Arial Unicode MS" w:eastAsia="Arial Unicode MS"/>
          <w:b w:val="0"/>
          <w:bCs w:val="0"/>
          <w:i w:val="0"/>
          <w:iCs w:val="0"/>
        </w:rPr>
        <w:br w:type="page"/>
      </w:r>
    </w:p>
    <w:p>
      <w:pPr>
        <w:pStyle w:val="Body Text"/>
        <w:widowControl w:val="0"/>
        <w:spacing w:before="0" w:after="0" w:line="240" w:lineRule="auto"/>
        <w:rPr>
          <w:rFonts w:ascii="Helvetica" w:cs="Helvetica" w:hAnsi="Helvetica" w:eastAsia="Helvetica"/>
        </w:rPr>
      </w:pPr>
      <w:bookmarkEnd w:id="13"/>
    </w:p>
    <w:p>
      <w:pPr>
        <w:pStyle w:val="Heading 2"/>
        <w:spacing w:before="0" w:after="0" w:line="480" w:lineRule="auto"/>
        <w:jc w:val="center"/>
        <w:rPr>
          <w:rFonts w:ascii="Helvetica" w:cs="Helvetica" w:hAnsi="Helvetica" w:eastAsia="Helvetica"/>
        </w:rPr>
      </w:pPr>
      <w:bookmarkStart w:name="geographicdistribution" w:id="14"/>
      <w:r>
        <w:rPr>
          <w:rFonts w:ascii="Helvetica" w:hAnsi="Helvetica"/>
          <w:rtl w:val="0"/>
          <w:lang w:val="en-US"/>
        </w:rPr>
        <w:t>Geographic Distribution</w:t>
      </w:r>
    </w:p>
    <w:p>
      <w:pPr>
        <w:pStyle w:val="First Paragraph"/>
        <w:spacing w:before="0" w:after="0"/>
      </w:pPr>
      <w:r>
        <w:rPr>
          <w:rtl w:val="0"/>
        </w:rPr>
        <w:tab/>
        <w:t xml:space="preserve">The geographic distributions of </w:t>
      </w:r>
      <w:r>
        <w:rPr>
          <w:rStyle w:val="None"/>
          <w:i w:val="1"/>
          <w:iCs w:val="1"/>
          <w:rtl w:val="0"/>
          <w:lang w:val="en-US"/>
        </w:rPr>
        <w:t>Auparoparo</w:t>
      </w:r>
      <w:r>
        <w:rPr>
          <w:rtl w:val="0"/>
          <w:lang w:val="en-US"/>
        </w:rPr>
        <w:t xml:space="preserve"> and </w:t>
      </w:r>
      <w:r>
        <w:rPr>
          <w:rStyle w:val="None"/>
          <w:i w:val="1"/>
          <w:iCs w:val="1"/>
          <w:rtl w:val="0"/>
          <w:lang w:val="en-US"/>
        </w:rPr>
        <w:t>Oreophryne</w:t>
      </w:r>
      <w:r>
        <w:rPr>
          <w:rtl w:val="0"/>
          <w:lang w:val="en-US"/>
        </w:rPr>
        <w:t xml:space="preserve"> are shown in </w:t>
      </w:r>
      <w:r>
        <w:rPr>
          <w:rStyle w:val="Hyperlink.0"/>
        </w:rPr>
        <w:fldChar w:fldCharType="begin" w:fldLock="0"/>
      </w:r>
      <w:r>
        <w:rPr>
          <w:rStyle w:val="Hyperlink.0"/>
        </w:rPr>
        <w:instrText xml:space="preserve"> HYPERLINK \l "bookmark8" </w:instrText>
      </w:r>
      <w:r>
        <w:rPr>
          <w:rStyle w:val="Hyperlink.0"/>
        </w:rPr>
        <w:fldChar w:fldCharType="separate" w:fldLock="0"/>
      </w:r>
      <w:r>
        <w:rPr>
          <w:rStyle w:val="Hyperlink.0"/>
          <w:rtl w:val="0"/>
          <w:lang w:val="en-US"/>
        </w:rPr>
        <w:t>Figure</w:t>
      </w:r>
      <w:r>
        <w:rPr>
          <w:rStyle w:val="Hyperlink.0"/>
          <w:rtl w:val="0"/>
          <w:lang w:val="en-US"/>
        </w:rPr>
        <w:t> </w:t>
      </w:r>
      <w:r>
        <w:rPr>
          <w:rStyle w:val="Hyperlink.0"/>
          <w:rtl w:val="0"/>
          <w:lang w:val="en-US"/>
        </w:rPr>
        <w:t>3</w:t>
      </w:r>
      <w:r>
        <w:rPr/>
        <w:fldChar w:fldCharType="end" w:fldLock="0"/>
      </w:r>
      <w:r>
        <w:rPr>
          <w:rtl w:val="0"/>
          <w:lang w:val="en-US"/>
        </w:rPr>
        <w:t>, with corresponding phylogenetic relationships.</w:t>
      </w:r>
    </w:p>
    <w:p>
      <w:pPr>
        <w:pStyle w:val="First Paragraph"/>
        <w:widowControl w:val="0"/>
        <w:spacing w:before="0" w:after="0" w:line="240" w:lineRule="auto"/>
      </w:pPr>
      <w:bookmarkEnd w:id="14"/>
    </w:p>
    <w:p>
      <w:pPr>
        <w:pStyle w:val="Heading 2"/>
        <w:spacing w:before="0" w:after="0" w:line="480" w:lineRule="auto"/>
        <w:jc w:val="center"/>
        <w:rPr>
          <w:rFonts w:ascii="Helvetica" w:cs="Helvetica" w:hAnsi="Helvetica" w:eastAsia="Helvetica"/>
        </w:rPr>
      </w:pPr>
      <w:bookmarkStart w:name="taxonomy" w:id="15"/>
      <w:r>
        <w:rPr>
          <w:rFonts w:ascii="Helvetica" w:hAnsi="Helvetica"/>
          <w:rtl w:val="0"/>
          <w:lang w:val="en-US"/>
        </w:rPr>
        <w:t>Taxonomy</w:t>
      </w:r>
    </w:p>
    <w:p>
      <w:pPr>
        <w:pStyle w:val="First Paragraph"/>
        <w:spacing w:before="0" w:after="0"/>
      </w:pPr>
      <w:r>
        <w:rPr>
          <w:rtl w:val="0"/>
        </w:rPr>
        <w:tab/>
        <w:t xml:space="preserve">We use a maximum crown-clade definition for designating </w:t>
      </w:r>
      <w:r>
        <w:rPr>
          <w:rStyle w:val="None"/>
          <w:i w:val="1"/>
          <w:iCs w:val="1"/>
          <w:rtl w:val="0"/>
          <w:lang w:val="en-US"/>
        </w:rPr>
        <w:t>Oreophryne</w:t>
      </w:r>
      <w:r>
        <w:rPr>
          <w:rtl w:val="0"/>
          <w:lang w:val="en-US"/>
        </w:rPr>
        <w:t xml:space="preserve"> and </w:t>
      </w:r>
      <w:r>
        <w:rPr>
          <w:rStyle w:val="None"/>
          <w:i w:val="1"/>
          <w:iCs w:val="1"/>
          <w:rtl w:val="0"/>
          <w:lang w:val="en-US"/>
        </w:rPr>
        <w:t>Auparoparo</w:t>
      </w:r>
      <w:r>
        <w:rPr>
          <w:rtl w:val="0"/>
          <w:lang w:val="en-US"/>
        </w:rPr>
        <w:t xml:space="preserve"> because the monophyly of these taxa are strongly supported, and the relationships of these taxa to each other and to sister genera of Asterophryinae are well-supported (this study, Hill et al. 2022, 2023b), as has been done for other anuran taxa (Brown et al. 2015) and summarized in the PhyloCode (de Queiroz and Gauthier 1990, 1992, 1994). That is, we adopt a nodal definition of the clade that identifies the genus as a monophyletic clade. Specifically, to include the type species of the genus and the most recent common ancestor that includes all extant species of the genus but not members of other genera. This definition is robust to uncertainty in basal relationships such as in the case of adaptive radiations with short branch lengths along the backbone as in Asterophryinae, as well as being robust to identification of new species. We follow Brown et al. (2015) in using the terms converted clade name (CCN) to indicate the phylogenetic redefinition of Oreophryne, and new clade name (NCN) for newly designated names (</w:t>
      </w:r>
      <w:r>
        <w:rPr>
          <w:rStyle w:val="None"/>
          <w:i w:val="1"/>
          <w:iCs w:val="1"/>
          <w:rtl w:val="0"/>
          <w:lang w:val="en-US"/>
        </w:rPr>
        <w:t>Auparoparo</w:t>
      </w:r>
      <w:r>
        <w:rPr>
          <w:rtl w:val="0"/>
          <w:lang w:val="en-US"/>
        </w:rPr>
        <w:t xml:space="preserve">), whereas the previously defined polyphyletic </w:t>
      </w:r>
      <w:r>
        <w:rPr>
          <w:rStyle w:val="None"/>
          <w:i w:val="1"/>
          <w:iCs w:val="1"/>
          <w:rtl w:val="0"/>
          <w:lang w:val="en-US"/>
        </w:rPr>
        <w:t>Oreophryne</w:t>
      </w:r>
      <w:r>
        <w:rPr>
          <w:rtl w:val="0"/>
          <w:lang w:val="en-US"/>
        </w:rPr>
        <w:t xml:space="preserve"> is indicated by </w:t>
      </w:r>
      <w:r>
        <w:rPr>
          <w:rtl w:val="0"/>
          <w:lang w:val="en-US"/>
        </w:rPr>
        <w:t>“</w:t>
      </w:r>
      <w:r>
        <w:rPr>
          <w:rtl w:val="0"/>
          <w:lang w:val="en-US"/>
        </w:rPr>
        <w:t>sensu lato</w:t>
      </w:r>
      <w:r>
        <w:rPr>
          <w:rtl w:val="0"/>
          <w:lang w:val="en-US"/>
        </w:rPr>
        <w:t>”</w:t>
      </w:r>
      <w:r>
        <w:rPr>
          <w:rtl w:val="0"/>
          <w:lang w:val="en-US"/>
        </w:rPr>
        <w:t>.</w:t>
      </w:r>
    </w:p>
    <w:p>
      <w:pPr>
        <w:pStyle w:val="Body Text"/>
        <w:spacing w:before="0" w:after="0"/>
        <w:rPr>
          <w:rFonts w:ascii="Helvetica" w:cs="Helvetica" w:hAnsi="Helvetica" w:eastAsia="Helvetica"/>
        </w:rPr>
      </w:pPr>
    </w:p>
    <w:p>
      <w:pPr>
        <w:pStyle w:val="Hanging Indent"/>
        <w:spacing w:before="0" w:after="0"/>
        <w:rPr>
          <w:rFonts w:ascii="Helvetica" w:cs="Helvetica" w:hAnsi="Helvetica" w:eastAsia="Helvetica"/>
        </w:rPr>
      </w:pPr>
      <w:r>
        <w:rPr>
          <w:rStyle w:val="None"/>
          <w:rFonts w:ascii="Helvetica" w:hAnsi="Helvetica"/>
          <w:b w:val="1"/>
          <w:bCs w:val="1"/>
          <w:rtl w:val="0"/>
          <w:lang w:val="en-US"/>
        </w:rPr>
        <w:t>Family Microhylidae (G</w:t>
      </w:r>
      <w:r>
        <w:rPr>
          <w:rStyle w:val="None"/>
          <w:rFonts w:ascii="Helvetica" w:hAnsi="Helvetica" w:hint="default"/>
          <w:b w:val="1"/>
          <w:bCs w:val="1"/>
          <w:rtl w:val="0"/>
          <w:lang w:val="en-US"/>
        </w:rPr>
        <w:t>ü</w:t>
      </w:r>
      <w:r>
        <w:rPr>
          <w:rStyle w:val="None"/>
          <w:rFonts w:ascii="Helvetica" w:hAnsi="Helvetica"/>
          <w:b w:val="1"/>
          <w:bCs w:val="1"/>
          <w:rtl w:val="0"/>
          <w:lang w:val="en-US"/>
        </w:rPr>
        <w:t>nther 1858)</w:t>
      </w:r>
      <w:r>
        <w:rPr>
          <w:rFonts w:ascii="Helvetica" w:cs="Helvetica" w:hAnsi="Helvetica" w:eastAsia="Helvetica"/>
        </w:rPr>
        <w:br w:type="textWrapping"/>
      </w:r>
      <w:r>
        <w:rPr>
          <w:rStyle w:val="None"/>
          <w:rFonts w:ascii="Helvetica" w:hAnsi="Helvetica"/>
          <w:b w:val="1"/>
          <w:bCs w:val="1"/>
          <w:rtl w:val="0"/>
          <w:lang w:val="en-US"/>
        </w:rPr>
        <w:t>Subfamily Asterophryinae (G</w:t>
      </w:r>
      <w:r>
        <w:rPr>
          <w:rStyle w:val="None"/>
          <w:rFonts w:ascii="Helvetica" w:hAnsi="Helvetica" w:hint="default"/>
          <w:b w:val="1"/>
          <w:bCs w:val="1"/>
          <w:rtl w:val="0"/>
          <w:lang w:val="en-US"/>
        </w:rPr>
        <w:t>ü</w:t>
      </w:r>
      <w:r>
        <w:rPr>
          <w:rStyle w:val="None"/>
          <w:rFonts w:ascii="Helvetica" w:hAnsi="Helvetica"/>
          <w:b w:val="1"/>
          <w:bCs w:val="1"/>
          <w:rtl w:val="0"/>
          <w:lang w:val="en-US"/>
        </w:rPr>
        <w:t>nther 1858)</w:t>
      </w:r>
      <w:r>
        <w:rPr>
          <w:rFonts w:ascii="Helvetica" w:cs="Helvetica" w:hAnsi="Helvetica" w:eastAsia="Helvetica"/>
        </w:rPr>
        <w:br w:type="textWrapping"/>
      </w:r>
      <w:r>
        <w:rPr>
          <w:rStyle w:val="None"/>
          <w:rFonts w:ascii="Helvetica" w:hAnsi="Helvetica"/>
          <w:b w:val="1"/>
          <w:bCs w:val="1"/>
          <w:rtl w:val="0"/>
          <w:lang w:val="en-US"/>
        </w:rPr>
        <w:t xml:space="preserve">Genus </w:t>
      </w:r>
      <w:r>
        <w:rPr>
          <w:rStyle w:val="None"/>
          <w:rFonts w:ascii="Helvetica" w:hAnsi="Helvetica"/>
          <w:b w:val="1"/>
          <w:bCs w:val="1"/>
          <w:i w:val="1"/>
          <w:iCs w:val="1"/>
          <w:rtl w:val="0"/>
          <w:lang w:val="en-US"/>
        </w:rPr>
        <w:t>Oreophryne</w:t>
      </w:r>
      <w:r>
        <w:rPr>
          <w:rStyle w:val="None"/>
          <w:rFonts w:ascii="Helvetica" w:hAnsi="Helvetica"/>
          <w:b w:val="1"/>
          <w:bCs w:val="1"/>
          <w:rtl w:val="0"/>
          <w:lang w:val="en-US"/>
        </w:rPr>
        <w:t xml:space="preserve"> (Boettger 1895) amended</w:t>
      </w:r>
      <w:r>
        <w:rPr>
          <w:rFonts w:ascii="Helvetica" w:cs="Helvetica" w:hAnsi="Helvetica" w:eastAsia="Helvetica"/>
        </w:rPr>
        <w:br w:type="textWrapping"/>
      </w:r>
      <w:r>
        <w:rPr>
          <w:rStyle w:val="None"/>
          <w:rFonts w:ascii="Helvetica" w:hAnsi="Helvetica"/>
          <w:i w:val="1"/>
          <w:iCs w:val="1"/>
          <w:rtl w:val="0"/>
          <w:lang w:val="en-US"/>
        </w:rPr>
        <w:t>Microhyla</w:t>
      </w:r>
      <w:r>
        <w:rPr>
          <w:rFonts w:ascii="Helvetica" w:hAnsi="Helvetica"/>
          <w:rtl w:val="0"/>
          <w:lang w:val="en-US"/>
        </w:rPr>
        <w:t xml:space="preserve"> (Peters and Doria 1878)</w:t>
      </w:r>
      <w:r>
        <w:rPr>
          <w:rFonts w:ascii="Helvetica" w:cs="Helvetica" w:hAnsi="Helvetica" w:eastAsia="Helvetica"/>
        </w:rPr>
        <w:br w:type="textWrapping"/>
      </w:r>
      <w:r>
        <w:rPr>
          <w:rStyle w:val="None"/>
          <w:rFonts w:ascii="Helvetica" w:hAnsi="Helvetica"/>
          <w:i w:val="1"/>
          <w:iCs w:val="1"/>
          <w:rtl w:val="0"/>
          <w:lang w:val="en-US"/>
        </w:rPr>
        <w:t>Callula</w:t>
      </w:r>
      <w:r>
        <w:rPr>
          <w:rFonts w:ascii="Helvetica" w:cs="Helvetica" w:hAnsi="Helvetica" w:eastAsia="Helvetica"/>
        </w:rPr>
        <w:br w:type="textWrapping"/>
      </w:r>
      <w:r>
        <w:rPr>
          <w:rStyle w:val="None"/>
          <w:rFonts w:ascii="Helvetica" w:hAnsi="Helvetica"/>
          <w:i w:val="1"/>
          <w:iCs w:val="1"/>
          <w:rtl w:val="0"/>
          <w:lang w:val="en-US"/>
        </w:rPr>
        <w:t>Oreophryne</w:t>
      </w:r>
      <w:r>
        <w:rPr>
          <w:rFonts w:ascii="Helvetica" w:hAnsi="Helvetica"/>
          <w:rtl w:val="0"/>
          <w:lang w:val="en-US"/>
        </w:rPr>
        <w:t xml:space="preserve"> (Boettger 1895) Type species: </w:t>
      </w:r>
      <w:r>
        <w:rPr>
          <w:rStyle w:val="None"/>
          <w:rFonts w:ascii="Helvetica" w:hAnsi="Helvetica"/>
          <w:i w:val="1"/>
          <w:iCs w:val="1"/>
          <w:rtl w:val="0"/>
          <w:lang w:val="en-US"/>
        </w:rPr>
        <w:t>Oreophryne senckenbergiana</w:t>
      </w:r>
      <w:r>
        <w:rPr>
          <w:rFonts w:ascii="Helvetica" w:hAnsi="Helvetica"/>
          <w:rtl w:val="0"/>
          <w:lang w:val="en-US"/>
        </w:rPr>
        <w:t xml:space="preserve"> (Boettger 1895). (= </w:t>
      </w:r>
      <w:r>
        <w:rPr>
          <w:rStyle w:val="None"/>
          <w:rFonts w:ascii="Helvetica" w:hAnsi="Helvetica"/>
          <w:i w:val="1"/>
          <w:iCs w:val="1"/>
          <w:rtl w:val="0"/>
          <w:lang w:val="en-US"/>
        </w:rPr>
        <w:t>Microhyla achatina</w:t>
      </w:r>
      <w:r>
        <w:rPr>
          <w:rFonts w:ascii="Helvetica" w:hAnsi="Helvetica"/>
          <w:rtl w:val="0"/>
          <w:lang w:val="en-US"/>
        </w:rPr>
        <w:t xml:space="preserve"> var. moluccensis (Peters and Doria 1878), by morphological monotypy, however, this should be verified with molecular evidence.) Placed on Official List of Generic Names in Zoology by Opinion 1266, Anonymous, 1984.</w:t>
      </w:r>
      <w:r>
        <w:rPr>
          <w:rFonts w:ascii="Helvetica" w:cs="Helvetica" w:hAnsi="Helvetica" w:eastAsia="Helvetica"/>
        </w:rPr>
        <w:br w:type="textWrapping"/>
      </w:r>
      <w:r>
        <w:rPr>
          <w:rStyle w:val="None"/>
          <w:rFonts w:ascii="Helvetica" w:hAnsi="Helvetica"/>
          <w:i w:val="1"/>
          <w:iCs w:val="1"/>
          <w:rtl w:val="0"/>
          <w:lang w:val="en-US"/>
        </w:rPr>
        <w:t>Sphenophryne</w:t>
      </w:r>
      <w:r>
        <w:rPr>
          <w:rFonts w:ascii="Helvetica" w:cs="Helvetica" w:hAnsi="Helvetica" w:eastAsia="Helvetica"/>
        </w:rPr>
        <w:br w:type="textWrapping"/>
      </w:r>
      <w:r>
        <w:rPr>
          <w:rStyle w:val="None"/>
          <w:rFonts w:ascii="Helvetica" w:hAnsi="Helvetica"/>
          <w:i w:val="1"/>
          <w:iCs w:val="1"/>
          <w:rtl w:val="0"/>
          <w:lang w:val="en-US"/>
        </w:rPr>
        <w:t>Phrynixalus</w:t>
      </w:r>
      <w:r>
        <w:rPr>
          <w:rFonts w:ascii="Helvetica" w:cs="Helvetica" w:hAnsi="Helvetica" w:eastAsia="Helvetica"/>
        </w:rPr>
        <w:br w:type="textWrapping"/>
      </w:r>
      <w:r>
        <w:rPr>
          <w:rStyle w:val="None"/>
          <w:rFonts w:ascii="Helvetica" w:hAnsi="Helvetica"/>
          <w:i w:val="1"/>
          <w:iCs w:val="1"/>
          <w:rtl w:val="0"/>
          <w:lang w:val="en-US"/>
        </w:rPr>
        <w:t>Mehelyia</w:t>
      </w:r>
      <w:r>
        <w:rPr>
          <w:rFonts w:ascii="Helvetica" w:hAnsi="Helvetica"/>
          <w:rtl w:val="0"/>
          <w:lang w:val="en-US"/>
        </w:rPr>
        <w:t xml:space="preserve"> (Wandolleck 1911), Type species: </w:t>
      </w:r>
      <w:r>
        <w:rPr>
          <w:rStyle w:val="None"/>
          <w:rFonts w:ascii="Helvetica" w:hAnsi="Helvetica"/>
          <w:i w:val="1"/>
          <w:iCs w:val="1"/>
          <w:rtl w:val="0"/>
          <w:lang w:val="en-US"/>
        </w:rPr>
        <w:t>Meheylia lineata</w:t>
      </w:r>
      <w:r>
        <w:rPr>
          <w:rFonts w:ascii="Helvetica" w:hAnsi="Helvetica"/>
          <w:rtl w:val="0"/>
          <w:lang w:val="en-US"/>
        </w:rPr>
        <w:t xml:space="preserve"> (Wandolleck 1911) (=</w:t>
      </w:r>
      <w:r>
        <w:rPr>
          <w:rStyle w:val="None"/>
          <w:rFonts w:ascii="Helvetica" w:hAnsi="Helvetica"/>
          <w:i w:val="1"/>
          <w:iCs w:val="1"/>
          <w:rtl w:val="0"/>
          <w:lang w:val="en-US"/>
        </w:rPr>
        <w:t>Sphenophryne biroi</w:t>
      </w:r>
      <w:r>
        <w:rPr>
          <w:rFonts w:ascii="Helvetica" w:hAnsi="Helvetica"/>
          <w:rtl w:val="0"/>
          <w:lang w:val="en-US"/>
        </w:rPr>
        <w:t xml:space="preserve"> (M</w:t>
      </w:r>
      <w:r>
        <w:rPr>
          <w:rFonts w:ascii="Helvetica" w:hAnsi="Helvetica" w:hint="default"/>
          <w:rtl w:val="0"/>
          <w:lang w:val="en-US"/>
        </w:rPr>
        <w:t>é</w:t>
      </w:r>
      <w:r>
        <w:rPr>
          <w:rFonts w:ascii="Helvetica" w:hAnsi="Helvetica"/>
          <w:rtl w:val="0"/>
          <w:lang w:val="en-US"/>
        </w:rPr>
        <w:t>hely 1897), by subsequent designation of (Parker 1934). Synonymy by (Nieden 1926).</w:t>
      </w:r>
      <w:r>
        <w:rPr>
          <w:rFonts w:ascii="Helvetica" w:cs="Helvetica" w:hAnsi="Helvetica" w:eastAsia="Helvetica"/>
        </w:rPr>
        <w:br w:type="textWrapping"/>
      </w:r>
      <w:r>
        <w:rPr>
          <w:rStyle w:val="None"/>
          <w:rFonts w:ascii="Helvetica" w:hAnsi="Helvetica"/>
          <w:i w:val="1"/>
          <w:iCs w:val="1"/>
          <w:rtl w:val="0"/>
          <w:lang w:val="en-US"/>
        </w:rPr>
        <w:t>Cophixalus</w:t>
      </w:r>
      <w:r>
        <w:rPr>
          <w:rFonts w:ascii="Helvetica" w:cs="Helvetica" w:hAnsi="Helvetica" w:eastAsia="Helvetica"/>
        </w:rPr>
        <w:br w:type="textWrapping"/>
      </w:r>
      <w:r>
        <w:rPr>
          <w:rStyle w:val="None"/>
          <w:rFonts w:ascii="Helvetica" w:hAnsi="Helvetica"/>
          <w:i w:val="1"/>
          <w:iCs w:val="1"/>
          <w:rtl w:val="0"/>
          <w:lang w:val="en-US"/>
        </w:rPr>
        <w:t>Chaperina</w:t>
      </w:r>
    </w:p>
    <w:p>
      <w:pPr>
        <w:pStyle w:val="Body Text"/>
        <w:spacing w:before="0" w:after="0"/>
        <w:rPr>
          <w:rFonts w:ascii="Helvetica" w:cs="Helvetica" w:hAnsi="Helvetica" w:eastAsia="Helvetica"/>
        </w:rPr>
      </w:pPr>
      <w:r>
        <w:rPr>
          <w:rFonts w:ascii="Helvetica" w:hAnsi="Helvetica"/>
          <w:rtl w:val="0"/>
          <w:lang w:val="en-US"/>
        </w:rPr>
        <w:t xml:space="preserve">Type species </w:t>
      </w:r>
      <w:r>
        <w:rPr>
          <w:rStyle w:val="None"/>
          <w:rFonts w:ascii="Helvetica" w:hAnsi="Helvetica"/>
          <w:i w:val="1"/>
          <w:iCs w:val="1"/>
          <w:rtl w:val="0"/>
          <w:lang w:val="en-US"/>
        </w:rPr>
        <w:t>Oreophryne senckenbergiana</w:t>
      </w:r>
      <w:r>
        <w:rPr>
          <w:rFonts w:ascii="Helvetica" w:hAnsi="Helvetica"/>
          <w:rtl w:val="0"/>
          <w:lang w:val="en-US"/>
        </w:rPr>
        <w:t xml:space="preserve"> (Boettger 1895)</w:t>
      </w:r>
    </w:p>
    <w:p>
      <w:pPr>
        <w:pStyle w:val="Body Text"/>
        <w:spacing w:before="0" w:after="0"/>
        <w:rPr>
          <w:rFonts w:ascii="Helvetica" w:cs="Helvetica" w:hAnsi="Helvetica" w:eastAsia="Helvetica"/>
        </w:rPr>
      </w:pPr>
      <w:r>
        <w:rPr>
          <w:rFonts w:ascii="Helvetica" w:cs="Helvetica" w:hAnsi="Helvetica" w:eastAsia="Helvetica"/>
        </w:rPr>
        <w:tab/>
      </w:r>
      <w:r>
        <w:rPr>
          <w:rStyle w:val="None"/>
          <w:rFonts w:ascii="Helvetica" w:hAnsi="Helvetica"/>
          <w:b w:val="1"/>
          <w:bCs w:val="1"/>
          <w:rtl w:val="0"/>
          <w:lang w:val="en-US"/>
        </w:rPr>
        <w:t>Diagnosis:</w:t>
      </w:r>
      <w:r>
        <w:rPr>
          <w:rFonts w:ascii="Helvetica" w:hAnsi="Helvetica"/>
          <w:rtl w:val="0"/>
          <w:lang w:val="en-US"/>
        </w:rPr>
        <w:t xml:space="preserve"> We note that there are no synapomorphies in adult </w:t>
      </w:r>
      <w:r>
        <w:rPr>
          <w:rStyle w:val="None"/>
          <w:rFonts w:ascii="Helvetica" w:hAnsi="Helvetica"/>
          <w:i w:val="1"/>
          <w:iCs w:val="1"/>
          <w:rtl w:val="0"/>
          <w:lang w:val="en-US"/>
        </w:rPr>
        <w:t>Oreophryne</w:t>
      </w:r>
      <w:r>
        <w:rPr>
          <w:rFonts w:ascii="Helvetica" w:hAnsi="Helvetica"/>
          <w:rtl w:val="0"/>
          <w:lang w:val="en-US"/>
        </w:rPr>
        <w:t xml:space="preserve"> that differ from the morphologically similar genus </w:t>
      </w:r>
      <w:r>
        <w:rPr>
          <w:rStyle w:val="None"/>
          <w:rFonts w:ascii="Helvetica" w:hAnsi="Helvetica"/>
          <w:i w:val="1"/>
          <w:iCs w:val="1"/>
          <w:rtl w:val="0"/>
          <w:lang w:val="en-US"/>
        </w:rPr>
        <w:t>Auparoparo</w:t>
      </w:r>
      <w:r>
        <w:rPr>
          <w:rFonts w:ascii="Helvetica" w:hAnsi="Helvetica"/>
          <w:rtl w:val="0"/>
          <w:lang w:val="en-US"/>
        </w:rPr>
        <w:t>. Diagnoses should be made by molecular phylogenetic analysis, based on the phylogenetic definition below.</w:t>
      </w:r>
    </w:p>
    <w:p>
      <w:pPr>
        <w:pStyle w:val="Body Text"/>
        <w:spacing w:before="0" w:after="0"/>
        <w:rPr>
          <w:rFonts w:ascii="Helvetica" w:cs="Helvetica" w:hAnsi="Helvetica" w:eastAsia="Helvetica"/>
        </w:rPr>
      </w:pPr>
      <w:r>
        <w:rPr>
          <w:rFonts w:ascii="Helvetica" w:cs="Helvetica" w:hAnsi="Helvetica" w:eastAsia="Helvetica"/>
        </w:rPr>
        <w:tab/>
      </w:r>
      <w:r>
        <w:rPr>
          <w:rStyle w:val="None"/>
          <w:rFonts w:ascii="Helvetica" w:hAnsi="Helvetica"/>
          <w:b w:val="1"/>
          <w:bCs w:val="1"/>
          <w:rtl w:val="0"/>
          <w:lang w:val="en-US"/>
        </w:rPr>
        <w:t>Description:</w:t>
      </w:r>
      <w:r>
        <w:rPr>
          <w:rFonts w:ascii="Helvetica" w:hAnsi="Helvetica"/>
          <w:rtl w:val="0"/>
          <w:lang w:val="en-US"/>
        </w:rPr>
        <w:t xml:space="preserve"> </w:t>
      </w:r>
      <w:r>
        <w:rPr>
          <w:rStyle w:val="None"/>
          <w:rFonts w:ascii="Helvetica" w:hAnsi="Helvetica"/>
          <w:i w:val="1"/>
          <w:iCs w:val="1"/>
          <w:rtl w:val="0"/>
          <w:lang w:val="en-US"/>
        </w:rPr>
        <w:t>Oreophryne</w:t>
      </w:r>
      <w:r>
        <w:rPr>
          <w:rFonts w:ascii="Helvetica" w:hAnsi="Helvetica"/>
          <w:rtl w:val="0"/>
          <w:lang w:val="en-US"/>
        </w:rPr>
        <w:t xml:space="preserve"> differs from most other genera in subfamily Asterophryinae, but not from </w:t>
      </w:r>
      <w:r>
        <w:rPr>
          <w:rStyle w:val="None"/>
          <w:rFonts w:ascii="Helvetica" w:hAnsi="Helvetica"/>
          <w:i w:val="1"/>
          <w:iCs w:val="1"/>
          <w:rtl w:val="0"/>
          <w:lang w:val="en-US"/>
        </w:rPr>
        <w:t>Auparoparo</w:t>
      </w:r>
      <w:r>
        <w:rPr>
          <w:rFonts w:ascii="Helvetica" w:hAnsi="Helvetica"/>
          <w:rtl w:val="0"/>
          <w:lang w:val="en-US"/>
        </w:rPr>
        <w:t>, by the combination of (1) presence of highly reduced clavicles (vs absence or elongate) which have a distinctly curved shape; (2) presence of well developed digital pads, often with finger and toe pads of similar size; (3) arboreal lifestyle (perch height &gt;2m above ground); (4) most species range in body size from 16mm (</w:t>
      </w:r>
      <w:r>
        <w:rPr>
          <w:rStyle w:val="None"/>
          <w:rFonts w:ascii="Helvetica" w:hAnsi="Helvetica"/>
          <w:i w:val="1"/>
          <w:iCs w:val="1"/>
          <w:rtl w:val="0"/>
          <w:lang w:val="en-US"/>
        </w:rPr>
        <w:t>O. graminis</w:t>
      </w:r>
      <w:r>
        <w:rPr>
          <w:rFonts w:ascii="Helvetica" w:hAnsi="Helvetica"/>
          <w:rtl w:val="0"/>
          <w:lang w:val="en-US"/>
        </w:rPr>
        <w:t>, G</w:t>
      </w:r>
      <w:r>
        <w:rPr>
          <w:rFonts w:ascii="Helvetica" w:hAnsi="Helvetica" w:hint="default"/>
          <w:rtl w:val="0"/>
          <w:lang w:val="en-US"/>
        </w:rPr>
        <w:t>ü</w:t>
      </w:r>
      <w:r>
        <w:rPr>
          <w:rFonts w:ascii="Helvetica" w:hAnsi="Helvetica"/>
          <w:rtl w:val="0"/>
          <w:lang w:val="en-US"/>
        </w:rPr>
        <w:t>nther and Richards 2012) to 30mm, with a few larger species ~40mm (</w:t>
      </w:r>
      <w:r>
        <w:rPr>
          <w:rStyle w:val="None"/>
          <w:rFonts w:ascii="Helvetica" w:hAnsi="Helvetica"/>
          <w:i w:val="1"/>
          <w:iCs w:val="1"/>
          <w:rtl w:val="0"/>
          <w:lang w:val="en-US"/>
        </w:rPr>
        <w:t>O. inornata</w:t>
      </w:r>
      <w:r>
        <w:rPr>
          <w:rFonts w:ascii="Helvetica" w:hAnsi="Helvetica"/>
          <w:rtl w:val="0"/>
          <w:lang w:val="en-US"/>
        </w:rPr>
        <w:t xml:space="preserve">); (5) small to invisible tympanum; (6) large eyes with pupil horizontal; (7) occasional presence of toe webbing; (8) thin, elongated limbs; and (9) in many species males that call with </w:t>
      </w:r>
      <w:r>
        <w:rPr>
          <w:rFonts w:ascii="Helvetica" w:hAnsi="Helvetica" w:hint="default"/>
          <w:rtl w:val="0"/>
          <w:lang w:val="en-US"/>
        </w:rPr>
        <w:t>“</w:t>
      </w:r>
      <w:r>
        <w:rPr>
          <w:rFonts w:ascii="Helvetica" w:hAnsi="Helvetica"/>
          <w:rtl w:val="0"/>
          <w:lang w:val="en-US"/>
        </w:rPr>
        <w:t>honk</w:t>
      </w:r>
      <w:r>
        <w:rPr>
          <w:rFonts w:ascii="Helvetica" w:hAnsi="Helvetica" w:hint="default"/>
          <w:rtl w:val="0"/>
          <w:lang w:val="en-US"/>
        </w:rPr>
        <w:t xml:space="preserve">” </w:t>
      </w:r>
      <w:r>
        <w:rPr>
          <w:rFonts w:ascii="Helvetica" w:hAnsi="Helvetica"/>
          <w:rtl w:val="0"/>
          <w:lang w:val="en-US"/>
        </w:rPr>
        <w:t xml:space="preserve">or </w:t>
      </w:r>
      <w:r>
        <w:rPr>
          <w:rFonts w:ascii="Helvetica" w:hAnsi="Helvetica" w:hint="default"/>
          <w:rtl w:val="0"/>
          <w:lang w:val="en-US"/>
        </w:rPr>
        <w:t>“</w:t>
      </w:r>
      <w:r>
        <w:rPr>
          <w:rFonts w:ascii="Helvetica" w:hAnsi="Helvetica"/>
          <w:rtl w:val="0"/>
          <w:lang w:val="en-US"/>
        </w:rPr>
        <w:t>peep</w:t>
      </w:r>
      <w:r>
        <w:rPr>
          <w:rFonts w:ascii="Helvetica" w:hAnsi="Helvetica" w:hint="default"/>
          <w:rtl w:val="0"/>
          <w:lang w:val="en-US"/>
        </w:rPr>
        <w:t xml:space="preserve">” </w:t>
      </w:r>
      <w:r>
        <w:rPr>
          <w:rFonts w:ascii="Helvetica" w:hAnsi="Helvetica"/>
          <w:rtl w:val="0"/>
          <w:lang w:val="en-US"/>
        </w:rPr>
        <w:t xml:space="preserve">types or in some species </w:t>
      </w:r>
      <w:r>
        <w:rPr>
          <w:rFonts w:ascii="Helvetica" w:hAnsi="Helvetica" w:hint="default"/>
          <w:rtl w:val="0"/>
          <w:lang w:val="en-US"/>
        </w:rPr>
        <w:t>“</w:t>
      </w:r>
      <w:r>
        <w:rPr>
          <w:rFonts w:ascii="Helvetica" w:hAnsi="Helvetica"/>
          <w:rtl w:val="0"/>
          <w:lang w:val="en-US"/>
        </w:rPr>
        <w:t>rattle</w:t>
      </w:r>
      <w:r>
        <w:rPr>
          <w:rFonts w:ascii="Helvetica" w:hAnsi="Helvetica" w:hint="default"/>
          <w:rtl w:val="0"/>
          <w:lang w:val="en-US"/>
        </w:rPr>
        <w:t xml:space="preserve">” </w:t>
      </w:r>
      <w:r>
        <w:rPr>
          <w:rFonts w:ascii="Helvetica" w:hAnsi="Helvetica"/>
          <w:rtl w:val="0"/>
          <w:lang w:val="en-US"/>
        </w:rPr>
        <w:t xml:space="preserve">type. Some species of </w:t>
      </w:r>
      <w:r>
        <w:rPr>
          <w:rStyle w:val="None"/>
          <w:rFonts w:ascii="Helvetica" w:hAnsi="Helvetica"/>
          <w:i w:val="1"/>
          <w:iCs w:val="1"/>
          <w:rtl w:val="0"/>
          <w:lang w:val="en-US"/>
        </w:rPr>
        <w:t>Oreophryne</w:t>
      </w:r>
      <w:r>
        <w:rPr>
          <w:rFonts w:ascii="Helvetica" w:hAnsi="Helvetica"/>
          <w:rtl w:val="0"/>
          <w:lang w:val="en-US"/>
        </w:rPr>
        <w:t xml:space="preserve"> may be distinguished from </w:t>
      </w:r>
      <w:r>
        <w:rPr>
          <w:rStyle w:val="None"/>
          <w:rFonts w:ascii="Helvetica" w:hAnsi="Helvetica"/>
          <w:i w:val="1"/>
          <w:iCs w:val="1"/>
          <w:rtl w:val="0"/>
          <w:lang w:val="en-US"/>
        </w:rPr>
        <w:t>Auparoparo</w:t>
      </w:r>
      <w:r>
        <w:rPr>
          <w:rFonts w:ascii="Helvetica" w:hAnsi="Helvetica"/>
          <w:rtl w:val="0"/>
          <w:lang w:val="en-US"/>
        </w:rPr>
        <w:t xml:space="preserve"> by roughly equal finger to toe pad ratio and males calling with </w:t>
      </w:r>
      <w:r>
        <w:rPr>
          <w:rFonts w:ascii="Helvetica" w:hAnsi="Helvetica" w:hint="default"/>
          <w:rtl w:val="0"/>
          <w:lang w:val="en-US"/>
        </w:rPr>
        <w:t>“</w:t>
      </w:r>
      <w:r>
        <w:rPr>
          <w:rFonts w:ascii="Helvetica" w:hAnsi="Helvetica"/>
          <w:rtl w:val="0"/>
          <w:lang w:val="en-US"/>
        </w:rPr>
        <w:t>honk</w:t>
      </w:r>
      <w:r>
        <w:rPr>
          <w:rFonts w:ascii="Helvetica" w:hAnsi="Helvetica" w:hint="default"/>
          <w:rtl w:val="0"/>
          <w:lang w:val="en-US"/>
        </w:rPr>
        <w:t xml:space="preserve">” </w:t>
      </w:r>
      <w:r>
        <w:rPr>
          <w:rFonts w:ascii="Helvetica" w:hAnsi="Helvetica"/>
          <w:rtl w:val="0"/>
          <w:lang w:val="en-US"/>
        </w:rPr>
        <w:t xml:space="preserve">or </w:t>
      </w:r>
      <w:r>
        <w:rPr>
          <w:rFonts w:ascii="Helvetica" w:hAnsi="Helvetica" w:hint="default"/>
          <w:rtl w:val="0"/>
          <w:lang w:val="en-US"/>
        </w:rPr>
        <w:t>“</w:t>
      </w:r>
      <w:r>
        <w:rPr>
          <w:rFonts w:ascii="Helvetica" w:hAnsi="Helvetica"/>
          <w:rtl w:val="0"/>
          <w:lang w:val="en-US"/>
        </w:rPr>
        <w:t>peep</w:t>
      </w:r>
      <w:r>
        <w:rPr>
          <w:rFonts w:ascii="Helvetica" w:hAnsi="Helvetica" w:hint="default"/>
          <w:rtl w:val="0"/>
          <w:lang w:val="en-US"/>
        </w:rPr>
        <w:t xml:space="preserve">” </w:t>
      </w:r>
      <w:r>
        <w:rPr>
          <w:rFonts w:ascii="Helvetica" w:hAnsi="Helvetica"/>
          <w:rtl w:val="0"/>
          <w:lang w:val="en-US"/>
        </w:rPr>
        <w:t xml:space="preserve">but not </w:t>
      </w:r>
      <w:r>
        <w:rPr>
          <w:rFonts w:ascii="Helvetica" w:hAnsi="Helvetica" w:hint="default"/>
          <w:rtl w:val="0"/>
          <w:lang w:val="en-US"/>
        </w:rPr>
        <w:t>“</w:t>
      </w:r>
      <w:r>
        <w:rPr>
          <w:rFonts w:ascii="Helvetica" w:hAnsi="Helvetica"/>
          <w:rtl w:val="0"/>
          <w:lang w:val="en-US"/>
        </w:rPr>
        <w:t>whinny</w:t>
      </w:r>
      <w:r>
        <w:rPr>
          <w:rFonts w:ascii="Helvetica" w:hAnsi="Helvetica" w:hint="default"/>
          <w:rtl w:val="0"/>
          <w:lang w:val="en-US"/>
        </w:rPr>
        <w:t xml:space="preserve">” </w:t>
      </w:r>
      <w:r>
        <w:rPr>
          <w:rFonts w:ascii="Helvetica" w:hAnsi="Helvetica"/>
          <w:rtl w:val="0"/>
          <w:lang w:val="en-US"/>
        </w:rPr>
        <w:t>call types.</w:t>
      </w:r>
    </w:p>
    <w:p>
      <w:pPr>
        <w:pStyle w:val="Body Text"/>
        <w:spacing w:before="0" w:after="0"/>
        <w:rPr>
          <w:rFonts w:ascii="Helvetica" w:cs="Helvetica" w:hAnsi="Helvetica" w:eastAsia="Helvetica"/>
        </w:rPr>
      </w:pPr>
      <w:r>
        <w:rPr>
          <w:rFonts w:ascii="Helvetica" w:cs="Helvetica" w:hAnsi="Helvetica" w:eastAsia="Helvetica"/>
        </w:rPr>
        <w:tab/>
      </w:r>
      <w:r>
        <w:rPr>
          <w:rStyle w:val="None"/>
          <w:rFonts w:ascii="Helvetica" w:hAnsi="Helvetica"/>
          <w:b w:val="1"/>
          <w:bCs w:val="1"/>
          <w:rtl w:val="0"/>
          <w:lang w:val="en-US"/>
        </w:rPr>
        <w:t>Phylogenetic definition:</w:t>
      </w:r>
      <w:r>
        <w:rPr>
          <w:rFonts w:ascii="Helvetica" w:hAnsi="Helvetica"/>
          <w:rtl w:val="0"/>
          <w:lang w:val="en-US"/>
        </w:rPr>
        <w:t xml:space="preserve"> </w:t>
      </w:r>
      <w:r>
        <w:rPr>
          <w:rStyle w:val="None"/>
          <w:rFonts w:ascii="Helvetica" w:hAnsi="Helvetica"/>
          <w:i w:val="1"/>
          <w:iCs w:val="1"/>
          <w:rtl w:val="0"/>
          <w:lang w:val="en-US"/>
        </w:rPr>
        <w:t>Oreophryne</w:t>
      </w:r>
      <w:r>
        <w:rPr>
          <w:rFonts w:ascii="Helvetica" w:hAnsi="Helvetica"/>
          <w:rtl w:val="0"/>
          <w:lang w:val="en-US"/>
        </w:rPr>
        <w:t xml:space="preserve"> (CCN) is defined as the maximum crown-clade (the monophyletic clade descending from node A, </w:t>
      </w: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\l "bookmark9" </w:instrText>
      </w:r>
      <w:r>
        <w:rPr>
          <w:rStyle w:val="Hyperlink.0"/>
          <w:rFonts w:ascii="Helvetica" w:cs="Helvetica" w:hAnsi="Helvetica" w:eastAsia="Helvetica"/>
        </w:rPr>
        <w:fldChar w:fldCharType="separate" w:fldLock="0"/>
      </w:r>
      <w:r>
        <w:rPr>
          <w:rStyle w:val="Hyperlink.0"/>
          <w:rFonts w:ascii="Helvetica" w:hAnsi="Helvetica"/>
          <w:rtl w:val="0"/>
          <w:lang w:val="en-US"/>
        </w:rPr>
        <w:t>Figure</w:t>
      </w:r>
      <w:r>
        <w:rPr>
          <w:rStyle w:val="Hyperlink.0"/>
          <w:rFonts w:ascii="Helvetica" w:hAnsi="Helvetica" w:hint="default"/>
          <w:rtl w:val="0"/>
          <w:lang w:val="en-US"/>
        </w:rPr>
        <w:t> </w:t>
      </w:r>
      <w:r>
        <w:rPr>
          <w:rStyle w:val="Hyperlink.0"/>
          <w:rFonts w:ascii="Helvetica" w:hAnsi="Helvetica"/>
          <w:rtl w:val="0"/>
          <w:lang w:val="en-US"/>
        </w:rPr>
        <w:t>2</w:t>
      </w:r>
      <w:r>
        <w:rPr>
          <w:rFonts w:ascii="Helvetica" w:cs="Helvetica" w:hAnsi="Helvetica" w:eastAsia="Helvetica"/>
        </w:rPr>
        <w:fldChar w:fldCharType="end" w:fldLock="0"/>
      </w:r>
      <w:r>
        <w:rPr>
          <w:rFonts w:ascii="Helvetica" w:hAnsi="Helvetica"/>
          <w:rtl w:val="0"/>
          <w:lang w:val="en-US"/>
        </w:rPr>
        <w:t xml:space="preserve">) originating with the most recent common ancestor of </w:t>
      </w:r>
      <w:r>
        <w:rPr>
          <w:rStyle w:val="None"/>
          <w:rFonts w:ascii="Helvetica" w:hAnsi="Helvetica"/>
          <w:i w:val="1"/>
          <w:iCs w:val="1"/>
          <w:rtl w:val="0"/>
          <w:lang w:val="en-US"/>
        </w:rPr>
        <w:t>Oreophryne senckenbergiana</w:t>
      </w:r>
      <w:r>
        <w:rPr>
          <w:rFonts w:ascii="Helvetica" w:hAnsi="Helvetica"/>
          <w:rtl w:val="0"/>
          <w:lang w:val="en-US"/>
        </w:rPr>
        <w:t xml:space="preserve"> (Boettger 1895), the type species of </w:t>
      </w:r>
      <w:r>
        <w:rPr>
          <w:rStyle w:val="None"/>
          <w:rFonts w:ascii="Helvetica" w:hAnsi="Helvetica"/>
          <w:i w:val="1"/>
          <w:iCs w:val="1"/>
          <w:rtl w:val="0"/>
          <w:lang w:val="en-US"/>
        </w:rPr>
        <w:t>Oreophryne</w:t>
      </w:r>
      <w:r>
        <w:rPr>
          <w:rFonts w:ascii="Helvetica" w:hAnsi="Helvetica"/>
          <w:rtl w:val="0"/>
          <w:lang w:val="en-US"/>
        </w:rPr>
        <w:t xml:space="preserve">, and all extant species that share a common ancestor with </w:t>
      </w:r>
      <w:r>
        <w:rPr>
          <w:rStyle w:val="None"/>
          <w:rFonts w:ascii="Helvetica" w:hAnsi="Helvetica"/>
          <w:i w:val="1"/>
          <w:iCs w:val="1"/>
          <w:rtl w:val="0"/>
          <w:lang w:val="en-US"/>
        </w:rPr>
        <w:t>O. senckenbergiana</w:t>
      </w:r>
      <w:r>
        <w:rPr>
          <w:rFonts w:ascii="Helvetica" w:hAnsi="Helvetica"/>
          <w:rtl w:val="0"/>
          <w:lang w:val="en-US"/>
        </w:rPr>
        <w:t xml:space="preserve"> more recently than they do with reference species of all the other nominal generic clades listed in </w:t>
      </w: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\l "bookmark10" </w:instrText>
      </w:r>
      <w:r>
        <w:rPr>
          <w:rStyle w:val="Hyperlink.0"/>
          <w:rFonts w:ascii="Helvetica" w:cs="Helvetica" w:hAnsi="Helvetica" w:eastAsia="Helvetica"/>
        </w:rPr>
        <w:fldChar w:fldCharType="separate" w:fldLock="0"/>
      </w:r>
      <w:r>
        <w:rPr>
          <w:rStyle w:val="Hyperlink.0"/>
          <w:rFonts w:ascii="Helvetica" w:hAnsi="Helvetica"/>
          <w:rtl w:val="0"/>
          <w:lang w:val="en-US"/>
        </w:rPr>
        <w:t>Table</w:t>
      </w:r>
      <w:r>
        <w:rPr>
          <w:rStyle w:val="Hyperlink.0"/>
          <w:rFonts w:ascii="Helvetica" w:hAnsi="Helvetica" w:hint="default"/>
          <w:rtl w:val="0"/>
          <w:lang w:val="en-US"/>
        </w:rPr>
        <w:t> </w:t>
      </w:r>
      <w:r>
        <w:rPr>
          <w:rStyle w:val="Hyperlink.0"/>
          <w:rFonts w:ascii="Helvetica" w:hAnsi="Helvetica"/>
          <w:rtl w:val="0"/>
          <w:lang w:val="en-US"/>
        </w:rPr>
        <w:t>4</w:t>
      </w:r>
      <w:r>
        <w:rPr>
          <w:rFonts w:ascii="Helvetica" w:cs="Helvetica" w:hAnsi="Helvetica" w:eastAsia="Helvetica"/>
        </w:rPr>
        <w:fldChar w:fldCharType="end" w:fldLock="0"/>
      </w:r>
      <w:r>
        <w:rPr>
          <w:rFonts w:ascii="Helvetica" w:hAnsi="Helvetica"/>
          <w:rtl w:val="0"/>
          <w:lang w:val="en-US"/>
        </w:rPr>
        <w:t xml:space="preserve">; with reference species of the closest sister clades to </w:t>
      </w:r>
      <w:r>
        <w:rPr>
          <w:rStyle w:val="None"/>
          <w:rFonts w:ascii="Helvetica" w:hAnsi="Helvetica"/>
          <w:i w:val="1"/>
          <w:iCs w:val="1"/>
          <w:rtl w:val="0"/>
          <w:lang w:val="en-US"/>
        </w:rPr>
        <w:t>Oreophryne</w:t>
      </w:r>
      <w:r>
        <w:rPr>
          <w:rFonts w:ascii="Helvetica" w:hAnsi="Helvetica"/>
          <w:rtl w:val="0"/>
          <w:lang w:val="en-US"/>
        </w:rPr>
        <w:t xml:space="preserve"> currently being </w:t>
      </w:r>
      <w:r>
        <w:rPr>
          <w:rStyle w:val="None"/>
          <w:rFonts w:ascii="Helvetica" w:hAnsi="Helvetica"/>
          <w:i w:val="1"/>
          <w:iCs w:val="1"/>
          <w:rtl w:val="0"/>
          <w:lang w:val="en-US"/>
        </w:rPr>
        <w:t>Auparoparo penelopeia</w:t>
      </w:r>
      <w:r>
        <w:rPr>
          <w:rFonts w:ascii="Helvetica" w:hAnsi="Helvetica"/>
          <w:rtl w:val="0"/>
          <w:lang w:val="en-US"/>
        </w:rPr>
        <w:t xml:space="preserve"> (Kraus 2016), </w:t>
      </w:r>
      <w:r>
        <w:rPr>
          <w:rStyle w:val="None"/>
          <w:rFonts w:ascii="Helvetica" w:hAnsi="Helvetica"/>
          <w:i w:val="1"/>
          <w:iCs w:val="1"/>
          <w:rtl w:val="0"/>
          <w:lang w:val="en-US"/>
        </w:rPr>
        <w:t>Cophixalus verrucosus</w:t>
      </w:r>
      <w:r>
        <w:rPr>
          <w:rFonts w:ascii="Helvetica" w:hAnsi="Helvetica"/>
          <w:rtl w:val="0"/>
          <w:lang w:val="en-US"/>
        </w:rPr>
        <w:t xml:space="preserve"> (Boettger 1892), and </w:t>
      </w:r>
      <w:r>
        <w:rPr>
          <w:rStyle w:val="None"/>
          <w:rFonts w:ascii="Helvetica" w:hAnsi="Helvetica"/>
          <w:i w:val="1"/>
          <w:iCs w:val="1"/>
          <w:rtl w:val="0"/>
          <w:lang w:val="en-US"/>
        </w:rPr>
        <w:t>Paedophryne kathismaphlox</w:t>
      </w:r>
      <w:r>
        <w:rPr>
          <w:rFonts w:ascii="Helvetica" w:hAnsi="Helvetica"/>
          <w:rtl w:val="0"/>
          <w:lang w:val="en-US"/>
        </w:rPr>
        <w:t xml:space="preserve"> (Kraus 2010).</w:t>
      </w:r>
    </w:p>
    <w:p>
      <w:pPr>
        <w:pStyle w:val="Body Text"/>
        <w:spacing w:before="0" w:after="0"/>
        <w:rPr>
          <w:rFonts w:ascii="Helvetica" w:cs="Helvetica" w:hAnsi="Helvetica" w:eastAsia="Helvetica"/>
        </w:rPr>
      </w:pPr>
      <w:r>
        <w:rPr>
          <w:rFonts w:ascii="Helvetica" w:cs="Helvetica" w:hAnsi="Helvetica" w:eastAsia="Helvetica"/>
        </w:rPr>
        <w:tab/>
      </w:r>
      <w:r>
        <w:rPr>
          <w:rStyle w:val="None"/>
          <w:rFonts w:ascii="Helvetica" w:hAnsi="Helvetica"/>
          <w:b w:val="1"/>
          <w:bCs w:val="1"/>
          <w:rtl w:val="0"/>
          <w:lang w:val="en-US"/>
        </w:rPr>
        <w:t>Content:</w:t>
      </w:r>
      <w:r>
        <w:rPr>
          <w:rFonts w:ascii="Helvetica" w:hAnsi="Helvetica"/>
          <w:rtl w:val="0"/>
          <w:lang w:val="en-US"/>
        </w:rPr>
        <w:t xml:space="preserve"> Our results support the retention of 17 species in </w:t>
      </w:r>
      <w:r>
        <w:rPr>
          <w:rStyle w:val="None"/>
          <w:rFonts w:ascii="Helvetica" w:hAnsi="Helvetica"/>
          <w:i w:val="1"/>
          <w:iCs w:val="1"/>
          <w:rtl w:val="0"/>
          <w:lang w:val="en-US"/>
        </w:rPr>
        <w:t>Oreophryne</w:t>
      </w:r>
      <w:r>
        <w:rPr>
          <w:rFonts w:ascii="Helvetica" w:hAnsi="Helvetica"/>
          <w:rtl w:val="0"/>
          <w:lang w:val="en-US"/>
        </w:rPr>
        <w:t xml:space="preserve"> with molecular evidence (</w:t>
      </w: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\l "bookmark11" </w:instrText>
      </w:r>
      <w:r>
        <w:rPr>
          <w:rStyle w:val="Hyperlink.0"/>
          <w:rFonts w:ascii="Helvetica" w:cs="Helvetica" w:hAnsi="Helvetica" w:eastAsia="Helvetica"/>
        </w:rPr>
        <w:fldChar w:fldCharType="separate" w:fldLock="0"/>
      </w:r>
      <w:r>
        <w:rPr>
          <w:rStyle w:val="Hyperlink.0"/>
          <w:rFonts w:ascii="Helvetica" w:hAnsi="Helvetica"/>
          <w:rtl w:val="0"/>
          <w:lang w:val="en-US"/>
        </w:rPr>
        <w:t>Table</w:t>
      </w:r>
      <w:r>
        <w:rPr>
          <w:rStyle w:val="Hyperlink.0"/>
          <w:rFonts w:ascii="Helvetica" w:hAnsi="Helvetica" w:hint="default"/>
          <w:rtl w:val="0"/>
          <w:lang w:val="en-US"/>
        </w:rPr>
        <w:t> </w:t>
      </w:r>
      <w:r>
        <w:rPr>
          <w:rStyle w:val="Hyperlink.0"/>
          <w:rFonts w:ascii="Helvetica" w:hAnsi="Helvetica"/>
          <w:rtl w:val="0"/>
          <w:lang w:val="en-US"/>
        </w:rPr>
        <w:t>5</w:t>
      </w:r>
      <w:r>
        <w:rPr>
          <w:rFonts w:ascii="Helvetica" w:cs="Helvetica" w:hAnsi="Helvetica" w:eastAsia="Helvetica"/>
        </w:rPr>
        <w:fldChar w:fldCharType="end" w:fldLock="0"/>
      </w:r>
      <w:r>
        <w:rPr>
          <w:rFonts w:ascii="Helvetica" w:hAnsi="Helvetica"/>
          <w:rtl w:val="0"/>
          <w:lang w:val="en-US"/>
        </w:rPr>
        <w:t xml:space="preserve">): </w:t>
      </w:r>
      <w:r>
        <w:rPr>
          <w:rStyle w:val="None"/>
          <w:rFonts w:ascii="Helvetica" w:hAnsi="Helvetica"/>
          <w:i w:val="1"/>
          <w:iCs w:val="1"/>
          <w:rtl w:val="0"/>
          <w:lang w:val="en-US"/>
        </w:rPr>
        <w:t>Oreophryne anamiatoi</w:t>
      </w:r>
      <w:r>
        <w:rPr>
          <w:rFonts w:ascii="Helvetica" w:hAnsi="Helvetica"/>
          <w:rtl w:val="0"/>
          <w:lang w:val="en-US"/>
        </w:rPr>
        <w:t xml:space="preserve"> (Kraus and Allison 2009), </w:t>
      </w:r>
      <w:r>
        <w:rPr>
          <w:rStyle w:val="None"/>
          <w:rFonts w:ascii="Helvetica" w:hAnsi="Helvetica"/>
          <w:i w:val="1"/>
          <w:iCs w:val="1"/>
          <w:rtl w:val="0"/>
          <w:lang w:val="en-US"/>
        </w:rPr>
        <w:t>O. anulata</w:t>
      </w:r>
      <w:r>
        <w:rPr>
          <w:rFonts w:ascii="Helvetica" w:hAnsi="Helvetica"/>
          <w:rtl w:val="0"/>
          <w:lang w:val="en-US"/>
        </w:rPr>
        <w:t xml:space="preserve"> (Stejneger 1908), </w:t>
      </w:r>
      <w:r>
        <w:rPr>
          <w:rStyle w:val="None"/>
          <w:rFonts w:ascii="Helvetica" w:hAnsi="Helvetica"/>
          <w:i w:val="1"/>
          <w:iCs w:val="1"/>
          <w:rtl w:val="0"/>
          <w:lang w:val="en-US"/>
        </w:rPr>
        <w:t>Oreophryne aurora</w:t>
      </w:r>
      <w:r>
        <w:rPr>
          <w:rFonts w:ascii="Helvetica" w:hAnsi="Helvetica"/>
          <w:rtl w:val="0"/>
          <w:lang w:val="en-US"/>
        </w:rPr>
        <w:t xml:space="preserve"> (Kraus 2016), </w:t>
      </w:r>
      <w:r>
        <w:rPr>
          <w:rStyle w:val="None"/>
          <w:rFonts w:ascii="Helvetica" w:hAnsi="Helvetica"/>
          <w:i w:val="1"/>
          <w:iCs w:val="1"/>
          <w:rtl w:val="0"/>
          <w:lang w:val="en-US"/>
        </w:rPr>
        <w:t>Oreophryne biroi</w:t>
      </w:r>
      <w:r>
        <w:rPr>
          <w:rFonts w:ascii="Helvetica" w:hAnsi="Helvetica"/>
          <w:rtl w:val="0"/>
          <w:lang w:val="en-US"/>
        </w:rPr>
        <w:t xml:space="preserve"> (M</w:t>
      </w:r>
      <w:r>
        <w:rPr>
          <w:rFonts w:ascii="Helvetica" w:hAnsi="Helvetica" w:hint="default"/>
          <w:rtl w:val="0"/>
          <w:lang w:val="en-US"/>
        </w:rPr>
        <w:t>é</w:t>
      </w:r>
      <w:r>
        <w:rPr>
          <w:rFonts w:ascii="Helvetica" w:hAnsi="Helvetica"/>
          <w:rtl w:val="0"/>
          <w:lang w:val="en-US"/>
        </w:rPr>
        <w:t xml:space="preserve">hely 1897), </w:t>
      </w:r>
      <w:r>
        <w:rPr>
          <w:rStyle w:val="None"/>
          <w:rFonts w:ascii="Helvetica" w:hAnsi="Helvetica"/>
          <w:i w:val="1"/>
          <w:iCs w:val="1"/>
          <w:rtl w:val="0"/>
          <w:lang w:val="en-US"/>
        </w:rPr>
        <w:t>Oreophryne brachypus</w:t>
      </w:r>
      <w:r>
        <w:rPr>
          <w:rFonts w:ascii="Helvetica" w:hAnsi="Helvetica"/>
          <w:rtl w:val="0"/>
          <w:lang w:val="en-US"/>
        </w:rPr>
        <w:t xml:space="preserve"> (Werner 1898), </w:t>
      </w:r>
      <w:r>
        <w:rPr>
          <w:rStyle w:val="None"/>
          <w:rFonts w:ascii="Helvetica" w:hAnsi="Helvetica"/>
          <w:i w:val="1"/>
          <w:iCs w:val="1"/>
          <w:rtl w:val="0"/>
          <w:lang w:val="en-US"/>
        </w:rPr>
        <w:t>Oreophryne cameroni</w:t>
      </w:r>
      <w:r>
        <w:rPr>
          <w:rFonts w:ascii="Helvetica" w:hAnsi="Helvetica"/>
          <w:rtl w:val="0"/>
          <w:lang w:val="en-US"/>
        </w:rPr>
        <w:t xml:space="preserve"> (Kraus 2013), </w:t>
      </w:r>
      <w:r>
        <w:rPr>
          <w:rStyle w:val="None"/>
          <w:rFonts w:ascii="Helvetica" w:hAnsi="Helvetica"/>
          <w:i w:val="1"/>
          <w:iCs w:val="1"/>
          <w:rtl w:val="0"/>
          <w:lang w:val="en-US"/>
        </w:rPr>
        <w:t>Oreophryne geislerorum</w:t>
      </w:r>
      <w:r>
        <w:rPr>
          <w:rFonts w:ascii="Helvetica" w:hAnsi="Helvetica"/>
          <w:rtl w:val="0"/>
          <w:lang w:val="en-US"/>
        </w:rPr>
        <w:t xml:space="preserve"> (Boettger 1892), </w:t>
      </w:r>
      <w:r>
        <w:rPr>
          <w:rStyle w:val="None"/>
          <w:rFonts w:ascii="Helvetica" w:hAnsi="Helvetica"/>
          <w:i w:val="1"/>
          <w:iCs w:val="1"/>
          <w:rtl w:val="0"/>
          <w:lang w:val="en-US"/>
        </w:rPr>
        <w:t>Oreophryne graminis</w:t>
      </w:r>
      <w:r>
        <w:rPr>
          <w:rFonts w:ascii="Helvetica" w:hAnsi="Helvetica"/>
          <w:rtl w:val="0"/>
          <w:lang w:val="en-US"/>
        </w:rPr>
        <w:t xml:space="preserve"> [G</w:t>
      </w:r>
      <w:r>
        <w:rPr>
          <w:rFonts w:ascii="Helvetica" w:hAnsi="Helvetica" w:hint="default"/>
          <w:rtl w:val="0"/>
          <w:lang w:val="en-US"/>
        </w:rPr>
        <w:t>ü</w:t>
      </w:r>
      <w:r>
        <w:rPr>
          <w:rFonts w:ascii="Helvetica" w:hAnsi="Helvetica"/>
          <w:rtl w:val="0"/>
          <w:lang w:val="en-US"/>
        </w:rPr>
        <w:t xml:space="preserve">nther and Richards (2012)), </w:t>
      </w:r>
      <w:r>
        <w:rPr>
          <w:rStyle w:val="None"/>
          <w:rFonts w:ascii="Helvetica" w:hAnsi="Helvetica"/>
          <w:i w:val="1"/>
          <w:iCs w:val="1"/>
          <w:rtl w:val="0"/>
          <w:lang w:val="en-US"/>
        </w:rPr>
        <w:t>Oreophryne inornata</w:t>
      </w:r>
      <w:r>
        <w:rPr>
          <w:rFonts w:ascii="Helvetica" w:hAnsi="Helvetica"/>
          <w:rtl w:val="0"/>
          <w:lang w:val="en-US"/>
        </w:rPr>
        <w:t xml:space="preserve"> (Zweifel 1956), </w:t>
      </w:r>
      <w:r>
        <w:rPr>
          <w:rStyle w:val="None"/>
          <w:rFonts w:ascii="Helvetica" w:hAnsi="Helvetica"/>
          <w:i w:val="1"/>
          <w:iCs w:val="1"/>
          <w:rtl w:val="0"/>
          <w:lang w:val="en-US"/>
        </w:rPr>
        <w:t>Oreophryne lemur</w:t>
      </w:r>
      <w:r>
        <w:rPr>
          <w:rFonts w:ascii="Helvetica" w:hAnsi="Helvetica"/>
          <w:rtl w:val="0"/>
          <w:lang w:val="en-US"/>
        </w:rPr>
        <w:t xml:space="preserve"> (Kraus 2016), </w:t>
      </w:r>
      <w:r>
        <w:rPr>
          <w:rStyle w:val="None"/>
          <w:rFonts w:ascii="Helvetica" w:hAnsi="Helvetica"/>
          <w:i w:val="1"/>
          <w:iCs w:val="1"/>
          <w:rtl w:val="0"/>
          <w:lang w:val="en-US"/>
        </w:rPr>
        <w:t>Oreophryne loriae</w:t>
      </w:r>
      <w:r>
        <w:rPr>
          <w:rFonts w:ascii="Helvetica" w:hAnsi="Helvetica"/>
          <w:rtl w:val="0"/>
          <w:lang w:val="en-US"/>
        </w:rPr>
        <w:t xml:space="preserve"> (Boulenger 1898), </w:t>
      </w:r>
      <w:r>
        <w:rPr>
          <w:rStyle w:val="None"/>
          <w:rFonts w:ascii="Helvetica" w:hAnsi="Helvetica"/>
          <w:i w:val="1"/>
          <w:iCs w:val="1"/>
          <w:rtl w:val="0"/>
          <w:lang w:val="en-US"/>
        </w:rPr>
        <w:t>Oreophryne nana</w:t>
      </w:r>
      <w:r>
        <w:rPr>
          <w:rFonts w:ascii="Helvetica" w:hAnsi="Helvetica"/>
          <w:rtl w:val="0"/>
          <w:lang w:val="en-US"/>
        </w:rPr>
        <w:t xml:space="preserve"> (Brown and Alcala 1967), </w:t>
      </w:r>
      <w:r>
        <w:rPr>
          <w:rStyle w:val="None"/>
          <w:rFonts w:ascii="Helvetica" w:hAnsi="Helvetica"/>
          <w:i w:val="1"/>
          <w:iCs w:val="1"/>
          <w:rtl w:val="0"/>
          <w:lang w:val="en-US"/>
        </w:rPr>
        <w:t>Oreophryne notata</w:t>
      </w:r>
      <w:r>
        <w:rPr>
          <w:rFonts w:ascii="Helvetica" w:hAnsi="Helvetica"/>
          <w:rtl w:val="0"/>
          <w:lang w:val="en-US"/>
        </w:rPr>
        <w:t xml:space="preserve"> (Zweifel 2003), </w:t>
      </w:r>
      <w:r>
        <w:rPr>
          <w:rStyle w:val="None"/>
          <w:rFonts w:ascii="Helvetica" w:hAnsi="Helvetica"/>
          <w:i w:val="1"/>
          <w:iCs w:val="1"/>
          <w:rtl w:val="0"/>
          <w:lang w:val="en-US"/>
        </w:rPr>
        <w:t>Oreophryne parkeri</w:t>
      </w:r>
      <w:r>
        <w:rPr>
          <w:rFonts w:ascii="Helvetica" w:hAnsi="Helvetica"/>
          <w:rtl w:val="0"/>
          <w:lang w:val="en-US"/>
        </w:rPr>
        <w:t xml:space="preserve"> (Loveridge 1955), </w:t>
      </w:r>
      <w:r>
        <w:rPr>
          <w:rStyle w:val="None"/>
          <w:rFonts w:ascii="Helvetica" w:hAnsi="Helvetica"/>
          <w:i w:val="1"/>
          <w:iCs w:val="1"/>
          <w:rtl w:val="0"/>
          <w:lang w:val="en-US"/>
        </w:rPr>
        <w:t>Oreophryne parkopanorum</w:t>
      </w:r>
      <w:r>
        <w:rPr>
          <w:rFonts w:ascii="Helvetica" w:hAnsi="Helvetica"/>
          <w:rtl w:val="0"/>
          <w:lang w:val="en-US"/>
        </w:rPr>
        <w:t xml:space="preserve"> (Kraus 2013), </w:t>
      </w:r>
      <w:r>
        <w:rPr>
          <w:rStyle w:val="None"/>
          <w:rFonts w:ascii="Helvetica" w:hAnsi="Helvetica"/>
          <w:i w:val="1"/>
          <w:iCs w:val="1"/>
          <w:rtl w:val="0"/>
          <w:lang w:val="en-US"/>
        </w:rPr>
        <w:t>Oreophryne philosylleptoris</w:t>
      </w:r>
      <w:r>
        <w:rPr>
          <w:rFonts w:ascii="Helvetica" w:hAnsi="Helvetica"/>
          <w:rtl w:val="0"/>
          <w:lang w:val="en-US"/>
        </w:rPr>
        <w:t xml:space="preserve"> (Kraus 2016), and </w:t>
      </w:r>
      <w:r>
        <w:rPr>
          <w:rStyle w:val="None"/>
          <w:rFonts w:ascii="Helvetica" w:hAnsi="Helvetica"/>
          <w:i w:val="1"/>
          <w:iCs w:val="1"/>
          <w:rtl w:val="0"/>
          <w:lang w:val="en-US"/>
        </w:rPr>
        <w:t>Oreophryne senckenbergiana</w:t>
      </w:r>
      <w:r>
        <w:rPr>
          <w:rFonts w:ascii="Helvetica" w:hAnsi="Helvetica"/>
          <w:rtl w:val="0"/>
          <w:lang w:val="en-US"/>
        </w:rPr>
        <w:t xml:space="preserve"> (Boettger 1895). A number of species were not available for our study but should molecular evidence demonstrate their relationship within Oreophryne, those species should also retain their generic identity.</w:t>
      </w:r>
    </w:p>
    <w:p>
      <w:pPr>
        <w:pStyle w:val="Body Text"/>
        <w:spacing w:before="0" w:after="0"/>
        <w:rPr>
          <w:rFonts w:ascii="Helvetica" w:cs="Helvetica" w:hAnsi="Helvetica" w:eastAsia="Helvetica"/>
        </w:rPr>
      </w:pPr>
      <w:r>
        <w:rPr>
          <w:rFonts w:ascii="Helvetica" w:cs="Helvetica" w:hAnsi="Helvetica" w:eastAsia="Helvetica"/>
        </w:rPr>
        <w:tab/>
      </w:r>
      <w:r>
        <w:rPr>
          <w:rStyle w:val="None"/>
          <w:rFonts w:ascii="Helvetica" w:hAnsi="Helvetica"/>
          <w:b w:val="1"/>
          <w:bCs w:val="1"/>
          <w:rtl w:val="0"/>
          <w:lang w:val="en-US"/>
        </w:rPr>
        <w:t>Distribution:</w:t>
      </w:r>
      <w:r>
        <w:rPr>
          <w:rFonts w:ascii="Helvetica" w:hAnsi="Helvetica"/>
          <w:rtl w:val="0"/>
          <w:lang w:val="en-US"/>
        </w:rPr>
        <w:t xml:space="preserve"> The range of confirmed species in this dataset remains nearly as broad as previously defined (</w:t>
      </w: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\l "bookmark12" </w:instrText>
      </w:r>
      <w:r>
        <w:rPr>
          <w:rStyle w:val="Hyperlink.0"/>
          <w:rFonts w:ascii="Helvetica" w:cs="Helvetica" w:hAnsi="Helvetica" w:eastAsia="Helvetica"/>
        </w:rPr>
        <w:fldChar w:fldCharType="separate" w:fldLock="0"/>
      </w:r>
      <w:r>
        <w:rPr>
          <w:rStyle w:val="Hyperlink.0"/>
          <w:rFonts w:ascii="Helvetica" w:hAnsi="Helvetica"/>
          <w:rtl w:val="0"/>
          <w:lang w:val="en-US"/>
        </w:rPr>
        <w:t>Figure</w:t>
      </w:r>
      <w:r>
        <w:rPr>
          <w:rStyle w:val="Hyperlink.0"/>
          <w:rFonts w:ascii="Helvetica" w:hAnsi="Helvetica" w:hint="default"/>
          <w:rtl w:val="0"/>
          <w:lang w:val="en-US"/>
        </w:rPr>
        <w:t> </w:t>
      </w:r>
      <w:r>
        <w:rPr>
          <w:rStyle w:val="Hyperlink.0"/>
          <w:rFonts w:ascii="Helvetica" w:hAnsi="Helvetica"/>
          <w:rtl w:val="0"/>
          <w:lang w:val="en-US"/>
        </w:rPr>
        <w:t>3</w:t>
      </w:r>
      <w:r>
        <w:rPr>
          <w:rFonts w:ascii="Helvetica" w:cs="Helvetica" w:hAnsi="Helvetica" w:eastAsia="Helvetica"/>
        </w:rPr>
        <w:fldChar w:fldCharType="end" w:fldLock="0"/>
      </w:r>
      <w:r>
        <w:rPr>
          <w:rFonts w:ascii="Helvetica" w:hAnsi="Helvetica"/>
          <w:rtl w:val="0"/>
          <w:lang w:val="en-US"/>
        </w:rPr>
        <w:t xml:space="preserve">), from the Philippines and Indonesia to the southeastern most tip of mainland New Guinea and several near-shore islands (Fergusson, and Normanby Is.) and the distant Rossel Island of the Louisiade Archipelago. However, the transfer of species which occupy Woodlark Islands and Misima and Sudest Islands of the Louisaide Archipelago reduces the known range of </w:t>
      </w:r>
      <w:r>
        <w:rPr>
          <w:rStyle w:val="None"/>
          <w:rFonts w:ascii="Helvetica" w:hAnsi="Helvetica"/>
          <w:i w:val="1"/>
          <w:iCs w:val="1"/>
          <w:rtl w:val="0"/>
          <w:lang w:val="en-US"/>
        </w:rPr>
        <w:t>Oreophryne</w:t>
      </w:r>
      <w:r>
        <w:rPr>
          <w:rFonts w:ascii="Helvetica" w:hAnsi="Helvetica"/>
          <w:rtl w:val="0"/>
          <w:lang w:val="en-US"/>
        </w:rPr>
        <w:t xml:space="preserve">. Woodlark Island is inhabited by </w:t>
      </w:r>
      <w:r>
        <w:rPr>
          <w:rStyle w:val="None"/>
          <w:rFonts w:ascii="Helvetica" w:hAnsi="Helvetica"/>
          <w:i w:val="1"/>
          <w:iCs w:val="1"/>
          <w:rtl w:val="0"/>
          <w:lang w:val="en-US"/>
        </w:rPr>
        <w:t>O. phoebe</w:t>
      </w:r>
      <w:r>
        <w:rPr>
          <w:rFonts w:ascii="Helvetica" w:hAnsi="Helvetica"/>
          <w:rtl w:val="0"/>
          <w:lang w:val="en-US"/>
        </w:rPr>
        <w:t xml:space="preserve"> [=</w:t>
      </w:r>
      <w:r>
        <w:rPr>
          <w:rStyle w:val="None"/>
          <w:rFonts w:ascii="Helvetica" w:hAnsi="Helvetica"/>
          <w:i w:val="1"/>
          <w:iCs w:val="1"/>
          <w:rtl w:val="0"/>
          <w:lang w:val="en-US"/>
        </w:rPr>
        <w:t>Auparoparo phoebe</w:t>
      </w:r>
      <w:r>
        <w:rPr>
          <w:rFonts w:ascii="Helvetica" w:hAnsi="Helvetica"/>
          <w:rtl w:val="0"/>
          <w:lang w:val="en-US"/>
        </w:rPr>
        <w:t xml:space="preserve">], Misima Island is inhabited by </w:t>
      </w:r>
      <w:r>
        <w:rPr>
          <w:rStyle w:val="None"/>
          <w:rFonts w:ascii="Helvetica" w:hAnsi="Helvetica"/>
          <w:i w:val="1"/>
          <w:iCs w:val="1"/>
          <w:rtl w:val="0"/>
          <w:lang w:val="en-US"/>
        </w:rPr>
        <w:t>O. picticrus</w:t>
      </w:r>
      <w:r>
        <w:rPr>
          <w:rFonts w:ascii="Helvetica" w:hAnsi="Helvetica"/>
          <w:rtl w:val="0"/>
          <w:lang w:val="en-US"/>
        </w:rPr>
        <w:t xml:space="preserve"> [=</w:t>
      </w:r>
      <w:r>
        <w:rPr>
          <w:rStyle w:val="None"/>
          <w:rFonts w:ascii="Helvetica" w:hAnsi="Helvetica"/>
          <w:i w:val="1"/>
          <w:iCs w:val="1"/>
          <w:rtl w:val="0"/>
          <w:lang w:val="en-US"/>
        </w:rPr>
        <w:t>Auparoparo picticrus</w:t>
      </w:r>
      <w:r>
        <w:rPr>
          <w:rFonts w:ascii="Helvetica" w:hAnsi="Helvetica"/>
          <w:rtl w:val="0"/>
          <w:lang w:val="en-US"/>
        </w:rPr>
        <w:t xml:space="preserve">], and Sudest Island is inhabited by </w:t>
      </w:r>
      <w:r>
        <w:rPr>
          <w:rStyle w:val="None"/>
          <w:rFonts w:ascii="Helvetica" w:hAnsi="Helvetica"/>
          <w:i w:val="1"/>
          <w:iCs w:val="1"/>
          <w:rtl w:val="0"/>
          <w:lang w:val="en-US"/>
        </w:rPr>
        <w:t>O. ezra</w:t>
      </w:r>
      <w:r>
        <w:rPr>
          <w:rFonts w:ascii="Helvetica" w:hAnsi="Helvetica"/>
          <w:rtl w:val="0"/>
          <w:lang w:val="en-US"/>
        </w:rPr>
        <w:t xml:space="preserve"> and </w:t>
      </w:r>
      <w:r>
        <w:rPr>
          <w:rStyle w:val="None"/>
          <w:rFonts w:ascii="Helvetica" w:hAnsi="Helvetica"/>
          <w:i w:val="1"/>
          <w:iCs w:val="1"/>
          <w:rtl w:val="0"/>
          <w:lang w:val="en-US"/>
        </w:rPr>
        <w:t>O. meliades</w:t>
      </w:r>
      <w:r>
        <w:rPr>
          <w:rFonts w:ascii="Helvetica" w:hAnsi="Helvetica"/>
          <w:rtl w:val="0"/>
          <w:lang w:val="en-US"/>
        </w:rPr>
        <w:t xml:space="preserve"> [= </w:t>
      </w:r>
      <w:r>
        <w:rPr>
          <w:rStyle w:val="None"/>
          <w:rFonts w:ascii="Helvetica" w:hAnsi="Helvetica"/>
          <w:i w:val="1"/>
          <w:iCs w:val="1"/>
          <w:rtl w:val="0"/>
          <w:lang w:val="en-US"/>
        </w:rPr>
        <w:t>Auparoparo ezra</w:t>
      </w:r>
      <w:r>
        <w:rPr>
          <w:rFonts w:ascii="Helvetica" w:hAnsi="Helvetica"/>
          <w:rtl w:val="0"/>
          <w:lang w:val="en-US"/>
        </w:rPr>
        <w:t xml:space="preserve"> and </w:t>
      </w:r>
      <w:r>
        <w:rPr>
          <w:rStyle w:val="None"/>
          <w:rFonts w:ascii="Helvetica" w:hAnsi="Helvetica"/>
          <w:i w:val="1"/>
          <w:iCs w:val="1"/>
          <w:rtl w:val="0"/>
          <w:lang w:val="en-US"/>
        </w:rPr>
        <w:t>Auparoparo meliades</w:t>
      </w:r>
      <w:r>
        <w:rPr>
          <w:rFonts w:ascii="Helvetica" w:hAnsi="Helvetica"/>
          <w:rtl w:val="0"/>
          <w:lang w:val="en-US"/>
        </w:rPr>
        <w:t>].</w:t>
      </w:r>
    </w:p>
    <w:p>
      <w:pPr>
        <w:pStyle w:val="Body Text"/>
        <w:spacing w:before="0" w:after="0"/>
        <w:rPr>
          <w:rFonts w:ascii="Helvetica" w:cs="Helvetica" w:hAnsi="Helvetica" w:eastAsia="Helvetica"/>
        </w:rPr>
      </w:pPr>
    </w:p>
    <w:p>
      <w:pPr>
        <w:pStyle w:val="Body Text"/>
        <w:spacing w:before="0" w:after="0"/>
        <w:rPr>
          <w:rFonts w:ascii="Helvetica" w:cs="Helvetica" w:hAnsi="Helvetica" w:eastAsia="Helvetica"/>
        </w:rPr>
      </w:pPr>
      <w:r>
        <w:rPr>
          <w:rStyle w:val="None"/>
          <w:rFonts w:ascii="Helvetica" w:hAnsi="Helvetica"/>
          <w:b w:val="1"/>
          <w:bCs w:val="1"/>
          <w:rtl w:val="0"/>
          <w:lang w:val="en-US"/>
        </w:rPr>
        <w:t>Family Microhylidae (G</w:t>
      </w:r>
      <w:r>
        <w:rPr>
          <w:rStyle w:val="None"/>
          <w:rFonts w:ascii="Helvetica" w:hAnsi="Helvetica" w:hint="default"/>
          <w:b w:val="1"/>
          <w:bCs w:val="1"/>
          <w:rtl w:val="0"/>
          <w:lang w:val="en-US"/>
        </w:rPr>
        <w:t>ü</w:t>
      </w:r>
      <w:r>
        <w:rPr>
          <w:rStyle w:val="None"/>
          <w:rFonts w:ascii="Helvetica" w:hAnsi="Helvetica"/>
          <w:b w:val="1"/>
          <w:bCs w:val="1"/>
          <w:rtl w:val="0"/>
          <w:lang w:val="en-US"/>
        </w:rPr>
        <w:t>nther 1858)</w:t>
      </w:r>
      <w:r>
        <w:rPr>
          <w:rFonts w:ascii="Helvetica" w:cs="Helvetica" w:hAnsi="Helvetica" w:eastAsia="Helvetica"/>
        </w:rPr>
        <w:br w:type="textWrapping"/>
      </w:r>
      <w:r>
        <w:rPr>
          <w:rStyle w:val="None"/>
          <w:rFonts w:ascii="Helvetica" w:hAnsi="Helvetica"/>
          <w:b w:val="1"/>
          <w:bCs w:val="1"/>
          <w:rtl w:val="0"/>
          <w:lang w:val="en-US"/>
        </w:rPr>
        <w:t>Subfamily Asterophryinae (G</w:t>
      </w:r>
      <w:r>
        <w:rPr>
          <w:rStyle w:val="None"/>
          <w:rFonts w:ascii="Helvetica" w:hAnsi="Helvetica" w:hint="default"/>
          <w:b w:val="1"/>
          <w:bCs w:val="1"/>
          <w:rtl w:val="0"/>
          <w:lang w:val="en-US"/>
        </w:rPr>
        <w:t>ü</w:t>
      </w:r>
      <w:r>
        <w:rPr>
          <w:rStyle w:val="None"/>
          <w:rFonts w:ascii="Helvetica" w:hAnsi="Helvetica"/>
          <w:b w:val="1"/>
          <w:bCs w:val="1"/>
          <w:rtl w:val="0"/>
          <w:lang w:val="en-US"/>
        </w:rPr>
        <w:t>nther 1858)</w:t>
      </w:r>
      <w:r>
        <w:rPr>
          <w:rFonts w:ascii="Helvetica" w:cs="Helvetica" w:hAnsi="Helvetica" w:eastAsia="Helvetica"/>
        </w:rPr>
        <w:br w:type="textWrapping"/>
      </w:r>
      <w:r>
        <w:rPr>
          <w:rStyle w:val="None"/>
          <w:rFonts w:ascii="Helvetica" w:hAnsi="Helvetica"/>
          <w:b w:val="1"/>
          <w:bCs w:val="1"/>
          <w:rtl w:val="0"/>
          <w:lang w:val="en-US"/>
        </w:rPr>
        <w:t>Genus Auparoparo gen. nov.</w:t>
      </w:r>
      <w:r>
        <w:rPr>
          <w:rFonts w:ascii="Helvetica" w:cs="Helvetica" w:hAnsi="Helvetica" w:eastAsia="Helvetica"/>
        </w:rPr>
        <w:br w:type="textWrapping"/>
      </w:r>
      <w:r>
        <w:rPr>
          <w:rStyle w:val="None"/>
          <w:rFonts w:ascii="Helvetica" w:hAnsi="Helvetica"/>
          <w:i w:val="1"/>
          <w:iCs w:val="1"/>
          <w:rtl w:val="0"/>
          <w:lang w:val="en-US"/>
        </w:rPr>
        <w:t>Oreophryne</w:t>
      </w:r>
      <w:r>
        <w:rPr>
          <w:rFonts w:ascii="Helvetica" w:hAnsi="Helvetica"/>
          <w:rtl w:val="0"/>
          <w:lang w:val="en-US"/>
        </w:rPr>
        <w:t xml:space="preserve"> (Boettger 1895)</w:t>
      </w:r>
      <w:r>
        <w:rPr>
          <w:rFonts w:ascii="Helvetica" w:cs="Helvetica" w:hAnsi="Helvetica" w:eastAsia="Helvetica"/>
        </w:rPr>
        <w:br w:type="textWrapping"/>
      </w:r>
      <w:r>
        <w:rPr>
          <w:rStyle w:val="None"/>
          <w:rFonts w:ascii="Helvetica" w:hAnsi="Helvetica"/>
          <w:i w:val="1"/>
          <w:iCs w:val="1"/>
          <w:rtl w:val="0"/>
          <w:lang w:val="en-US"/>
        </w:rPr>
        <w:t>Sphenophryne</w:t>
      </w:r>
      <w:r>
        <w:rPr>
          <w:rFonts w:ascii="Helvetica" w:hAnsi="Helvetica"/>
          <w:rtl w:val="0"/>
          <w:lang w:val="en-US"/>
        </w:rPr>
        <w:t xml:space="preserve"> (anthonyi) (Boulenger 1897)</w:t>
      </w:r>
      <w:r>
        <w:rPr>
          <w:rFonts w:ascii="Helvetica" w:cs="Helvetica" w:hAnsi="Helvetica" w:eastAsia="Helvetica"/>
        </w:rPr>
        <w:br w:type="textWrapping"/>
      </w:r>
      <w:r>
        <w:rPr>
          <w:rFonts w:ascii="Helvetica" w:hAnsi="Helvetica"/>
          <w:rtl w:val="0"/>
          <w:lang w:val="en-US"/>
        </w:rPr>
        <w:t xml:space="preserve">Type species </w:t>
      </w:r>
      <w:r>
        <w:rPr>
          <w:rStyle w:val="None"/>
          <w:rFonts w:ascii="Helvetica" w:hAnsi="Helvetica"/>
          <w:i w:val="1"/>
          <w:iCs w:val="1"/>
          <w:rtl w:val="0"/>
          <w:lang w:val="en-US"/>
        </w:rPr>
        <w:t>Oreophryne penelopeia</w:t>
      </w:r>
      <w:r>
        <w:rPr>
          <w:rFonts w:ascii="Helvetica" w:hAnsi="Helvetica"/>
          <w:rtl w:val="0"/>
          <w:lang w:val="en-US"/>
        </w:rPr>
        <w:t xml:space="preserve"> (Kraus 2016) [=</w:t>
      </w:r>
      <w:r>
        <w:rPr>
          <w:rStyle w:val="None"/>
          <w:rFonts w:ascii="Helvetica" w:hAnsi="Helvetica"/>
          <w:i w:val="1"/>
          <w:iCs w:val="1"/>
          <w:rtl w:val="0"/>
          <w:lang w:val="en-US"/>
        </w:rPr>
        <w:t>Auparoparo penelopeia</w:t>
      </w:r>
      <w:r>
        <w:rPr>
          <w:rFonts w:ascii="Helvetica" w:hAnsi="Helvetica"/>
          <w:rtl w:val="0"/>
          <w:lang w:val="en-US"/>
        </w:rPr>
        <w:t>]</w:t>
      </w:r>
    </w:p>
    <w:p>
      <w:pPr>
        <w:pStyle w:val="Body Text"/>
        <w:spacing w:before="0" w:after="0"/>
        <w:rPr>
          <w:rFonts w:ascii="Helvetica" w:cs="Helvetica" w:hAnsi="Helvetica" w:eastAsia="Helvetica"/>
        </w:rPr>
      </w:pPr>
      <w:r>
        <w:rPr>
          <w:rFonts w:ascii="Helvetica" w:cs="Helvetica" w:hAnsi="Helvetica" w:eastAsia="Helvetica"/>
        </w:rPr>
        <w:tab/>
      </w:r>
      <w:r>
        <w:rPr>
          <w:rStyle w:val="None"/>
          <w:rFonts w:ascii="Helvetica" w:hAnsi="Helvetica"/>
          <w:b w:val="1"/>
          <w:bCs w:val="1"/>
          <w:rtl w:val="0"/>
          <w:lang w:val="en-US"/>
        </w:rPr>
        <w:t>Diagnosis:</w:t>
      </w:r>
      <w:r>
        <w:rPr>
          <w:rFonts w:ascii="Helvetica" w:hAnsi="Helvetica"/>
          <w:rtl w:val="0"/>
          <w:lang w:val="en-US"/>
        </w:rPr>
        <w:t xml:space="preserve"> We note that there are no synapomorphies in adult </w:t>
      </w:r>
      <w:r>
        <w:rPr>
          <w:rStyle w:val="None"/>
          <w:rFonts w:ascii="Helvetica" w:hAnsi="Helvetica"/>
          <w:i w:val="1"/>
          <w:iCs w:val="1"/>
          <w:rtl w:val="0"/>
          <w:lang w:val="en-US"/>
        </w:rPr>
        <w:t>Auparoparo</w:t>
      </w:r>
      <w:r>
        <w:rPr>
          <w:rFonts w:ascii="Helvetica" w:hAnsi="Helvetica"/>
          <w:rtl w:val="0"/>
          <w:lang w:val="en-US"/>
        </w:rPr>
        <w:t xml:space="preserve"> that differ from the morphologically similar genus </w:t>
      </w:r>
      <w:r>
        <w:rPr>
          <w:rStyle w:val="None"/>
          <w:rFonts w:ascii="Helvetica" w:hAnsi="Helvetica"/>
          <w:i w:val="1"/>
          <w:iCs w:val="1"/>
          <w:rtl w:val="0"/>
          <w:lang w:val="en-US"/>
        </w:rPr>
        <w:t>Oreophryne</w:t>
      </w:r>
      <w:r>
        <w:rPr>
          <w:rFonts w:ascii="Helvetica" w:hAnsi="Helvetica"/>
          <w:rtl w:val="0"/>
          <w:lang w:val="en-US"/>
        </w:rPr>
        <w:t>. Diagnoses should be made by molecular phylogenetic analysis, based on the phylogenetic definition below.</w:t>
      </w:r>
    </w:p>
    <w:p>
      <w:pPr>
        <w:pStyle w:val="Body Text"/>
        <w:spacing w:before="0" w:after="0"/>
        <w:rPr>
          <w:rFonts w:ascii="Helvetica" w:cs="Helvetica" w:hAnsi="Helvetica" w:eastAsia="Helvetica"/>
        </w:rPr>
      </w:pPr>
      <w:r>
        <w:rPr>
          <w:rFonts w:ascii="Helvetica" w:cs="Helvetica" w:hAnsi="Helvetica" w:eastAsia="Helvetica"/>
        </w:rPr>
        <w:tab/>
      </w:r>
      <w:r>
        <w:rPr>
          <w:rStyle w:val="None"/>
          <w:rFonts w:ascii="Helvetica" w:hAnsi="Helvetica"/>
          <w:b w:val="1"/>
          <w:bCs w:val="1"/>
          <w:rtl w:val="0"/>
          <w:lang w:val="en-US"/>
        </w:rPr>
        <w:t>Description:</w:t>
      </w:r>
      <w:r>
        <w:rPr>
          <w:rFonts w:ascii="Helvetica" w:hAnsi="Helvetica"/>
          <w:rtl w:val="0"/>
          <w:lang w:val="en-US"/>
        </w:rPr>
        <w:t xml:space="preserve"> </w:t>
      </w:r>
      <w:r>
        <w:rPr>
          <w:rStyle w:val="None"/>
          <w:rFonts w:ascii="Helvetica" w:hAnsi="Helvetica"/>
          <w:i w:val="1"/>
          <w:iCs w:val="1"/>
          <w:rtl w:val="0"/>
          <w:lang w:val="en-US"/>
        </w:rPr>
        <w:t>Auparoparo</w:t>
      </w:r>
      <w:r>
        <w:rPr>
          <w:rFonts w:ascii="Helvetica" w:hAnsi="Helvetica"/>
          <w:rtl w:val="0"/>
          <w:lang w:val="en-US"/>
        </w:rPr>
        <w:t xml:space="preserve"> differs from most other genera in subfamily Asterophryinae, but not from </w:t>
      </w:r>
      <w:r>
        <w:rPr>
          <w:rStyle w:val="None"/>
          <w:rFonts w:ascii="Helvetica" w:hAnsi="Helvetica"/>
          <w:i w:val="1"/>
          <w:iCs w:val="1"/>
          <w:rtl w:val="0"/>
          <w:lang w:val="en-US"/>
        </w:rPr>
        <w:t>Oreophryne</w:t>
      </w:r>
      <w:r>
        <w:rPr>
          <w:rFonts w:ascii="Helvetica" w:hAnsi="Helvetica"/>
          <w:rtl w:val="0"/>
          <w:lang w:val="en-US"/>
        </w:rPr>
        <w:t>, by the combination of (1) presence of highly reduced clavicles (vs absence or elongate) which have a distinctly curved shape; (2) presence of well developed digital discs, with finger discs notably wider than toe discs (typically 20% or more); (3) arboreal lifestyle (perch height &gt;2m above ground); (4) small to moderately large body size in known species, from 16mm (</w:t>
      </w:r>
      <w:r>
        <w:rPr>
          <w:rStyle w:val="None"/>
          <w:rFonts w:ascii="Helvetica" w:hAnsi="Helvetica"/>
          <w:i w:val="1"/>
          <w:iCs w:val="1"/>
          <w:rtl w:val="0"/>
          <w:lang w:val="en-US"/>
        </w:rPr>
        <w:t>A. brunnea</w:t>
      </w:r>
      <w:r>
        <w:rPr>
          <w:rFonts w:ascii="Helvetica" w:hAnsi="Helvetica"/>
          <w:rtl w:val="0"/>
          <w:lang w:val="en-US"/>
        </w:rPr>
        <w:t>, Kraus 2017) to 25 mm (</w:t>
      </w:r>
      <w:r>
        <w:rPr>
          <w:rStyle w:val="None"/>
          <w:rFonts w:ascii="Helvetica" w:hAnsi="Helvetica"/>
          <w:i w:val="1"/>
          <w:iCs w:val="1"/>
          <w:rtl w:val="0"/>
          <w:lang w:val="en-US"/>
        </w:rPr>
        <w:t>A. picticrus</w:t>
      </w:r>
      <w:r>
        <w:rPr>
          <w:rFonts w:ascii="Helvetica" w:hAnsi="Helvetica"/>
          <w:rtl w:val="0"/>
          <w:lang w:val="en-US"/>
        </w:rPr>
        <w:t xml:space="preserve">, Kraus 2016); (5) small to invisible tympanum; (6) large eyes with pupil horizontal; (7)occasional presence of toe webbing; (8) and thin, elongated limbs; and (9) and in many species males that call with a </w:t>
      </w:r>
      <w:r>
        <w:rPr>
          <w:rFonts w:ascii="Helvetica" w:hAnsi="Helvetica" w:hint="default"/>
          <w:rtl w:val="0"/>
          <w:lang w:val="en-US"/>
        </w:rPr>
        <w:t>“</w:t>
      </w:r>
      <w:r>
        <w:rPr>
          <w:rFonts w:ascii="Helvetica" w:hAnsi="Helvetica"/>
          <w:rtl w:val="0"/>
          <w:lang w:val="en-US"/>
        </w:rPr>
        <w:t>whinny</w:t>
      </w:r>
      <w:r>
        <w:rPr>
          <w:rFonts w:ascii="Helvetica" w:hAnsi="Helvetica" w:hint="default"/>
          <w:rtl w:val="0"/>
          <w:lang w:val="en-US"/>
        </w:rPr>
        <w:t xml:space="preserve">” </w:t>
      </w:r>
      <w:r>
        <w:rPr>
          <w:rFonts w:ascii="Helvetica" w:hAnsi="Helvetica"/>
          <w:rtl w:val="0"/>
          <w:lang w:val="en-US"/>
        </w:rPr>
        <w:t xml:space="preserve">call type or in some species </w:t>
      </w:r>
      <w:r>
        <w:rPr>
          <w:rFonts w:ascii="Helvetica" w:hAnsi="Helvetica" w:hint="default"/>
          <w:rtl w:val="0"/>
          <w:lang w:val="en-US"/>
        </w:rPr>
        <w:t>“</w:t>
      </w:r>
      <w:r>
        <w:rPr>
          <w:rFonts w:ascii="Helvetica" w:hAnsi="Helvetica"/>
          <w:rtl w:val="0"/>
          <w:lang w:val="en-US"/>
        </w:rPr>
        <w:t>rattle</w:t>
      </w:r>
      <w:r>
        <w:rPr>
          <w:rFonts w:ascii="Helvetica" w:hAnsi="Helvetica" w:hint="default"/>
          <w:rtl w:val="0"/>
          <w:lang w:val="en-US"/>
        </w:rPr>
        <w:t xml:space="preserve">” </w:t>
      </w:r>
      <w:r>
        <w:rPr>
          <w:rFonts w:ascii="Helvetica" w:hAnsi="Helvetica"/>
          <w:rtl w:val="0"/>
          <w:lang w:val="en-US"/>
        </w:rPr>
        <w:t xml:space="preserve">type. Some species of </w:t>
      </w:r>
      <w:r>
        <w:rPr>
          <w:rStyle w:val="None"/>
          <w:rFonts w:ascii="Helvetica" w:hAnsi="Helvetica"/>
          <w:i w:val="1"/>
          <w:iCs w:val="1"/>
          <w:rtl w:val="0"/>
          <w:lang w:val="en-US"/>
        </w:rPr>
        <w:t>Auparoparo</w:t>
      </w:r>
      <w:r>
        <w:rPr>
          <w:rFonts w:ascii="Helvetica" w:hAnsi="Helvetica"/>
          <w:rtl w:val="0"/>
          <w:lang w:val="en-US"/>
        </w:rPr>
        <w:t xml:space="preserve"> may be distinguished from </w:t>
      </w:r>
      <w:r>
        <w:rPr>
          <w:rStyle w:val="None"/>
          <w:rFonts w:ascii="Helvetica" w:hAnsi="Helvetica"/>
          <w:i w:val="1"/>
          <w:iCs w:val="1"/>
          <w:rtl w:val="0"/>
          <w:lang w:val="en-US"/>
        </w:rPr>
        <w:t>Oreophryne</w:t>
      </w:r>
      <w:r>
        <w:rPr>
          <w:rFonts w:ascii="Helvetica" w:hAnsi="Helvetica"/>
          <w:rtl w:val="0"/>
          <w:lang w:val="en-US"/>
        </w:rPr>
        <w:t xml:space="preserve"> by larger finger pads than toe pads and males calling with </w:t>
      </w:r>
      <w:r>
        <w:rPr>
          <w:rFonts w:ascii="Helvetica" w:hAnsi="Helvetica" w:hint="default"/>
          <w:rtl w:val="0"/>
          <w:lang w:val="en-US"/>
        </w:rPr>
        <w:t>“</w:t>
      </w:r>
      <w:r>
        <w:rPr>
          <w:rFonts w:ascii="Helvetica" w:hAnsi="Helvetica"/>
          <w:rtl w:val="0"/>
          <w:lang w:val="en-US"/>
        </w:rPr>
        <w:t>whinny</w:t>
      </w:r>
      <w:r>
        <w:rPr>
          <w:rFonts w:ascii="Helvetica" w:hAnsi="Helvetica" w:hint="default"/>
          <w:rtl w:val="0"/>
          <w:lang w:val="en-US"/>
        </w:rPr>
        <w:t xml:space="preserve">” </w:t>
      </w:r>
      <w:r>
        <w:rPr>
          <w:rFonts w:ascii="Helvetica" w:hAnsi="Helvetica"/>
          <w:rtl w:val="0"/>
          <w:lang w:val="en-US"/>
        </w:rPr>
        <w:t xml:space="preserve">but not </w:t>
      </w:r>
      <w:r>
        <w:rPr>
          <w:rFonts w:ascii="Helvetica" w:hAnsi="Helvetica" w:hint="default"/>
          <w:rtl w:val="0"/>
          <w:lang w:val="en-US"/>
        </w:rPr>
        <w:t>“</w:t>
      </w:r>
      <w:r>
        <w:rPr>
          <w:rFonts w:ascii="Helvetica" w:hAnsi="Helvetica"/>
          <w:rtl w:val="0"/>
          <w:lang w:val="en-US"/>
        </w:rPr>
        <w:t>honk</w:t>
      </w:r>
      <w:r>
        <w:rPr>
          <w:rFonts w:ascii="Helvetica" w:hAnsi="Helvetica" w:hint="default"/>
          <w:rtl w:val="0"/>
          <w:lang w:val="en-US"/>
        </w:rPr>
        <w:t xml:space="preserve">” </w:t>
      </w:r>
      <w:r>
        <w:rPr>
          <w:rFonts w:ascii="Helvetica" w:hAnsi="Helvetica"/>
          <w:rtl w:val="0"/>
          <w:lang w:val="en-US"/>
        </w:rPr>
        <w:t xml:space="preserve">or </w:t>
      </w:r>
      <w:r>
        <w:rPr>
          <w:rFonts w:ascii="Helvetica" w:hAnsi="Helvetica" w:hint="default"/>
          <w:rtl w:val="0"/>
          <w:lang w:val="en-US"/>
        </w:rPr>
        <w:t>“</w:t>
      </w:r>
      <w:r>
        <w:rPr>
          <w:rFonts w:ascii="Helvetica" w:hAnsi="Helvetica"/>
          <w:rtl w:val="0"/>
          <w:lang w:val="en-US"/>
        </w:rPr>
        <w:t>peep</w:t>
      </w:r>
      <w:r>
        <w:rPr>
          <w:rFonts w:ascii="Helvetica" w:hAnsi="Helvetica" w:hint="default"/>
          <w:rtl w:val="0"/>
          <w:lang w:val="en-US"/>
        </w:rPr>
        <w:t xml:space="preserve">” </w:t>
      </w:r>
      <w:r>
        <w:rPr>
          <w:rFonts w:ascii="Helvetica" w:hAnsi="Helvetica"/>
          <w:rtl w:val="0"/>
          <w:lang w:val="en-US"/>
        </w:rPr>
        <w:t>call types.</w:t>
      </w:r>
    </w:p>
    <w:p>
      <w:pPr>
        <w:pStyle w:val="Body Text"/>
        <w:spacing w:before="0" w:after="0"/>
        <w:rPr>
          <w:rFonts w:ascii="Helvetica" w:cs="Helvetica" w:hAnsi="Helvetica" w:eastAsia="Helvetica"/>
        </w:rPr>
      </w:pPr>
      <w:r>
        <w:rPr>
          <w:rFonts w:ascii="Helvetica" w:cs="Helvetica" w:hAnsi="Helvetica" w:eastAsia="Helvetica"/>
        </w:rPr>
        <w:tab/>
      </w:r>
      <w:r>
        <w:rPr>
          <w:rStyle w:val="None"/>
          <w:rFonts w:ascii="Helvetica" w:hAnsi="Helvetica"/>
          <w:b w:val="1"/>
          <w:bCs w:val="1"/>
          <w:rtl w:val="0"/>
          <w:lang w:val="en-US"/>
        </w:rPr>
        <w:t>Phylogenetic definition:</w:t>
      </w:r>
      <w:r>
        <w:rPr>
          <w:rFonts w:ascii="Helvetica" w:hAnsi="Helvetica"/>
          <w:rtl w:val="0"/>
          <w:lang w:val="en-US"/>
        </w:rPr>
        <w:t xml:space="preserve"> </w:t>
      </w:r>
      <w:r>
        <w:rPr>
          <w:rStyle w:val="None"/>
          <w:rFonts w:ascii="Helvetica" w:hAnsi="Helvetica"/>
          <w:i w:val="1"/>
          <w:iCs w:val="1"/>
          <w:rtl w:val="0"/>
          <w:lang w:val="en-US"/>
        </w:rPr>
        <w:t>Auparoparo</w:t>
      </w:r>
      <w:r>
        <w:rPr>
          <w:rFonts w:ascii="Helvetica" w:hAnsi="Helvetica"/>
          <w:rtl w:val="0"/>
          <w:lang w:val="en-US"/>
        </w:rPr>
        <w:t xml:space="preserve"> (NCN) applies to the largest crown clade originating in (CCN) is defined as the maximum crown-clade originating with the most recent common ancestor of </w:t>
      </w:r>
      <w:r>
        <w:rPr>
          <w:rStyle w:val="None"/>
          <w:rFonts w:ascii="Helvetica" w:hAnsi="Helvetica"/>
          <w:i w:val="1"/>
          <w:iCs w:val="1"/>
          <w:rtl w:val="0"/>
          <w:lang w:val="en-US"/>
        </w:rPr>
        <w:t>Auparoparo penelopeia</w:t>
      </w:r>
      <w:r>
        <w:rPr>
          <w:rFonts w:ascii="Helvetica" w:hAnsi="Helvetica"/>
          <w:rtl w:val="0"/>
          <w:lang w:val="en-US"/>
        </w:rPr>
        <w:t xml:space="preserve"> (Kraus 2016), the type species of </w:t>
      </w:r>
      <w:r>
        <w:rPr>
          <w:rStyle w:val="None"/>
          <w:rFonts w:ascii="Helvetica" w:hAnsi="Helvetica"/>
          <w:i w:val="1"/>
          <w:iCs w:val="1"/>
          <w:rtl w:val="0"/>
          <w:lang w:val="en-US"/>
        </w:rPr>
        <w:t>Auparoparo</w:t>
      </w:r>
      <w:r>
        <w:rPr>
          <w:rFonts w:ascii="Helvetica" w:hAnsi="Helvetica"/>
          <w:rtl w:val="0"/>
          <w:lang w:val="en-US"/>
        </w:rPr>
        <w:t xml:space="preserve">, and all extant species that share a common ancestor with </w:t>
      </w:r>
      <w:r>
        <w:rPr>
          <w:rStyle w:val="None"/>
          <w:rFonts w:ascii="Helvetica" w:hAnsi="Helvetica"/>
          <w:i w:val="1"/>
          <w:iCs w:val="1"/>
          <w:rtl w:val="0"/>
          <w:lang w:val="en-US"/>
        </w:rPr>
        <w:t>A. penelopeia</w:t>
      </w:r>
      <w:r>
        <w:rPr>
          <w:rFonts w:ascii="Helvetica" w:hAnsi="Helvetica"/>
          <w:rtl w:val="0"/>
          <w:lang w:val="en-US"/>
        </w:rPr>
        <w:t xml:space="preserve"> more recently than they do with the type species of all the other nominal genera listed in </w:t>
      </w: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\l "bookmark13" </w:instrText>
      </w:r>
      <w:r>
        <w:rPr>
          <w:rStyle w:val="Hyperlink.0"/>
          <w:rFonts w:ascii="Helvetica" w:cs="Helvetica" w:hAnsi="Helvetica" w:eastAsia="Helvetica"/>
        </w:rPr>
        <w:fldChar w:fldCharType="separate" w:fldLock="0"/>
      </w:r>
      <w:r>
        <w:rPr>
          <w:rStyle w:val="Hyperlink.0"/>
          <w:rFonts w:ascii="Helvetica" w:hAnsi="Helvetica"/>
          <w:rtl w:val="0"/>
          <w:lang w:val="en-US"/>
        </w:rPr>
        <w:t>Table</w:t>
      </w:r>
      <w:r>
        <w:rPr>
          <w:rStyle w:val="Hyperlink.0"/>
          <w:rFonts w:ascii="Helvetica" w:hAnsi="Helvetica" w:hint="default"/>
          <w:rtl w:val="0"/>
          <w:lang w:val="en-US"/>
        </w:rPr>
        <w:t> </w:t>
      </w:r>
      <w:r>
        <w:rPr>
          <w:rStyle w:val="Hyperlink.0"/>
          <w:rFonts w:ascii="Helvetica" w:hAnsi="Helvetica"/>
          <w:rtl w:val="0"/>
          <w:lang w:val="en-US"/>
        </w:rPr>
        <w:t>4</w:t>
      </w:r>
      <w:r>
        <w:rPr>
          <w:rFonts w:ascii="Helvetica" w:cs="Helvetica" w:hAnsi="Helvetica" w:eastAsia="Helvetica"/>
        </w:rPr>
        <w:fldChar w:fldCharType="end" w:fldLock="0"/>
      </w:r>
      <w:r>
        <w:rPr>
          <w:rFonts w:ascii="Helvetica" w:hAnsi="Helvetica"/>
          <w:rtl w:val="0"/>
          <w:lang w:val="en-US"/>
        </w:rPr>
        <w:t xml:space="preserve">, the type species of the closest sister taxa being </w:t>
      </w:r>
      <w:r>
        <w:rPr>
          <w:rStyle w:val="None"/>
          <w:rFonts w:ascii="Helvetica" w:hAnsi="Helvetica"/>
          <w:i w:val="1"/>
          <w:iCs w:val="1"/>
          <w:rtl w:val="0"/>
          <w:lang w:val="en-US"/>
        </w:rPr>
        <w:t>Oreophryne senckenbergiana</w:t>
      </w:r>
      <w:r>
        <w:rPr>
          <w:rFonts w:ascii="Helvetica" w:hAnsi="Helvetica"/>
          <w:rtl w:val="0"/>
          <w:lang w:val="en-US"/>
        </w:rPr>
        <w:t xml:space="preserve"> (Boettger 1895), </w:t>
      </w:r>
      <w:r>
        <w:rPr>
          <w:rStyle w:val="None"/>
          <w:rFonts w:ascii="Helvetica" w:hAnsi="Helvetica"/>
          <w:i w:val="1"/>
          <w:iCs w:val="1"/>
          <w:rtl w:val="0"/>
          <w:lang w:val="en-US"/>
        </w:rPr>
        <w:t>Cophixalus verrucosus</w:t>
      </w:r>
      <w:r>
        <w:rPr>
          <w:rFonts w:ascii="Helvetica" w:hAnsi="Helvetica"/>
          <w:rtl w:val="0"/>
          <w:lang w:val="en-US"/>
        </w:rPr>
        <w:t xml:space="preserve"> (Boettger 1892), and </w:t>
      </w:r>
      <w:r>
        <w:rPr>
          <w:rStyle w:val="None"/>
          <w:rFonts w:ascii="Helvetica" w:hAnsi="Helvetica"/>
          <w:i w:val="1"/>
          <w:iCs w:val="1"/>
          <w:rtl w:val="0"/>
          <w:lang w:val="en-US"/>
        </w:rPr>
        <w:t>Paedophryne kathismaphlox</w:t>
      </w:r>
      <w:r>
        <w:rPr>
          <w:rFonts w:ascii="Helvetica" w:hAnsi="Helvetica"/>
          <w:rtl w:val="0"/>
          <w:lang w:val="en-US"/>
        </w:rPr>
        <w:t xml:space="preserve"> (Kraus 2010).</w:t>
      </w:r>
    </w:p>
    <w:p>
      <w:pPr>
        <w:pStyle w:val="Body Text"/>
        <w:spacing w:before="0" w:after="0"/>
        <w:rPr>
          <w:rFonts w:ascii="Helvetica" w:cs="Helvetica" w:hAnsi="Helvetica" w:eastAsia="Helvetica"/>
        </w:rPr>
      </w:pPr>
      <w:r>
        <w:rPr>
          <w:rFonts w:ascii="Helvetica" w:cs="Helvetica" w:hAnsi="Helvetica" w:eastAsia="Helvetica"/>
        </w:rPr>
        <w:tab/>
      </w:r>
      <w:r>
        <w:rPr>
          <w:rStyle w:val="None"/>
          <w:rFonts w:ascii="Helvetica" w:hAnsi="Helvetica"/>
          <w:b w:val="1"/>
          <w:bCs w:val="1"/>
          <w:rtl w:val="0"/>
          <w:lang w:val="en-US"/>
        </w:rPr>
        <w:t>Content:</w:t>
      </w:r>
      <w:r>
        <w:rPr>
          <w:rFonts w:ascii="Helvetica" w:hAnsi="Helvetica"/>
          <w:rtl w:val="0"/>
          <w:lang w:val="en-US"/>
        </w:rPr>
        <w:t xml:space="preserve"> We transfer eleven named species from Oreophryne into </w:t>
      </w:r>
      <w:r>
        <w:rPr>
          <w:rStyle w:val="None"/>
          <w:rFonts w:ascii="Helvetica" w:hAnsi="Helvetica"/>
          <w:i w:val="1"/>
          <w:iCs w:val="1"/>
          <w:rtl w:val="0"/>
          <w:lang w:val="en-US"/>
        </w:rPr>
        <w:t>Auparoparo</w:t>
      </w:r>
      <w:r>
        <w:rPr>
          <w:rFonts w:ascii="Helvetica" w:hAnsi="Helvetica"/>
          <w:rtl w:val="0"/>
          <w:lang w:val="en-US"/>
        </w:rPr>
        <w:t xml:space="preserve"> (</w:t>
      </w: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\l "bookmark14" </w:instrText>
      </w:r>
      <w:r>
        <w:rPr>
          <w:rStyle w:val="Hyperlink.0"/>
          <w:rFonts w:ascii="Helvetica" w:cs="Helvetica" w:hAnsi="Helvetica" w:eastAsia="Helvetica"/>
        </w:rPr>
        <w:fldChar w:fldCharType="separate" w:fldLock="0"/>
      </w:r>
      <w:r>
        <w:rPr>
          <w:rStyle w:val="Hyperlink.0"/>
          <w:rFonts w:ascii="Helvetica" w:hAnsi="Helvetica"/>
          <w:rtl w:val="0"/>
          <w:lang w:val="en-US"/>
        </w:rPr>
        <w:t>Table</w:t>
      </w:r>
      <w:r>
        <w:rPr>
          <w:rStyle w:val="Hyperlink.0"/>
          <w:rFonts w:ascii="Helvetica" w:hAnsi="Helvetica" w:hint="default"/>
          <w:rtl w:val="0"/>
          <w:lang w:val="en-US"/>
        </w:rPr>
        <w:t> </w:t>
      </w:r>
      <w:r>
        <w:rPr>
          <w:rStyle w:val="Hyperlink.0"/>
          <w:rFonts w:ascii="Helvetica" w:hAnsi="Helvetica"/>
          <w:rtl w:val="0"/>
          <w:lang w:val="en-US"/>
        </w:rPr>
        <w:t>5</w:t>
      </w:r>
      <w:r>
        <w:rPr>
          <w:rFonts w:ascii="Helvetica" w:cs="Helvetica" w:hAnsi="Helvetica" w:eastAsia="Helvetica"/>
        </w:rPr>
        <w:fldChar w:fldCharType="end" w:fldLock="0"/>
      </w:r>
      <w:r>
        <w:rPr>
          <w:rFonts w:ascii="Helvetica" w:hAnsi="Helvetica"/>
          <w:rtl w:val="0"/>
          <w:lang w:val="en-US"/>
        </w:rPr>
        <w:t xml:space="preserve">): </w:t>
      </w:r>
      <w:r>
        <w:rPr>
          <w:rStyle w:val="None"/>
          <w:rFonts w:ascii="Helvetica" w:hAnsi="Helvetica"/>
          <w:i w:val="1"/>
          <w:iCs w:val="1"/>
          <w:rtl w:val="0"/>
          <w:lang w:val="en-US"/>
        </w:rPr>
        <w:t>Auparoparo brunnea</w:t>
      </w:r>
      <w:r>
        <w:rPr>
          <w:rFonts w:ascii="Helvetica" w:hAnsi="Helvetica"/>
          <w:rtl w:val="0"/>
          <w:lang w:val="en-US"/>
        </w:rPr>
        <w:t xml:space="preserve"> (Kraus 2017), </w:t>
      </w:r>
      <w:r>
        <w:rPr>
          <w:rStyle w:val="None"/>
          <w:rFonts w:ascii="Helvetica" w:hAnsi="Helvetica"/>
          <w:i w:val="1"/>
          <w:iCs w:val="1"/>
          <w:rtl w:val="0"/>
          <w:lang w:val="en-US"/>
        </w:rPr>
        <w:t>Auparoparo equus</w:t>
      </w:r>
      <w:r>
        <w:rPr>
          <w:rFonts w:ascii="Helvetica" w:hAnsi="Helvetica"/>
          <w:rtl w:val="0"/>
          <w:lang w:val="en-US"/>
        </w:rPr>
        <w:t xml:space="preserve"> (Kraus 2016), </w:t>
      </w:r>
      <w:r>
        <w:rPr>
          <w:rStyle w:val="None"/>
          <w:rFonts w:ascii="Helvetica" w:hAnsi="Helvetica"/>
          <w:i w:val="1"/>
          <w:iCs w:val="1"/>
          <w:rtl w:val="0"/>
          <w:lang w:val="en-US"/>
        </w:rPr>
        <w:t>Auparoparo ezra</w:t>
      </w:r>
      <w:r>
        <w:rPr>
          <w:rFonts w:ascii="Helvetica" w:hAnsi="Helvetica"/>
          <w:rtl w:val="0"/>
          <w:lang w:val="en-US"/>
        </w:rPr>
        <w:t xml:space="preserve"> (Kraus and Allison 2009), </w:t>
      </w:r>
      <w:r>
        <w:rPr>
          <w:rStyle w:val="None"/>
          <w:rFonts w:ascii="Helvetica" w:hAnsi="Helvetica"/>
          <w:i w:val="1"/>
          <w:iCs w:val="1"/>
          <w:rtl w:val="0"/>
          <w:lang w:val="en-US"/>
        </w:rPr>
        <w:t>Auparoparo insulana</w:t>
      </w:r>
      <w:r>
        <w:rPr>
          <w:rFonts w:ascii="Helvetica" w:hAnsi="Helvetica"/>
          <w:rtl w:val="0"/>
          <w:lang w:val="en-US"/>
        </w:rPr>
        <w:t xml:space="preserve"> (Zweifel 1956), </w:t>
      </w:r>
      <w:r>
        <w:rPr>
          <w:rStyle w:val="None"/>
          <w:rFonts w:ascii="Helvetica" w:hAnsi="Helvetica"/>
          <w:i w:val="1"/>
          <w:iCs w:val="1"/>
          <w:rtl w:val="0"/>
          <w:lang w:val="en-US"/>
        </w:rPr>
        <w:t>Auparoparo matawan</w:t>
      </w:r>
      <w:r>
        <w:rPr>
          <w:rFonts w:ascii="Helvetica" w:hAnsi="Helvetica"/>
          <w:rtl w:val="0"/>
          <w:lang w:val="en-US"/>
        </w:rPr>
        <w:t xml:space="preserve"> (Kraus 2016), </w:t>
      </w:r>
      <w:r>
        <w:rPr>
          <w:rStyle w:val="None"/>
          <w:rFonts w:ascii="Helvetica" w:hAnsi="Helvetica"/>
          <w:i w:val="1"/>
          <w:iCs w:val="1"/>
          <w:rtl w:val="0"/>
          <w:lang w:val="en-US"/>
        </w:rPr>
        <w:t>Auparoparo meliades</w:t>
      </w:r>
      <w:r>
        <w:rPr>
          <w:rFonts w:ascii="Helvetica" w:hAnsi="Helvetica"/>
          <w:rtl w:val="0"/>
          <w:lang w:val="en-US"/>
        </w:rPr>
        <w:t xml:space="preserve"> (Kraus 2016), </w:t>
      </w:r>
      <w:r>
        <w:rPr>
          <w:rStyle w:val="None"/>
          <w:rFonts w:ascii="Helvetica" w:hAnsi="Helvetica"/>
          <w:i w:val="1"/>
          <w:iCs w:val="1"/>
          <w:rtl w:val="0"/>
          <w:lang w:val="en-US"/>
        </w:rPr>
        <w:t>Auparoparo penelopeia</w:t>
      </w:r>
      <w:r>
        <w:rPr>
          <w:rFonts w:ascii="Helvetica" w:hAnsi="Helvetica"/>
          <w:rtl w:val="0"/>
          <w:lang w:val="en-US"/>
        </w:rPr>
        <w:t xml:space="preserve"> (Kraus 2016), </w:t>
      </w:r>
      <w:r>
        <w:rPr>
          <w:rStyle w:val="None"/>
          <w:rFonts w:ascii="Helvetica" w:hAnsi="Helvetica"/>
          <w:i w:val="1"/>
          <w:iCs w:val="1"/>
          <w:rtl w:val="0"/>
          <w:lang w:val="en-US"/>
        </w:rPr>
        <w:t>Auparoparo phoebe</w:t>
      </w:r>
      <w:r>
        <w:rPr>
          <w:rFonts w:ascii="Helvetica" w:hAnsi="Helvetica"/>
          <w:rtl w:val="0"/>
          <w:lang w:val="en-US"/>
        </w:rPr>
        <w:t xml:space="preserve"> (Kraus 2017), </w:t>
      </w:r>
      <w:r>
        <w:rPr>
          <w:rStyle w:val="None"/>
          <w:rFonts w:ascii="Helvetica" w:hAnsi="Helvetica"/>
          <w:i w:val="1"/>
          <w:iCs w:val="1"/>
          <w:rtl w:val="0"/>
          <w:lang w:val="en-US"/>
        </w:rPr>
        <w:t>Auparoparo picticrus</w:t>
      </w:r>
      <w:r>
        <w:rPr>
          <w:rFonts w:ascii="Helvetica" w:hAnsi="Helvetica"/>
          <w:rtl w:val="0"/>
          <w:lang w:val="en-US"/>
        </w:rPr>
        <w:t xml:space="preserve"> (Kraus 2016), </w:t>
      </w:r>
      <w:r>
        <w:rPr>
          <w:rStyle w:val="None"/>
          <w:rFonts w:ascii="Helvetica" w:hAnsi="Helvetica"/>
          <w:i w:val="1"/>
          <w:iCs w:val="1"/>
          <w:rtl w:val="0"/>
          <w:lang w:val="en-US"/>
        </w:rPr>
        <w:t>Auparoparo nana</w:t>
      </w:r>
      <w:r>
        <w:rPr>
          <w:rFonts w:ascii="Helvetica" w:hAnsi="Helvetica"/>
          <w:rtl w:val="0"/>
          <w:lang w:val="en-US"/>
        </w:rPr>
        <w:t xml:space="preserve">, </w:t>
      </w:r>
      <w:r>
        <w:rPr>
          <w:rStyle w:val="None"/>
          <w:rFonts w:ascii="Helvetica" w:hAnsi="Helvetica"/>
          <w:i w:val="1"/>
          <w:iCs w:val="1"/>
          <w:rtl w:val="0"/>
          <w:lang w:val="en-US"/>
        </w:rPr>
        <w:t>Auparoparo penelopia</w:t>
      </w:r>
      <w:r>
        <w:rPr>
          <w:rFonts w:ascii="Helvetica" w:hAnsi="Helvetica"/>
          <w:rtl w:val="0"/>
          <w:lang w:val="en-US"/>
        </w:rPr>
        <w:t xml:space="preserve"> (Kraus 2016), </w:t>
      </w:r>
      <w:r>
        <w:rPr>
          <w:rStyle w:val="None"/>
          <w:rFonts w:ascii="Helvetica" w:hAnsi="Helvetica"/>
          <w:i w:val="1"/>
          <w:iCs w:val="1"/>
          <w:rtl w:val="0"/>
          <w:lang w:val="en-US"/>
        </w:rPr>
        <w:t>Auparoparo variabilis</w:t>
      </w:r>
      <w:r>
        <w:rPr>
          <w:rFonts w:ascii="Helvetica" w:hAnsi="Helvetica"/>
          <w:rtl w:val="0"/>
          <w:lang w:val="en-US"/>
        </w:rPr>
        <w:t xml:space="preserve"> (Boulenger 1896).</w:t>
      </w:r>
    </w:p>
    <w:p>
      <w:pPr>
        <w:pStyle w:val="Body Text"/>
        <w:spacing w:before="0" w:after="0"/>
        <w:rPr>
          <w:rFonts w:ascii="Helvetica" w:cs="Helvetica" w:hAnsi="Helvetica" w:eastAsia="Helvetica"/>
        </w:rPr>
      </w:pPr>
      <w:r>
        <w:rPr>
          <w:rFonts w:ascii="Helvetica" w:cs="Helvetica" w:hAnsi="Helvetica" w:eastAsia="Helvetica"/>
        </w:rPr>
        <w:tab/>
      </w:r>
      <w:r>
        <w:rPr>
          <w:rStyle w:val="None"/>
          <w:rFonts w:ascii="Helvetica" w:hAnsi="Helvetica"/>
          <w:b w:val="1"/>
          <w:bCs w:val="1"/>
          <w:rtl w:val="0"/>
          <w:lang w:val="en-US"/>
        </w:rPr>
        <w:t>Distribution:</w:t>
      </w:r>
      <w:r>
        <w:rPr>
          <w:rFonts w:ascii="Helvetica" w:hAnsi="Helvetica"/>
          <w:rtl w:val="0"/>
          <w:lang w:val="en-US"/>
        </w:rPr>
        <w:t xml:space="preserve"> Southeastern tip of mainland Papua New Guinea and satellite islands (Fergusson, Misima, Normanby, Rossel, Sudest, Woodlark Is.), Sulawesi.</w:t>
      </w:r>
    </w:p>
    <w:p>
      <w:pPr>
        <w:pStyle w:val="Body Text"/>
        <w:spacing w:before="0" w:after="0"/>
        <w:rPr>
          <w:rFonts w:ascii="Helvetica" w:cs="Helvetica" w:hAnsi="Helvetica" w:eastAsia="Helvetica"/>
        </w:rPr>
      </w:pPr>
      <w:r>
        <w:rPr>
          <w:rFonts w:ascii="Helvetica" w:cs="Helvetica" w:hAnsi="Helvetica" w:eastAsia="Helvetica"/>
        </w:rPr>
        <w:tab/>
      </w:r>
      <w:r>
        <w:rPr>
          <w:rStyle w:val="None"/>
          <w:rFonts w:ascii="Helvetica" w:hAnsi="Helvetica"/>
          <w:b w:val="1"/>
          <w:bCs w:val="1"/>
          <w:rtl w:val="0"/>
          <w:lang w:val="en-US"/>
        </w:rPr>
        <w:t>Etymology:</w:t>
      </w:r>
      <w:r>
        <w:rPr>
          <w:rFonts w:ascii="Helvetica" w:hAnsi="Helvetica"/>
          <w:rtl w:val="0"/>
          <w:lang w:val="en-US"/>
        </w:rPr>
        <w:t xml:space="preserve"> The generic name </w:t>
      </w:r>
      <w:r>
        <w:rPr>
          <w:rStyle w:val="None"/>
          <w:rFonts w:ascii="Helvetica" w:hAnsi="Helvetica"/>
          <w:i w:val="1"/>
          <w:iCs w:val="1"/>
          <w:rtl w:val="0"/>
          <w:lang w:val="en-US"/>
        </w:rPr>
        <w:t>Auparoparo</w:t>
      </w:r>
      <w:r>
        <w:rPr>
          <w:rFonts w:ascii="Helvetica" w:hAnsi="Helvetica"/>
          <w:rtl w:val="0"/>
          <w:lang w:val="en-US"/>
        </w:rPr>
        <w:t xml:space="preserve"> comes from the indigenous language, Motu, which is widely spoken in the region of Papua New Guinea in which this genus is found. It is a combination of the words </w:t>
      </w:r>
      <w:r>
        <w:rPr>
          <w:rFonts w:ascii="Helvetica" w:hAnsi="Helvetica" w:hint="default"/>
          <w:rtl w:val="0"/>
          <w:lang w:val="en-US"/>
        </w:rPr>
        <w:t>“</w:t>
      </w:r>
      <w:r>
        <w:rPr>
          <w:rFonts w:ascii="Helvetica" w:hAnsi="Helvetica"/>
          <w:rtl w:val="0"/>
          <w:lang w:val="en-US"/>
        </w:rPr>
        <w:t>au</w:t>
      </w:r>
      <w:r>
        <w:rPr>
          <w:rFonts w:ascii="Helvetica" w:hAnsi="Helvetica" w:hint="default"/>
          <w:rtl w:val="0"/>
          <w:lang w:val="en-US"/>
        </w:rPr>
        <w:t xml:space="preserve">” </w:t>
      </w:r>
      <w:r>
        <w:rPr>
          <w:rFonts w:ascii="Helvetica" w:hAnsi="Helvetica"/>
          <w:rtl w:val="0"/>
          <w:lang w:val="en-US"/>
        </w:rPr>
        <w:t xml:space="preserve">(tree) and </w:t>
      </w:r>
      <w:r>
        <w:rPr>
          <w:rFonts w:ascii="Helvetica" w:hAnsi="Helvetica" w:hint="default"/>
          <w:rtl w:val="0"/>
          <w:lang w:val="en-US"/>
        </w:rPr>
        <w:t>“</w:t>
      </w:r>
      <w:r>
        <w:rPr>
          <w:rFonts w:ascii="Helvetica" w:hAnsi="Helvetica"/>
          <w:rtl w:val="0"/>
          <w:lang w:val="en-US"/>
        </w:rPr>
        <w:t>paro paro</w:t>
      </w:r>
      <w:r>
        <w:rPr>
          <w:rFonts w:ascii="Helvetica" w:hAnsi="Helvetica" w:hint="default"/>
          <w:rtl w:val="0"/>
          <w:lang w:val="en-US"/>
        </w:rPr>
        <w:t xml:space="preserve">” </w:t>
      </w:r>
      <w:r>
        <w:rPr>
          <w:rFonts w:ascii="Helvetica" w:hAnsi="Helvetica"/>
          <w:rtl w:val="0"/>
          <w:lang w:val="en-US"/>
        </w:rPr>
        <w:t xml:space="preserve">(frog). Motu is not a gendered language, however, for nomenclatural purposes we designate the genus </w:t>
      </w:r>
      <w:r>
        <w:rPr>
          <w:rStyle w:val="None"/>
          <w:rFonts w:ascii="Helvetica" w:hAnsi="Helvetica"/>
          <w:i w:val="1"/>
          <w:iCs w:val="1"/>
          <w:rtl w:val="0"/>
          <w:lang w:val="en-US"/>
        </w:rPr>
        <w:t>Auparoparo</w:t>
      </w:r>
      <w:r>
        <w:rPr>
          <w:rFonts w:ascii="Helvetica" w:hAnsi="Helvetica"/>
          <w:rtl w:val="0"/>
          <w:lang w:val="en-US"/>
        </w:rPr>
        <w:t xml:space="preserve"> as feminine, thereby preserving the gender of existing species names.</w:t>
      </w:r>
      <w:bookmarkEnd w:id="15"/>
    </w:p>
    <w:p>
      <w:pPr>
        <w:pStyle w:val="Heading 1"/>
        <w:spacing w:before="0" w:after="0" w:line="480" w:lineRule="auto"/>
        <w:jc w:val="center"/>
        <w:rPr>
          <w:rStyle w:val="None"/>
          <w:smallCaps w:val="1"/>
        </w:rPr>
      </w:pPr>
      <w:bookmarkStart w:name="discussion" w:id="16"/>
      <w:r>
        <w:rPr>
          <w:rStyle w:val="None"/>
          <w:smallCaps w:val="1"/>
          <w:rtl w:val="0"/>
          <w:lang w:val="en-US"/>
        </w:rPr>
        <w:t>Discussion</w:t>
      </w:r>
    </w:p>
    <w:p>
      <w:pPr>
        <w:pStyle w:val="First Paragraph"/>
        <w:spacing w:before="0" w:after="0"/>
      </w:pPr>
      <w:r>
        <w:rPr>
          <w:rtl w:val="0"/>
        </w:rPr>
        <w:tab/>
        <w:t xml:space="preserve">Our phylogenetic results (Hill et al. 2022; 2023b, this study) provide clarity on the classification of the problematic genus </w:t>
      </w:r>
      <w:r>
        <w:rPr>
          <w:rStyle w:val="None"/>
          <w:i w:val="1"/>
          <w:iCs w:val="1"/>
          <w:rtl w:val="0"/>
          <w:lang w:val="en-US"/>
        </w:rPr>
        <w:t>Oreophryne</w:t>
      </w:r>
      <w:r>
        <w:rPr>
          <w:rtl w:val="0"/>
          <w:lang w:val="en-US"/>
        </w:rPr>
        <w:t xml:space="preserve"> sensu lato. We confirm that </w:t>
      </w:r>
      <w:r>
        <w:rPr>
          <w:rStyle w:val="None"/>
          <w:i w:val="1"/>
          <w:iCs w:val="1"/>
          <w:rtl w:val="0"/>
          <w:lang w:val="en-US"/>
        </w:rPr>
        <w:t>Oreophryne</w:t>
      </w:r>
      <w:r>
        <w:rPr>
          <w:rtl w:val="0"/>
          <w:lang w:val="en-US"/>
        </w:rPr>
        <w:t xml:space="preserve"> sensu lato is polyphyletic and consists of two reciprocally monophyletic clades, </w:t>
      </w:r>
      <w:r>
        <w:rPr>
          <w:rtl w:val="0"/>
          <w:lang w:val="en-US"/>
        </w:rPr>
        <w:t>“</w:t>
      </w:r>
      <w:r>
        <w:rPr>
          <w:rtl w:val="0"/>
          <w:lang w:val="en-US"/>
        </w:rPr>
        <w:t>Oreophryne A</w:t>
      </w:r>
      <w:r>
        <w:rPr>
          <w:rtl w:val="0"/>
          <w:lang w:val="en-US"/>
        </w:rPr>
        <w:t xml:space="preserve">” </w:t>
      </w:r>
      <w:r>
        <w:rPr>
          <w:rtl w:val="0"/>
          <w:lang w:val="en-US"/>
        </w:rPr>
        <w:t xml:space="preserve">and </w:t>
      </w:r>
      <w:r>
        <w:rPr>
          <w:rtl w:val="0"/>
          <w:lang w:val="en-US"/>
        </w:rPr>
        <w:t>“</w:t>
      </w:r>
      <w:r>
        <w:rPr>
          <w:rtl w:val="0"/>
          <w:lang w:val="en-US"/>
        </w:rPr>
        <w:t>B</w:t>
      </w:r>
      <w:r>
        <w:rPr>
          <w:rtl w:val="0"/>
          <w:lang w:val="en-US"/>
        </w:rPr>
        <w:t xml:space="preserve">” </w:t>
      </w:r>
      <w:r>
        <w:rPr>
          <w:rtl w:val="0"/>
          <w:lang w:val="en-US"/>
        </w:rPr>
        <w:t>(of Hill et al. 2022), originating 18 and 16 MYA, respectively (</w:t>
      </w:r>
      <w:r>
        <w:rPr>
          <w:rStyle w:val="Hyperlink.0"/>
        </w:rPr>
        <w:fldChar w:fldCharType="begin" w:fldLock="0"/>
      </w:r>
      <w:r>
        <w:rPr>
          <w:rStyle w:val="Hyperlink.0"/>
        </w:rPr>
        <w:instrText xml:space="preserve"> HYPERLINK \l "bookmark15" </w:instrText>
      </w:r>
      <w:r>
        <w:rPr>
          <w:rStyle w:val="Hyperlink.0"/>
        </w:rPr>
        <w:fldChar w:fldCharType="separate" w:fldLock="0"/>
      </w:r>
      <w:r>
        <w:rPr>
          <w:rStyle w:val="Hyperlink.0"/>
          <w:rtl w:val="0"/>
          <w:lang w:val="en-US"/>
        </w:rPr>
        <w:t>Figure</w:t>
      </w:r>
      <w:r>
        <w:rPr>
          <w:rStyle w:val="Hyperlink.0"/>
          <w:rtl w:val="0"/>
          <w:lang w:val="en-US"/>
        </w:rPr>
        <w:t> </w:t>
      </w:r>
      <w:r>
        <w:rPr>
          <w:rStyle w:val="Hyperlink.0"/>
          <w:rtl w:val="0"/>
          <w:lang w:val="en-US"/>
        </w:rPr>
        <w:t>2</w:t>
      </w:r>
      <w:r>
        <w:rPr/>
        <w:fldChar w:fldCharType="end" w:fldLock="0"/>
      </w:r>
      <w:r>
        <w:rPr>
          <w:rtl w:val="0"/>
          <w:lang w:val="en-US"/>
        </w:rPr>
        <w:t xml:space="preserve">). Here we designate </w:t>
      </w:r>
      <w:r>
        <w:rPr>
          <w:rtl w:val="0"/>
          <w:lang w:val="en-US"/>
        </w:rPr>
        <w:t>“</w:t>
      </w:r>
      <w:r>
        <w:rPr>
          <w:rtl w:val="0"/>
          <w:lang w:val="en-US"/>
        </w:rPr>
        <w:t>Oreophryne A</w:t>
      </w:r>
      <w:r>
        <w:rPr>
          <w:rtl w:val="0"/>
          <w:lang w:val="en-US"/>
        </w:rPr>
        <w:t xml:space="preserve">” </w:t>
      </w:r>
      <w:r>
        <w:rPr>
          <w:rtl w:val="0"/>
          <w:lang w:val="en-US"/>
        </w:rPr>
        <w:t xml:space="preserve">as retaining the name </w:t>
      </w:r>
      <w:r>
        <w:rPr>
          <w:rStyle w:val="None"/>
          <w:i w:val="1"/>
          <w:iCs w:val="1"/>
          <w:rtl w:val="0"/>
          <w:lang w:val="en-US"/>
        </w:rPr>
        <w:t>Oreophryne</w:t>
      </w:r>
      <w:r>
        <w:rPr>
          <w:rtl w:val="0"/>
          <w:lang w:val="en-US"/>
        </w:rPr>
        <w:t xml:space="preserve"> based on its containing the type species </w:t>
      </w:r>
      <w:r>
        <w:rPr>
          <w:rStyle w:val="None"/>
          <w:i w:val="1"/>
          <w:iCs w:val="1"/>
          <w:rtl w:val="0"/>
          <w:lang w:val="en-US"/>
        </w:rPr>
        <w:t>Oreophryne senckenbergiana</w:t>
      </w:r>
      <w:r>
        <w:rPr>
          <w:rtl w:val="0"/>
          <w:lang w:val="en-US"/>
        </w:rPr>
        <w:t xml:space="preserve"> (Boettger 1895) with high support. </w:t>
      </w:r>
      <w:r>
        <w:rPr>
          <w:rStyle w:val="None"/>
          <w:i w:val="1"/>
          <w:iCs w:val="1"/>
          <w:rtl w:val="0"/>
          <w:lang w:val="en-US"/>
        </w:rPr>
        <w:t>Oreophryne</w:t>
      </w:r>
      <w:r>
        <w:rPr>
          <w:rtl w:val="0"/>
          <w:lang w:val="en-US"/>
        </w:rPr>
        <w:t xml:space="preserve"> is the earliest diverged genus in subfamily Asterophryinae, sister to all the other genera. The second clade, </w:t>
      </w:r>
      <w:r>
        <w:rPr>
          <w:rtl w:val="0"/>
          <w:lang w:val="en-US"/>
        </w:rPr>
        <w:t>“</w:t>
      </w:r>
      <w:r>
        <w:rPr>
          <w:rtl w:val="0"/>
          <w:lang w:val="en-US"/>
        </w:rPr>
        <w:t>Oreophryne B</w:t>
      </w:r>
      <w:r>
        <w:rPr>
          <w:rtl w:val="0"/>
          <w:lang w:val="en-US"/>
        </w:rPr>
        <w:t>”</w:t>
      </w:r>
      <w:r>
        <w:rPr>
          <w:rtl w:val="0"/>
          <w:lang w:val="en-US"/>
        </w:rPr>
        <w:t xml:space="preserve">, is highly supported as a separate, unrelated genus, which contains no known species with historical generic priority. Thus, we designate this genus as </w:t>
      </w:r>
      <w:r>
        <w:rPr>
          <w:rStyle w:val="None"/>
          <w:i w:val="1"/>
          <w:iCs w:val="1"/>
          <w:rtl w:val="0"/>
          <w:lang w:val="en-US"/>
        </w:rPr>
        <w:t>Auparoparo</w:t>
      </w:r>
      <w:r>
        <w:rPr>
          <w:rtl w:val="0"/>
          <w:lang w:val="en-US"/>
        </w:rPr>
        <w:t>, a nominal tribute to the Motu language of the indigenous peoples of the region.</w:t>
      </w:r>
      <w:bookmarkEnd w:id="16"/>
    </w:p>
    <w:p>
      <w:pPr>
        <w:pStyle w:val="Heading 2"/>
        <w:spacing w:before="0" w:after="0"/>
        <w:jc w:val="center"/>
        <w:rPr>
          <w:rFonts w:ascii="Helvetica" w:cs="Helvetica" w:hAnsi="Helvetica" w:eastAsia="Helvetica"/>
        </w:rPr>
      </w:pPr>
      <w:bookmarkStart w:name="thedifficultywithcrypticgenera" w:id="17"/>
      <w:r>
        <w:rPr>
          <w:rFonts w:ascii="Helvetica" w:hAnsi="Helvetica"/>
          <w:rtl w:val="0"/>
          <w:lang w:val="en-US"/>
        </w:rPr>
        <w:t>The Difficulty with Cryptic Genera</w:t>
      </w:r>
    </w:p>
    <w:p>
      <w:pPr>
        <w:pStyle w:val="First Paragraph"/>
        <w:spacing w:before="0" w:after="0"/>
      </w:pPr>
      <w:r>
        <w:rPr>
          <w:rtl w:val="0"/>
        </w:rPr>
        <w:tab/>
        <w:t xml:space="preserve">Perhaps the greatest testament to the crypticism of </w:t>
      </w:r>
      <w:r>
        <w:rPr>
          <w:rStyle w:val="None"/>
          <w:i w:val="1"/>
          <w:iCs w:val="1"/>
          <w:rtl w:val="0"/>
          <w:lang w:val="en-US"/>
        </w:rPr>
        <w:t>Oreophryne</w:t>
      </w:r>
      <w:r>
        <w:rPr>
          <w:rtl w:val="0"/>
          <w:lang w:val="en-US"/>
        </w:rPr>
        <w:t xml:space="preserve"> (CCN) vs.</w:t>
      </w:r>
      <w:r>
        <w:rPr>
          <w:rtl w:val="0"/>
          <w:lang w:val="en-US"/>
        </w:rPr>
        <w:t> </w:t>
      </w:r>
      <w:r>
        <w:rPr>
          <w:rStyle w:val="None"/>
          <w:i w:val="1"/>
          <w:iCs w:val="1"/>
          <w:rtl w:val="0"/>
          <w:lang w:val="en-US"/>
        </w:rPr>
        <w:t>Auparoparo</w:t>
      </w:r>
      <w:r>
        <w:rPr>
          <w:rtl w:val="0"/>
          <w:lang w:val="en-US"/>
        </w:rPr>
        <w:t xml:space="preserve"> (NCN) is that no taxonomist was able to distinguish that they are separate clades, independently evolved, in the 130 years between their discovery and phylogenetic classification [Boettger (1895); this study]. These species are indeed morphologically very similar (</w:t>
      </w:r>
      <w:r>
        <w:rPr>
          <w:rStyle w:val="Hyperlink.0"/>
        </w:rPr>
        <w:fldChar w:fldCharType="begin" w:fldLock="0"/>
      </w:r>
      <w:r>
        <w:rPr>
          <w:rStyle w:val="Hyperlink.0"/>
        </w:rPr>
        <w:instrText xml:space="preserve"> HYPERLINK \l "bookmark16" </w:instrText>
      </w:r>
      <w:r>
        <w:rPr>
          <w:rStyle w:val="Hyperlink.0"/>
        </w:rPr>
        <w:fldChar w:fldCharType="separate" w:fldLock="0"/>
      </w:r>
      <w:r>
        <w:rPr>
          <w:rStyle w:val="Hyperlink.0"/>
          <w:rtl w:val="0"/>
          <w:lang w:val="en-US"/>
        </w:rPr>
        <w:t>Figure</w:t>
      </w:r>
      <w:r>
        <w:rPr>
          <w:rStyle w:val="Hyperlink.0"/>
          <w:rtl w:val="0"/>
          <w:lang w:val="en-US"/>
        </w:rPr>
        <w:t> </w:t>
      </w:r>
      <w:r>
        <w:rPr>
          <w:rStyle w:val="Hyperlink.0"/>
          <w:rtl w:val="0"/>
          <w:lang w:val="en-US"/>
        </w:rPr>
        <w:t>1</w:t>
      </w:r>
      <w:r>
        <w:rPr/>
        <w:fldChar w:fldCharType="end" w:fldLock="0"/>
      </w:r>
      <w:r>
        <w:rPr>
          <w:rtl w:val="0"/>
          <w:lang w:val="en-US"/>
        </w:rPr>
        <w:t xml:space="preserve">) and our results provide some clues as to why </w:t>
      </w:r>
      <w:r>
        <w:rPr>
          <w:rStyle w:val="None"/>
          <w:i w:val="1"/>
          <w:iCs w:val="1"/>
          <w:rtl w:val="0"/>
          <w:lang w:val="en-US"/>
        </w:rPr>
        <w:t>Oreophryne</w:t>
      </w:r>
      <w:r>
        <w:rPr>
          <w:rtl w:val="0"/>
          <w:lang w:val="en-US"/>
        </w:rPr>
        <w:t xml:space="preserve"> taxonomy has been so difficult. We found no morphological synapomorphy for neither </w:t>
      </w:r>
      <w:r>
        <w:rPr>
          <w:rStyle w:val="None"/>
          <w:i w:val="1"/>
          <w:iCs w:val="1"/>
          <w:rtl w:val="0"/>
          <w:lang w:val="en-US"/>
        </w:rPr>
        <w:t>Auparoparo</w:t>
      </w:r>
      <w:r>
        <w:rPr>
          <w:rtl w:val="0"/>
          <w:lang w:val="en-US"/>
        </w:rPr>
        <w:t xml:space="preserve"> nor </w:t>
      </w:r>
      <w:r>
        <w:rPr>
          <w:rStyle w:val="None"/>
          <w:i w:val="1"/>
          <w:iCs w:val="1"/>
          <w:rtl w:val="0"/>
          <w:lang w:val="en-US"/>
        </w:rPr>
        <w:t>Oreophryne</w:t>
      </w:r>
      <w:r>
        <w:rPr>
          <w:rtl w:val="0"/>
          <w:lang w:val="en-US"/>
        </w:rPr>
        <w:t>, and moreover, no morphological feature that can diagnose either clade or both in combination.</w:t>
      </w:r>
    </w:p>
    <w:p>
      <w:pPr>
        <w:pStyle w:val="Body Text"/>
        <w:spacing w:before="0" w:after="0"/>
        <w:rPr>
          <w:rFonts w:ascii="Helvetica" w:cs="Helvetica" w:hAnsi="Helvetica" w:eastAsia="Helvetica"/>
        </w:rPr>
      </w:pPr>
      <w:r>
        <w:rPr>
          <w:rFonts w:ascii="Helvetica" w:cs="Helvetica" w:hAnsi="Helvetica" w:eastAsia="Helvetica"/>
          <w:rtl w:val="0"/>
        </w:rPr>
        <w:tab/>
        <w:t xml:space="preserve">The traditional basis for generic designation of species to </w:t>
      </w:r>
      <w:r>
        <w:rPr>
          <w:rStyle w:val="None"/>
          <w:rFonts w:ascii="Helvetica" w:hAnsi="Helvetica"/>
          <w:i w:val="1"/>
          <w:iCs w:val="1"/>
          <w:rtl w:val="0"/>
          <w:lang w:val="en-US"/>
        </w:rPr>
        <w:t>Oreophryne</w:t>
      </w:r>
      <w:r>
        <w:rPr>
          <w:rFonts w:ascii="Helvetica" w:hAnsi="Helvetica"/>
          <w:rtl w:val="0"/>
          <w:lang w:val="en-US"/>
        </w:rPr>
        <w:t xml:space="preserve"> has primarily relied on a signature pectoral anatomy (whether original or revised diagnosis, Parker 1934; Zweifel 2003). Our phylogenetic results clearly show that this trait appears more than once, in both </w:t>
      </w:r>
      <w:r>
        <w:rPr>
          <w:rStyle w:val="None"/>
          <w:rFonts w:ascii="Helvetica" w:hAnsi="Helvetica"/>
          <w:i w:val="1"/>
          <w:iCs w:val="1"/>
          <w:rtl w:val="0"/>
          <w:lang w:val="en-US"/>
        </w:rPr>
        <w:t>Oreophryne</w:t>
      </w:r>
      <w:r>
        <w:rPr>
          <w:rFonts w:ascii="Helvetica" w:hAnsi="Helvetica"/>
          <w:rtl w:val="0"/>
          <w:lang w:val="en-US"/>
        </w:rPr>
        <w:t xml:space="preserve"> and </w:t>
      </w:r>
      <w:r>
        <w:rPr>
          <w:rStyle w:val="None"/>
          <w:rFonts w:ascii="Helvetica" w:hAnsi="Helvetica"/>
          <w:i w:val="1"/>
          <w:iCs w:val="1"/>
          <w:rtl w:val="0"/>
          <w:lang w:val="en-US"/>
        </w:rPr>
        <w:t>Auparaparo</w:t>
      </w:r>
      <w:r>
        <w:rPr>
          <w:rFonts w:ascii="Helvetica" w:hAnsi="Helvetica"/>
          <w:rtl w:val="0"/>
          <w:lang w:val="en-US"/>
        </w:rPr>
        <w:t xml:space="preserve">, and rather than being a highly conserved trait, it is either a symplesiomorphy (shared ancestral character) or a result of convergent or parallel evolution, and perhaps adaptive for arboreality. Thus, the pectoral anatomy is not a reliable diagnostic character in differentiating between </w:t>
      </w:r>
      <w:r>
        <w:rPr>
          <w:rStyle w:val="None"/>
          <w:rFonts w:ascii="Helvetica" w:hAnsi="Helvetica"/>
          <w:i w:val="1"/>
          <w:iCs w:val="1"/>
          <w:rtl w:val="0"/>
          <w:lang w:val="en-US"/>
        </w:rPr>
        <w:t>Oreophryne</w:t>
      </w:r>
      <w:r>
        <w:rPr>
          <w:rFonts w:ascii="Helvetica" w:hAnsi="Helvetica"/>
          <w:rtl w:val="0"/>
          <w:lang w:val="en-US"/>
        </w:rPr>
        <w:t xml:space="preserve"> and </w:t>
      </w:r>
      <w:r>
        <w:rPr>
          <w:rStyle w:val="None"/>
          <w:rFonts w:ascii="Helvetica" w:hAnsi="Helvetica"/>
          <w:i w:val="1"/>
          <w:iCs w:val="1"/>
          <w:rtl w:val="0"/>
          <w:lang w:val="en-US"/>
        </w:rPr>
        <w:t>Auparoparo</w:t>
      </w:r>
      <w:r>
        <w:rPr>
          <w:rFonts w:ascii="Helvetica" w:hAnsi="Helvetica"/>
          <w:rtl w:val="0"/>
          <w:lang w:val="en-US"/>
        </w:rPr>
        <w:t xml:space="preserve">. In studies across a wide diversity of anurans, Soliz et al. (2025) found that anatomical variation of the pectoral girdle corresponds with functional and ecological lifestyle demands, whereas Engelkes et al. (2020) found strong phylogenetic influence in the shape of the pectoral girdle. This point would be excellent for further study within Asterophryinae, as there are high elevation terrestrial species of </w:t>
      </w:r>
      <w:r>
        <w:rPr>
          <w:rStyle w:val="None"/>
          <w:rFonts w:ascii="Helvetica" w:hAnsi="Helvetica"/>
          <w:i w:val="1"/>
          <w:iCs w:val="1"/>
          <w:rtl w:val="0"/>
          <w:lang w:val="en-US"/>
        </w:rPr>
        <w:t>Oreophryne</w:t>
      </w:r>
      <w:r>
        <w:rPr>
          <w:rFonts w:ascii="Helvetica" w:hAnsi="Helvetica"/>
          <w:rtl w:val="0"/>
          <w:lang w:val="en-US"/>
        </w:rPr>
        <w:t xml:space="preserve"> sensu lato that possess the same pectoral trait (Zweifel et al. 2005),as well as a few arboreal species within other genera (</w:t>
      </w:r>
      <w:r>
        <w:rPr>
          <w:rStyle w:val="None"/>
          <w:rFonts w:ascii="Helvetica" w:hAnsi="Helvetica"/>
          <w:i w:val="1"/>
          <w:iCs w:val="1"/>
          <w:rtl w:val="0"/>
          <w:lang w:val="en-US"/>
        </w:rPr>
        <w:t>Cophixalus</w:t>
      </w:r>
      <w:r>
        <w:rPr>
          <w:rFonts w:ascii="Helvetica" w:hAnsi="Helvetica"/>
          <w:rtl w:val="0"/>
          <w:lang w:val="en-US"/>
        </w:rPr>
        <w:t xml:space="preserve">, </w:t>
      </w:r>
      <w:r>
        <w:rPr>
          <w:rStyle w:val="None"/>
          <w:rFonts w:ascii="Helvetica" w:hAnsi="Helvetica"/>
          <w:i w:val="1"/>
          <w:iCs w:val="1"/>
          <w:rtl w:val="0"/>
          <w:lang w:val="en-US"/>
        </w:rPr>
        <w:t>Asterophrys</w:t>
      </w:r>
      <w:r>
        <w:rPr>
          <w:rFonts w:ascii="Helvetica" w:hAnsi="Helvetica"/>
          <w:rtl w:val="0"/>
          <w:lang w:val="en-US"/>
        </w:rPr>
        <w:t xml:space="preserve">, </w:t>
      </w:r>
      <w:r>
        <w:rPr>
          <w:rStyle w:val="None"/>
          <w:rFonts w:ascii="Helvetica" w:hAnsi="Helvetica"/>
          <w:i w:val="1"/>
          <w:iCs w:val="1"/>
          <w:rtl w:val="0"/>
          <w:lang w:val="en-US"/>
        </w:rPr>
        <w:t>Xenorhina</w:t>
      </w:r>
      <w:r>
        <w:rPr>
          <w:rFonts w:ascii="Helvetica" w:hAnsi="Helvetica"/>
          <w:rtl w:val="0"/>
          <w:lang w:val="en-US"/>
        </w:rPr>
        <w:t>) with unknown pectoral morphology.</w:t>
      </w:r>
    </w:p>
    <w:p>
      <w:pPr>
        <w:pStyle w:val="Body Text"/>
        <w:spacing w:before="0" w:after="0"/>
        <w:rPr>
          <w:rFonts w:ascii="Helvetica" w:cs="Helvetica" w:hAnsi="Helvetica" w:eastAsia="Helvetica"/>
        </w:rPr>
      </w:pPr>
      <w:r>
        <w:rPr>
          <w:rFonts w:ascii="Helvetica" w:cs="Helvetica" w:hAnsi="Helvetica" w:eastAsia="Helvetica"/>
          <w:rtl w:val="0"/>
        </w:rPr>
        <w:tab/>
        <w:t xml:space="preserve">We further rexamined additional characters previously used to diagnose </w:t>
      </w:r>
      <w:r>
        <w:rPr>
          <w:rStyle w:val="None"/>
          <w:rFonts w:ascii="Helvetica" w:hAnsi="Helvetica"/>
          <w:i w:val="1"/>
          <w:iCs w:val="1"/>
          <w:rtl w:val="0"/>
          <w:lang w:val="en-US"/>
        </w:rPr>
        <w:t>Oreophryne</w:t>
      </w:r>
      <w:r>
        <w:rPr>
          <w:rFonts w:ascii="Helvetica" w:hAnsi="Helvetica"/>
          <w:rtl w:val="0"/>
          <w:lang w:val="en-US"/>
        </w:rPr>
        <w:t xml:space="preserve"> as well as characters conventionally used to diagnose species of frogs. We conclude that pectoral girdle connector type (Parker 1934) and relative lengths of the 3rd and 5th toe are uninformative and the degree of toe webbing is subjective. It was previously suggested that species in </w:t>
      </w:r>
      <w:r>
        <w:rPr>
          <w:rStyle w:val="None"/>
          <w:rFonts w:ascii="Helvetica" w:hAnsi="Helvetica"/>
          <w:i w:val="1"/>
          <w:iCs w:val="1"/>
          <w:rtl w:val="0"/>
          <w:lang w:val="en-US"/>
        </w:rPr>
        <w:t>Oreophryne</w:t>
      </w:r>
      <w:r>
        <w:rPr>
          <w:rFonts w:ascii="Helvetica" w:hAnsi="Helvetica"/>
          <w:rtl w:val="0"/>
          <w:lang w:val="en-US"/>
        </w:rPr>
        <w:t xml:space="preserve"> sensu lato could be divided into two groups based on the type of connection between the procoracoid cartilages and the scapula (Kraus 2013), with roughly half possessing a cartilaginous rod extending to the scapula and others a ligamentous connection (Parker 1934). However, our phylogenetic evidence shows that these traits readily evolve and are not synapmorphies and therefore not reliable indicators of monophyletic groups. Ligamentous connectors are common across both genera (</w:t>
      </w: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\l "bookmark17" </w:instrText>
      </w:r>
      <w:r>
        <w:rPr>
          <w:rStyle w:val="Hyperlink.0"/>
          <w:rFonts w:ascii="Helvetica" w:cs="Helvetica" w:hAnsi="Helvetica" w:eastAsia="Helvetica"/>
        </w:rPr>
        <w:fldChar w:fldCharType="separate" w:fldLock="0"/>
      </w:r>
      <w:r>
        <w:rPr>
          <w:rStyle w:val="Hyperlink.0"/>
          <w:rFonts w:ascii="Helvetica" w:hAnsi="Helvetica"/>
          <w:rtl w:val="0"/>
          <w:lang w:val="en-US"/>
        </w:rPr>
        <w:t>Table</w:t>
      </w:r>
      <w:r>
        <w:rPr>
          <w:rStyle w:val="Hyperlink.0"/>
          <w:rFonts w:ascii="Helvetica" w:hAnsi="Helvetica" w:hint="default"/>
          <w:rtl w:val="0"/>
          <w:lang w:val="en-US"/>
        </w:rPr>
        <w:t> </w:t>
      </w:r>
      <w:r>
        <w:rPr>
          <w:rStyle w:val="Hyperlink.0"/>
          <w:rFonts w:ascii="Helvetica" w:hAnsi="Helvetica"/>
          <w:rtl w:val="0"/>
          <w:lang w:val="en-US"/>
        </w:rPr>
        <w:t>3</w:t>
      </w:r>
      <w:r>
        <w:rPr>
          <w:rFonts w:ascii="Helvetica" w:cs="Helvetica" w:hAnsi="Helvetica" w:eastAsia="Helvetica"/>
        </w:rPr>
        <w:fldChar w:fldCharType="end" w:fldLock="0"/>
      </w:r>
      <w:r>
        <w:rPr>
          <w:rFonts w:ascii="Helvetica" w:hAnsi="Helvetica"/>
          <w:rtl w:val="0"/>
          <w:lang w:val="en-US"/>
        </w:rPr>
        <w:t xml:space="preserve">). Of species with toe webbing, </w:t>
      </w:r>
      <w:r>
        <w:rPr>
          <w:rStyle w:val="None"/>
          <w:rFonts w:ascii="Helvetica" w:hAnsi="Helvetica"/>
          <w:i w:val="1"/>
          <w:iCs w:val="1"/>
          <w:rtl w:val="0"/>
          <w:lang w:val="en-US"/>
        </w:rPr>
        <w:t>Oreophryne</w:t>
      </w:r>
      <w:r>
        <w:rPr>
          <w:rFonts w:ascii="Helvetica" w:hAnsi="Helvetica"/>
          <w:rtl w:val="0"/>
          <w:lang w:val="en-US"/>
        </w:rPr>
        <w:t xml:space="preserve"> tends to be described as having </w:t>
      </w:r>
      <w:r>
        <w:rPr>
          <w:rFonts w:ascii="Helvetica" w:hAnsi="Helvetica" w:hint="default"/>
          <w:rtl w:val="0"/>
          <w:lang w:val="en-US"/>
        </w:rPr>
        <w:t>“</w:t>
      </w:r>
      <w:r>
        <w:rPr>
          <w:rFonts w:ascii="Helvetica" w:hAnsi="Helvetica"/>
          <w:rtl w:val="0"/>
          <w:lang w:val="en-US"/>
        </w:rPr>
        <w:t>well webbed</w:t>
      </w:r>
      <w:r>
        <w:rPr>
          <w:rFonts w:ascii="Helvetica" w:hAnsi="Helvetica" w:hint="default"/>
          <w:rtl w:val="0"/>
          <w:lang w:val="en-US"/>
        </w:rPr>
        <w:t xml:space="preserve">” </w:t>
      </w:r>
      <w:r>
        <w:rPr>
          <w:rFonts w:ascii="Helvetica" w:hAnsi="Helvetica"/>
          <w:rtl w:val="0"/>
          <w:lang w:val="en-US"/>
        </w:rPr>
        <w:t xml:space="preserve">toes compared to </w:t>
      </w:r>
      <w:r>
        <w:rPr>
          <w:rStyle w:val="None"/>
          <w:rFonts w:ascii="Helvetica" w:hAnsi="Helvetica"/>
          <w:i w:val="1"/>
          <w:iCs w:val="1"/>
          <w:rtl w:val="0"/>
          <w:lang w:val="en-US"/>
        </w:rPr>
        <w:t>Auparoparo</w:t>
      </w:r>
      <w:r>
        <w:rPr>
          <w:rFonts w:ascii="Helvetica" w:hAnsi="Helvetica" w:hint="default"/>
          <w:rtl w:val="0"/>
          <w:lang w:val="en-US"/>
        </w:rPr>
        <w:t>’</w:t>
      </w:r>
      <w:r>
        <w:rPr>
          <w:rFonts w:ascii="Helvetica" w:hAnsi="Helvetica"/>
          <w:rtl w:val="0"/>
          <w:lang w:val="en-US"/>
        </w:rPr>
        <w:t xml:space="preserve">s </w:t>
      </w:r>
      <w:r>
        <w:rPr>
          <w:rFonts w:ascii="Helvetica" w:hAnsi="Helvetica" w:hint="default"/>
          <w:rtl w:val="0"/>
          <w:lang w:val="en-US"/>
        </w:rPr>
        <w:t>“</w:t>
      </w:r>
      <w:r>
        <w:rPr>
          <w:rFonts w:ascii="Helvetica" w:hAnsi="Helvetica"/>
          <w:rtl w:val="0"/>
          <w:lang w:val="en-US"/>
        </w:rPr>
        <w:t>basal</w:t>
      </w:r>
      <w:r>
        <w:rPr>
          <w:rFonts w:ascii="Helvetica" w:hAnsi="Helvetica" w:hint="default"/>
          <w:rtl w:val="0"/>
          <w:lang w:val="en-US"/>
        </w:rPr>
        <w:t xml:space="preserve">” </w:t>
      </w:r>
      <w:r>
        <w:rPr>
          <w:rFonts w:ascii="Helvetica" w:hAnsi="Helvetica"/>
          <w:rtl w:val="0"/>
          <w:lang w:val="en-US"/>
        </w:rPr>
        <w:t>webbing (</w:t>
      </w: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\l "bookmark18" </w:instrText>
      </w:r>
      <w:r>
        <w:rPr>
          <w:rStyle w:val="Hyperlink.0"/>
          <w:rFonts w:ascii="Helvetica" w:cs="Helvetica" w:hAnsi="Helvetica" w:eastAsia="Helvetica"/>
        </w:rPr>
        <w:fldChar w:fldCharType="separate" w:fldLock="0"/>
      </w:r>
      <w:r>
        <w:rPr>
          <w:rStyle w:val="Hyperlink.0"/>
          <w:rFonts w:ascii="Helvetica" w:hAnsi="Helvetica"/>
          <w:rtl w:val="0"/>
          <w:lang w:val="en-US"/>
        </w:rPr>
        <w:t>Table</w:t>
      </w:r>
      <w:r>
        <w:rPr>
          <w:rStyle w:val="Hyperlink.0"/>
          <w:rFonts w:ascii="Helvetica" w:hAnsi="Helvetica" w:hint="default"/>
          <w:rtl w:val="0"/>
          <w:lang w:val="en-US"/>
        </w:rPr>
        <w:t> </w:t>
      </w:r>
      <w:r>
        <w:rPr>
          <w:rStyle w:val="Hyperlink.0"/>
          <w:rFonts w:ascii="Helvetica" w:hAnsi="Helvetica"/>
          <w:rtl w:val="0"/>
          <w:lang w:val="en-US"/>
        </w:rPr>
        <w:t>3</w:t>
      </w:r>
      <w:r>
        <w:rPr>
          <w:rFonts w:ascii="Helvetica" w:cs="Helvetica" w:hAnsi="Helvetica" w:eastAsia="Helvetica"/>
        </w:rPr>
        <w:fldChar w:fldCharType="end" w:fldLock="0"/>
      </w:r>
      <w:r>
        <w:rPr>
          <w:rFonts w:ascii="Helvetica" w:hAnsi="Helvetica"/>
          <w:rtl w:val="0"/>
          <w:lang w:val="en-US"/>
        </w:rPr>
        <w:t>). However, intra-specific variability combined with the subjective nature of these descriptions and inconsistency between specific markers when used (</w:t>
      </w:r>
      <w:r>
        <w:rPr>
          <w:rFonts w:ascii="Helvetica" w:hAnsi="Helvetica" w:hint="default"/>
          <w:rtl w:val="0"/>
          <w:lang w:val="en-US"/>
        </w:rPr>
        <w:t>“</w:t>
      </w:r>
      <w:r>
        <w:rPr>
          <w:rFonts w:ascii="Helvetica" w:hAnsi="Helvetica"/>
          <w:rtl w:val="0"/>
          <w:lang w:val="en-US"/>
        </w:rPr>
        <w:t>reaching the penultimate tubercle</w:t>
      </w:r>
      <w:r>
        <w:rPr>
          <w:rFonts w:ascii="Helvetica" w:hAnsi="Helvetica" w:hint="default"/>
          <w:rtl w:val="0"/>
          <w:lang w:val="en-US"/>
        </w:rPr>
        <w:t>”</w:t>
      </w:r>
      <w:r>
        <w:rPr>
          <w:rFonts w:ascii="Helvetica" w:hAnsi="Helvetica"/>
          <w:rtl w:val="0"/>
          <w:lang w:val="en-US"/>
        </w:rPr>
        <w:t xml:space="preserve">, </w:t>
      </w:r>
      <w:r>
        <w:rPr>
          <w:rFonts w:ascii="Helvetica" w:hAnsi="Helvetica" w:hint="default"/>
          <w:rtl w:val="0"/>
          <w:lang w:val="en-US"/>
        </w:rPr>
        <w:t>“</w:t>
      </w:r>
      <w:r>
        <w:rPr>
          <w:rFonts w:ascii="Helvetica" w:hAnsi="Helvetica"/>
          <w:rtl w:val="0"/>
          <w:lang w:val="en-US"/>
        </w:rPr>
        <w:t>webbed 1/3 length of 5th toe</w:t>
      </w:r>
      <w:r>
        <w:rPr>
          <w:rFonts w:ascii="Helvetica" w:hAnsi="Helvetica" w:hint="default"/>
          <w:rtl w:val="0"/>
          <w:lang w:val="en-US"/>
        </w:rPr>
        <w:t>”</w:t>
      </w:r>
      <w:r>
        <w:rPr>
          <w:rFonts w:ascii="Helvetica" w:hAnsi="Helvetica"/>
          <w:rtl w:val="0"/>
          <w:lang w:val="en-US"/>
        </w:rPr>
        <w:t>, etc.), makes this feature difficult to standardize for generic diagnostic use. Many of the morphological traits proposed by Parker (1934) and Zweifel (2003) may in fact be a result of homoplasy to evolutionary pressures imposed by lifestyle or parallel evolution, and while they may prove useful for ecomorphological identification or species diagnoses in combination with other traits, are not informative for generic diagnosis.</w:t>
      </w:r>
    </w:p>
    <w:p>
      <w:pPr>
        <w:pStyle w:val="Body Text"/>
        <w:spacing w:before="0" w:after="0"/>
        <w:rPr>
          <w:rFonts w:ascii="Helvetica" w:cs="Helvetica" w:hAnsi="Helvetica" w:eastAsia="Helvetica"/>
        </w:rPr>
      </w:pPr>
      <w:r>
        <w:rPr>
          <w:rFonts w:ascii="Helvetica" w:cs="Helvetica" w:hAnsi="Helvetica" w:eastAsia="Helvetica"/>
          <w:rtl w:val="0"/>
        </w:rPr>
        <w:tab/>
        <w:t xml:space="preserve">We found only two characters with potential for imperfectly identifying genera: relative digital pad size (Parker 1934; Zweifel 1956), and call type (e.g., Kraus 2016). We found that the relative widths of the digit pads differs between genera: </w:t>
      </w:r>
      <w:r>
        <w:rPr>
          <w:rStyle w:val="None"/>
          <w:rFonts w:ascii="Helvetica" w:hAnsi="Helvetica"/>
          <w:i w:val="1"/>
          <w:iCs w:val="1"/>
          <w:rtl w:val="0"/>
          <w:lang w:val="en-US"/>
        </w:rPr>
        <w:t>Auparoparo</w:t>
      </w:r>
      <w:r>
        <w:rPr>
          <w:rFonts w:ascii="Helvetica" w:hAnsi="Helvetica"/>
          <w:rtl w:val="0"/>
          <w:lang w:val="en-US"/>
        </w:rPr>
        <w:t xml:space="preserve"> tends to have visibly larger finger pads in comparison to toe pads, whereas in </w:t>
      </w:r>
      <w:r>
        <w:rPr>
          <w:rStyle w:val="None"/>
          <w:rFonts w:ascii="Helvetica" w:hAnsi="Helvetica"/>
          <w:i w:val="1"/>
          <w:iCs w:val="1"/>
          <w:rtl w:val="0"/>
          <w:lang w:val="en-US"/>
        </w:rPr>
        <w:t>Oreophryne</w:t>
      </w:r>
      <w:r>
        <w:rPr>
          <w:rFonts w:ascii="Helvetica" w:hAnsi="Helvetica"/>
          <w:rtl w:val="0"/>
          <w:lang w:val="en-US"/>
        </w:rPr>
        <w:t xml:space="preserve"> the finger and toe pads are roughly equal in size (</w:t>
      </w: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\l "bookmark19" </w:instrText>
      </w:r>
      <w:r>
        <w:rPr>
          <w:rStyle w:val="Hyperlink.0"/>
          <w:rFonts w:ascii="Helvetica" w:cs="Helvetica" w:hAnsi="Helvetica" w:eastAsia="Helvetica"/>
        </w:rPr>
        <w:fldChar w:fldCharType="separate" w:fldLock="0"/>
      </w:r>
      <w:r>
        <w:rPr>
          <w:rStyle w:val="Hyperlink.0"/>
          <w:rFonts w:ascii="Helvetica" w:hAnsi="Helvetica"/>
          <w:rtl w:val="0"/>
          <w:lang w:val="en-US"/>
        </w:rPr>
        <w:t>Figure</w:t>
      </w:r>
      <w:r>
        <w:rPr>
          <w:rStyle w:val="Hyperlink.0"/>
          <w:rFonts w:ascii="Helvetica" w:hAnsi="Helvetica" w:hint="default"/>
          <w:rtl w:val="0"/>
          <w:lang w:val="en-US"/>
        </w:rPr>
        <w:t> </w:t>
      </w:r>
      <w:r>
        <w:rPr>
          <w:rStyle w:val="Hyperlink.0"/>
          <w:rFonts w:ascii="Helvetica" w:hAnsi="Helvetica"/>
          <w:rtl w:val="0"/>
          <w:lang w:val="en-US"/>
        </w:rPr>
        <w:t>1</w:t>
      </w:r>
      <w:r>
        <w:rPr>
          <w:rFonts w:ascii="Helvetica" w:cs="Helvetica" w:hAnsi="Helvetica" w:eastAsia="Helvetica"/>
        </w:rPr>
        <w:fldChar w:fldCharType="end" w:fldLock="0"/>
      </w:r>
      <w:r>
        <w:rPr>
          <w:rFonts w:ascii="Helvetica" w:hAnsi="Helvetica"/>
          <w:rtl w:val="0"/>
          <w:lang w:val="en-US"/>
        </w:rPr>
        <w:t>, bottom row), although there is some overlap in finger to toe pad ratio (</w:t>
      </w: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\l "bookmark20" </w:instrText>
      </w:r>
      <w:r>
        <w:rPr>
          <w:rStyle w:val="Hyperlink.0"/>
          <w:rFonts w:ascii="Helvetica" w:cs="Helvetica" w:hAnsi="Helvetica" w:eastAsia="Helvetica"/>
        </w:rPr>
        <w:fldChar w:fldCharType="separate" w:fldLock="0"/>
      </w:r>
      <w:r>
        <w:rPr>
          <w:rStyle w:val="Hyperlink.0"/>
          <w:rFonts w:ascii="Helvetica" w:hAnsi="Helvetica"/>
          <w:rtl w:val="0"/>
          <w:lang w:val="en-US"/>
        </w:rPr>
        <w:t>Table</w:t>
      </w:r>
      <w:r>
        <w:rPr>
          <w:rStyle w:val="Hyperlink.0"/>
          <w:rFonts w:ascii="Helvetica" w:hAnsi="Helvetica" w:hint="default"/>
          <w:rtl w:val="0"/>
          <w:lang w:val="en-US"/>
        </w:rPr>
        <w:t> </w:t>
      </w:r>
      <w:r>
        <w:rPr>
          <w:rStyle w:val="Hyperlink.0"/>
          <w:rFonts w:ascii="Helvetica" w:hAnsi="Helvetica"/>
          <w:rtl w:val="0"/>
          <w:lang w:val="en-US"/>
        </w:rPr>
        <w:t>3</w:t>
      </w:r>
      <w:r>
        <w:rPr>
          <w:rFonts w:ascii="Helvetica" w:cs="Helvetica" w:hAnsi="Helvetica" w:eastAsia="Helvetica"/>
        </w:rPr>
        <w:fldChar w:fldCharType="end" w:fldLock="0"/>
      </w:r>
      <w:r>
        <w:rPr>
          <w:rFonts w:ascii="Helvetica" w:hAnsi="Helvetica"/>
          <w:rtl w:val="0"/>
          <w:lang w:val="en-US"/>
        </w:rPr>
        <w:t xml:space="preserve">). In some cases, </w:t>
      </w:r>
      <w:r>
        <w:rPr>
          <w:rStyle w:val="None"/>
          <w:rFonts w:ascii="Helvetica" w:hAnsi="Helvetica"/>
          <w:i w:val="1"/>
          <w:iCs w:val="1"/>
          <w:rtl w:val="0"/>
          <w:lang w:val="en-US"/>
        </w:rPr>
        <w:t>Auparoparo</w:t>
      </w:r>
      <w:r>
        <w:rPr>
          <w:rFonts w:ascii="Helvetica" w:hAnsi="Helvetica" w:hint="default"/>
          <w:rtl w:val="0"/>
          <w:lang w:val="en-US"/>
        </w:rPr>
        <w:t>’</w:t>
      </w:r>
      <w:r>
        <w:rPr>
          <w:rFonts w:ascii="Helvetica" w:hAnsi="Helvetica"/>
          <w:rtl w:val="0"/>
          <w:lang w:val="en-US"/>
        </w:rPr>
        <w:t>s finger pads display T-shapes while the toes are often rounder and narrower. Whether there is any performance advantage in larger finger pads compared to toes is unknown. Furthermore, a handful of high-elevation species not included in our phylogeny have evolved terrestrial or fossorial habits and possess smaller digital pads compared to their presumed arboreal relatives (Zweifel et al. 2005).</w:t>
      </w:r>
    </w:p>
    <w:p>
      <w:pPr>
        <w:pStyle w:val="Body Text"/>
        <w:spacing w:before="0" w:after="0"/>
        <w:rPr>
          <w:rFonts w:ascii="Helvetica" w:cs="Helvetica" w:hAnsi="Helvetica" w:eastAsia="Helvetica"/>
        </w:rPr>
      </w:pPr>
      <w:r>
        <w:rPr>
          <w:rFonts w:ascii="Helvetica" w:cs="Helvetica" w:hAnsi="Helvetica" w:eastAsia="Helvetica"/>
          <w:rtl w:val="0"/>
        </w:rPr>
        <w:tab/>
        <w:t xml:space="preserve">Call features are increasingly used for diagnosing species of </w:t>
      </w:r>
      <w:r>
        <w:rPr>
          <w:rStyle w:val="None"/>
          <w:rFonts w:ascii="Helvetica" w:hAnsi="Helvetica"/>
          <w:i w:val="1"/>
          <w:iCs w:val="1"/>
          <w:rtl w:val="0"/>
          <w:lang w:val="en-US"/>
        </w:rPr>
        <w:t>Oreophryne</w:t>
      </w:r>
      <w:r>
        <w:rPr>
          <w:rFonts w:ascii="Helvetica" w:hAnsi="Helvetica"/>
          <w:rtl w:val="0"/>
          <w:lang w:val="en-US"/>
        </w:rPr>
        <w:t xml:space="preserve">, with advertisement call types commonly categorized as rattle, honk, whinny, peeping, or clicking (Kraus 2016). We found honk or peep call types are only found in </w:t>
      </w:r>
      <w:r>
        <w:rPr>
          <w:rStyle w:val="None"/>
          <w:rFonts w:ascii="Helvetica" w:hAnsi="Helvetica"/>
          <w:i w:val="1"/>
          <w:iCs w:val="1"/>
          <w:rtl w:val="0"/>
          <w:lang w:val="en-US"/>
        </w:rPr>
        <w:t>Oroephryne</w:t>
      </w:r>
      <w:r>
        <w:rPr>
          <w:rFonts w:ascii="Helvetica" w:hAnsi="Helvetica"/>
          <w:rtl w:val="0"/>
          <w:lang w:val="en-US"/>
        </w:rPr>
        <w:t xml:space="preserve"> species in our sample, while whinny calls are only found in </w:t>
      </w:r>
      <w:r>
        <w:rPr>
          <w:rStyle w:val="None"/>
          <w:rFonts w:ascii="Helvetica" w:hAnsi="Helvetica"/>
          <w:i w:val="1"/>
          <w:iCs w:val="1"/>
          <w:rtl w:val="0"/>
          <w:lang w:val="en-US"/>
        </w:rPr>
        <w:t>Auparoparo</w:t>
      </w:r>
      <w:r>
        <w:rPr>
          <w:rFonts w:ascii="Helvetica" w:hAnsi="Helvetica"/>
          <w:rtl w:val="0"/>
          <w:lang w:val="en-US"/>
        </w:rPr>
        <w:t xml:space="preserve"> species, and rattle calls are found in both genera (</w:t>
      </w: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\l "bookmark21" </w:instrText>
      </w:r>
      <w:r>
        <w:rPr>
          <w:rStyle w:val="Hyperlink.0"/>
          <w:rFonts w:ascii="Helvetica" w:cs="Helvetica" w:hAnsi="Helvetica" w:eastAsia="Helvetica"/>
        </w:rPr>
        <w:fldChar w:fldCharType="separate" w:fldLock="0"/>
      </w:r>
      <w:r>
        <w:rPr>
          <w:rStyle w:val="Hyperlink.0"/>
          <w:rFonts w:ascii="Helvetica" w:hAnsi="Helvetica"/>
          <w:rtl w:val="0"/>
          <w:lang w:val="en-US"/>
        </w:rPr>
        <w:t>Table</w:t>
      </w:r>
      <w:r>
        <w:rPr>
          <w:rStyle w:val="Hyperlink.0"/>
          <w:rFonts w:ascii="Helvetica" w:hAnsi="Helvetica" w:hint="default"/>
          <w:rtl w:val="0"/>
          <w:lang w:val="en-US"/>
        </w:rPr>
        <w:t> </w:t>
      </w:r>
      <w:r>
        <w:rPr>
          <w:rStyle w:val="Hyperlink.0"/>
          <w:rFonts w:ascii="Helvetica" w:hAnsi="Helvetica"/>
          <w:rtl w:val="0"/>
          <w:lang w:val="en-US"/>
        </w:rPr>
        <w:t>3</w:t>
      </w:r>
      <w:r>
        <w:rPr>
          <w:rFonts w:ascii="Helvetica" w:cs="Helvetica" w:hAnsi="Helvetica" w:eastAsia="Helvetica"/>
        </w:rPr>
        <w:fldChar w:fldCharType="end" w:fldLock="0"/>
      </w:r>
      <w:r>
        <w:rPr>
          <w:rFonts w:ascii="Helvetica" w:hAnsi="Helvetica"/>
          <w:rtl w:val="0"/>
          <w:lang w:val="en-US"/>
        </w:rPr>
        <w:t xml:space="preserve">). We note that several authors described species of each genus, thus the difference between genera cannot be attributed to the investigator. However, more complete sampling may add further complexity. As far as we are aware there has been no comprehensive acoustic analysis across </w:t>
      </w:r>
      <w:r>
        <w:rPr>
          <w:rStyle w:val="None"/>
          <w:rFonts w:ascii="Helvetica" w:hAnsi="Helvetica"/>
          <w:i w:val="1"/>
          <w:iCs w:val="1"/>
          <w:rtl w:val="0"/>
          <w:lang w:val="en-US"/>
        </w:rPr>
        <w:t>Oreophryne</w:t>
      </w:r>
      <w:r>
        <w:rPr>
          <w:rFonts w:ascii="Helvetica" w:hAnsi="Helvetica"/>
          <w:rtl w:val="0"/>
          <w:lang w:val="en-US"/>
        </w:rPr>
        <w:t xml:space="preserve"> sensu lato. More research is needed to explore call diversity both between species and across genera to undertand call evolution and whether there any features that are distinctive of genera.</w:t>
      </w:r>
      <w:bookmarkEnd w:id="17"/>
    </w:p>
    <w:p>
      <w:pPr>
        <w:pStyle w:val="Heading 2"/>
        <w:spacing w:before="0" w:after="0" w:line="480" w:lineRule="auto"/>
        <w:jc w:val="center"/>
        <w:rPr>
          <w:rFonts w:ascii="Helvetica" w:cs="Helvetica" w:hAnsi="Helvetica" w:eastAsia="Helvetica"/>
        </w:rPr>
      </w:pPr>
      <w:bookmarkStart w:name="geographicdistribution1" w:id="18"/>
      <w:r>
        <w:rPr>
          <w:rFonts w:ascii="Helvetica" w:hAnsi="Helvetica"/>
          <w:rtl w:val="0"/>
          <w:lang w:val="en-US"/>
        </w:rPr>
        <w:t>Geographic Distribution</w:t>
      </w:r>
    </w:p>
    <w:p>
      <w:pPr>
        <w:pStyle w:val="First Paragraph"/>
        <w:spacing w:before="0" w:after="0"/>
      </w:pPr>
      <w:r>
        <w:rPr>
          <w:rtl w:val="0"/>
        </w:rPr>
        <w:tab/>
        <w:t xml:space="preserve">Both </w:t>
      </w:r>
      <w:r>
        <w:rPr>
          <w:rStyle w:val="None"/>
          <w:i w:val="1"/>
          <w:iCs w:val="1"/>
          <w:rtl w:val="0"/>
          <w:lang w:val="en-US"/>
        </w:rPr>
        <w:t>Oreophryne</w:t>
      </w:r>
      <w:r>
        <w:rPr>
          <w:rtl w:val="0"/>
          <w:lang w:val="en-US"/>
        </w:rPr>
        <w:t xml:space="preserve"> and </w:t>
      </w:r>
      <w:r>
        <w:rPr>
          <w:rStyle w:val="None"/>
          <w:i w:val="1"/>
          <w:iCs w:val="1"/>
          <w:rtl w:val="0"/>
          <w:lang w:val="en-US"/>
        </w:rPr>
        <w:t>Auparoparo</w:t>
      </w:r>
      <w:r>
        <w:rPr>
          <w:rtl w:val="0"/>
          <w:lang w:val="en-US"/>
        </w:rPr>
        <w:t xml:space="preserve"> are geographically centered in the mainland New Guinea. </w:t>
      </w:r>
      <w:r>
        <w:rPr>
          <w:rStyle w:val="None"/>
          <w:i w:val="1"/>
          <w:iCs w:val="1"/>
          <w:rtl w:val="0"/>
          <w:lang w:val="en-US"/>
        </w:rPr>
        <w:t>Oreophryne</w:t>
      </w:r>
      <w:r>
        <w:rPr>
          <w:rtl w:val="0"/>
          <w:lang w:val="en-US"/>
        </w:rPr>
        <w:t xml:space="preserve"> extends southward to the Louisiade Archipelago and northward to the South Philippine Islands (Hill et al. 2023b). Addition of the type species </w:t>
      </w:r>
      <w:r>
        <w:rPr>
          <w:rStyle w:val="None"/>
          <w:i w:val="1"/>
          <w:iCs w:val="1"/>
          <w:rtl w:val="0"/>
          <w:lang w:val="en-US"/>
        </w:rPr>
        <w:t>Oreophryne senkenbergiana</w:t>
      </w:r>
      <w:r>
        <w:rPr>
          <w:rtl w:val="0"/>
          <w:lang w:val="en-US"/>
        </w:rPr>
        <w:t xml:space="preserve"> expands the known range eastward to North Maluku, Indonesia (</w:t>
      </w:r>
      <w:r>
        <w:rPr>
          <w:rStyle w:val="Hyperlink.0"/>
        </w:rPr>
        <w:fldChar w:fldCharType="begin" w:fldLock="0"/>
      </w:r>
      <w:r>
        <w:rPr>
          <w:rStyle w:val="Hyperlink.0"/>
        </w:rPr>
        <w:instrText xml:space="preserve"> HYPERLINK \l "bookmark22" </w:instrText>
      </w:r>
      <w:r>
        <w:rPr>
          <w:rStyle w:val="Hyperlink.0"/>
        </w:rPr>
        <w:fldChar w:fldCharType="separate" w:fldLock="0"/>
      </w:r>
      <w:r>
        <w:rPr>
          <w:rStyle w:val="Hyperlink.0"/>
          <w:rtl w:val="0"/>
          <w:lang w:val="en-US"/>
        </w:rPr>
        <w:t>Figure</w:t>
      </w:r>
      <w:r>
        <w:rPr>
          <w:rStyle w:val="Hyperlink.0"/>
          <w:rtl w:val="0"/>
          <w:lang w:val="en-US"/>
        </w:rPr>
        <w:t> </w:t>
      </w:r>
      <w:r>
        <w:rPr>
          <w:rStyle w:val="Hyperlink.0"/>
          <w:rtl w:val="0"/>
          <w:lang w:val="en-US"/>
        </w:rPr>
        <w:t>3</w:t>
      </w:r>
      <w:r>
        <w:rPr/>
        <w:fldChar w:fldCharType="end" w:fldLock="0"/>
      </w:r>
      <w:r>
        <w:rPr>
          <w:rtl w:val="0"/>
          <w:lang w:val="en-US"/>
        </w:rPr>
        <w:t>).</w:t>
      </w:r>
    </w:p>
    <w:p>
      <w:pPr>
        <w:pStyle w:val="Body Text"/>
        <w:spacing w:before="0" w:after="0"/>
        <w:rPr>
          <w:rFonts w:ascii="Helvetica" w:cs="Helvetica" w:hAnsi="Helvetica" w:eastAsia="Helvetica"/>
        </w:rPr>
      </w:pPr>
      <w:r>
        <w:rPr>
          <w:rFonts w:ascii="Helvetica" w:cs="Helvetica" w:hAnsi="Helvetica" w:eastAsia="Helvetica"/>
          <w:rtl w:val="0"/>
        </w:rPr>
        <w:tab/>
        <w:t xml:space="preserve">The known distribution of </w:t>
      </w:r>
      <w:r>
        <w:rPr>
          <w:rStyle w:val="None"/>
          <w:rFonts w:ascii="Helvetica" w:hAnsi="Helvetica"/>
          <w:i w:val="1"/>
          <w:iCs w:val="1"/>
          <w:rtl w:val="0"/>
          <w:lang w:val="en-US"/>
        </w:rPr>
        <w:t>Auparoparo</w:t>
      </w:r>
      <w:r>
        <w:rPr>
          <w:rFonts w:ascii="Helvetica" w:hAnsi="Helvetica"/>
          <w:rtl w:val="0"/>
          <w:lang w:val="en-US"/>
        </w:rPr>
        <w:t xml:space="preserve"> is mainly clustered in the southeastern tip of mainland Papua New Guinea (in the East Papuan Composite Terrane) and satellite islands with two species in Sulawesi, Indonesia. This suggests the existence of yet undescribed or undiscovered species of </w:t>
      </w:r>
      <w:r>
        <w:rPr>
          <w:rStyle w:val="None"/>
          <w:rFonts w:ascii="Helvetica" w:hAnsi="Helvetica"/>
          <w:i w:val="1"/>
          <w:iCs w:val="1"/>
          <w:rtl w:val="0"/>
          <w:lang w:val="en-US"/>
        </w:rPr>
        <w:t>Auparoparo</w:t>
      </w:r>
      <w:r>
        <w:rPr>
          <w:rFonts w:ascii="Helvetica" w:hAnsi="Helvetica"/>
          <w:rtl w:val="0"/>
          <w:lang w:val="en-US"/>
        </w:rPr>
        <w:t xml:space="preserve"> with intermediate localities. This geographic range is sure to grow with additional phylogenetic sampling. For example </w:t>
      </w:r>
      <w:r>
        <w:rPr>
          <w:rStyle w:val="None"/>
          <w:rFonts w:ascii="Helvetica" w:hAnsi="Helvetica"/>
          <w:i w:val="1"/>
          <w:iCs w:val="1"/>
          <w:rtl w:val="0"/>
          <w:lang w:val="en-US"/>
        </w:rPr>
        <w:t>Oreophryne</w:t>
      </w:r>
      <w:r>
        <w:rPr>
          <w:rFonts w:ascii="Helvetica" w:hAnsi="Helvetica"/>
          <w:rtl w:val="0"/>
          <w:lang w:val="en-US"/>
        </w:rPr>
        <w:t xml:space="preserve"> (sensu lato) </w:t>
      </w:r>
      <w:r>
        <w:rPr>
          <w:rStyle w:val="None"/>
          <w:rFonts w:ascii="Helvetica" w:hAnsi="Helvetica"/>
          <w:i w:val="1"/>
          <w:iCs w:val="1"/>
          <w:rtl w:val="0"/>
          <w:lang w:val="en-US"/>
        </w:rPr>
        <w:t>chlorops</w:t>
      </w:r>
      <w:r>
        <w:rPr>
          <w:rFonts w:ascii="Helvetica" w:hAnsi="Helvetica"/>
          <w:rtl w:val="0"/>
          <w:lang w:val="en-US"/>
        </w:rPr>
        <w:t xml:space="preserve"> (G</w:t>
      </w:r>
      <w:r>
        <w:rPr>
          <w:rFonts w:ascii="Helvetica" w:hAnsi="Helvetica" w:hint="default"/>
          <w:rtl w:val="0"/>
          <w:lang w:val="en-US"/>
        </w:rPr>
        <w:t>ü</w:t>
      </w:r>
      <w:r>
        <w:rPr>
          <w:rFonts w:ascii="Helvetica" w:hAnsi="Helvetica"/>
          <w:rtl w:val="0"/>
          <w:lang w:val="en-US"/>
        </w:rPr>
        <w:t>nther et al. 2023) is a very large (SVL &gt; 40mm) species recently discovered from mid-elevation mountains of the bird</w:t>
      </w:r>
      <w:r>
        <w:rPr>
          <w:rFonts w:ascii="Helvetica" w:hAnsi="Helvetica" w:hint="default"/>
          <w:rtl w:val="0"/>
          <w:lang w:val="en-US"/>
        </w:rPr>
        <w:t>ʻ</w:t>
      </w:r>
      <w:r>
        <w:rPr>
          <w:rFonts w:ascii="Helvetica" w:hAnsi="Helvetica"/>
          <w:rtl w:val="0"/>
          <w:lang w:val="en-US"/>
        </w:rPr>
        <w:t xml:space="preserve">s neck region of Western Papua with clearly enlarged finger pads relative to toe pads. If confirmed as </w:t>
      </w:r>
      <w:r>
        <w:rPr>
          <w:rStyle w:val="None"/>
          <w:rFonts w:ascii="Helvetica" w:hAnsi="Helvetica"/>
          <w:i w:val="1"/>
          <w:iCs w:val="1"/>
          <w:rtl w:val="0"/>
          <w:lang w:val="en-US"/>
        </w:rPr>
        <w:t>Auparoparo</w:t>
      </w:r>
      <w:r>
        <w:rPr>
          <w:rFonts w:ascii="Helvetica" w:hAnsi="Helvetica"/>
          <w:rtl w:val="0"/>
          <w:lang w:val="en-US"/>
        </w:rPr>
        <w:t>, it would significantly expand the range across New Guinea Island.</w:t>
      </w:r>
    </w:p>
    <w:p>
      <w:pPr>
        <w:pStyle w:val="Body Text"/>
        <w:spacing w:before="0" w:after="0"/>
        <w:rPr>
          <w:rFonts w:ascii="Helvetica" w:cs="Helvetica" w:hAnsi="Helvetica" w:eastAsia="Helvetica"/>
        </w:rPr>
      </w:pPr>
      <w:r>
        <w:rPr>
          <w:rFonts w:ascii="Helvetica" w:cs="Helvetica" w:hAnsi="Helvetica" w:eastAsia="Helvetica"/>
          <w:rtl w:val="0"/>
        </w:rPr>
        <w:tab/>
        <w:t xml:space="preserve">We found geographic range overlap between </w:t>
      </w:r>
      <w:r>
        <w:rPr>
          <w:rStyle w:val="None"/>
          <w:rFonts w:ascii="Helvetica" w:hAnsi="Helvetica"/>
          <w:i w:val="1"/>
          <w:iCs w:val="1"/>
          <w:rtl w:val="0"/>
          <w:lang w:val="en-US"/>
        </w:rPr>
        <w:t>Oreophryne</w:t>
      </w:r>
      <w:r>
        <w:rPr>
          <w:rFonts w:ascii="Helvetica" w:hAnsi="Helvetica"/>
          <w:rtl w:val="0"/>
          <w:lang w:val="en-US"/>
        </w:rPr>
        <w:t xml:space="preserve"> and </w:t>
      </w:r>
      <w:r>
        <w:rPr>
          <w:rStyle w:val="None"/>
          <w:rFonts w:ascii="Helvetica" w:hAnsi="Helvetica"/>
          <w:i w:val="1"/>
          <w:iCs w:val="1"/>
          <w:rtl w:val="0"/>
          <w:lang w:val="en-US"/>
        </w:rPr>
        <w:t>Auparoparo</w:t>
      </w:r>
      <w:r>
        <w:rPr>
          <w:rFonts w:ascii="Helvetica" w:hAnsi="Helvetica"/>
          <w:rtl w:val="0"/>
          <w:lang w:val="en-US"/>
        </w:rPr>
        <w:t xml:space="preserve"> at multiple localities: on the mainland along the Mt. Dayman Foothills, at the Mt. Simpson Massif, Mt. Trafalgar, and on the islands of Normanby and Fergusson (both nearshore islands), and Rossel island (hundreds of kilometers away), which presents interesting questions regarding their ecological relationships. For example, </w:t>
      </w:r>
      <w:r>
        <w:rPr>
          <w:rStyle w:val="None"/>
          <w:rFonts w:ascii="Helvetica" w:hAnsi="Helvetica"/>
          <w:i w:val="1"/>
          <w:iCs w:val="1"/>
          <w:rtl w:val="0"/>
          <w:lang w:val="en-US"/>
        </w:rPr>
        <w:t>Oreophryne inornata</w:t>
      </w:r>
      <w:r>
        <w:rPr>
          <w:rFonts w:ascii="Helvetica" w:hAnsi="Helvetica"/>
          <w:rtl w:val="0"/>
          <w:lang w:val="en-US"/>
        </w:rPr>
        <w:t xml:space="preserve"> and </w:t>
      </w:r>
      <w:r>
        <w:rPr>
          <w:rStyle w:val="None"/>
          <w:rFonts w:ascii="Helvetica" w:hAnsi="Helvetica"/>
          <w:i w:val="1"/>
          <w:iCs w:val="1"/>
          <w:rtl w:val="0"/>
          <w:lang w:val="en-US"/>
        </w:rPr>
        <w:t>Auparoparo insulana</w:t>
      </w:r>
      <w:r>
        <w:rPr>
          <w:rFonts w:ascii="Helvetica" w:hAnsi="Helvetica"/>
          <w:rtl w:val="0"/>
          <w:lang w:val="en-US"/>
        </w:rPr>
        <w:t xml:space="preserve"> have been collected at the same site (Goodenough Island) and even the same microhabitats (Zweifel 1956). How can species coexist in the same niche? And what is the temporal history of each colonization? Are both genera also present in the nearby islands of Normanby and Fergusson (all part of the D</w:t>
      </w:r>
      <w:r>
        <w:rPr>
          <w:rFonts w:ascii="Helvetica" w:hAnsi="Helvetica" w:hint="default"/>
          <w:rtl w:val="0"/>
          <w:lang w:val="en-US"/>
        </w:rPr>
        <w:t>’</w:t>
      </w:r>
      <w:r>
        <w:rPr>
          <w:rFonts w:ascii="Helvetica" w:hAnsi="Helvetica"/>
          <w:rtl w:val="0"/>
          <w:lang w:val="en-US"/>
        </w:rPr>
        <w:t xml:space="preserve">Entrecasteaux Archipelago)? Obtaining additional geographical samples for inclusion in phylogenetic analysis should be a high priority to gain a more complete understanding of the geographic distribution and evolutionary history of both </w:t>
      </w:r>
      <w:r>
        <w:rPr>
          <w:rStyle w:val="None"/>
          <w:rFonts w:ascii="Helvetica" w:hAnsi="Helvetica"/>
          <w:i w:val="1"/>
          <w:iCs w:val="1"/>
          <w:rtl w:val="0"/>
          <w:lang w:val="en-US"/>
        </w:rPr>
        <w:t>Oreophryne</w:t>
      </w:r>
      <w:r>
        <w:rPr>
          <w:rFonts w:ascii="Helvetica" w:hAnsi="Helvetica"/>
          <w:rtl w:val="0"/>
          <w:lang w:val="en-US"/>
        </w:rPr>
        <w:t xml:space="preserve"> and </w:t>
      </w:r>
      <w:r>
        <w:rPr>
          <w:rStyle w:val="None"/>
          <w:rFonts w:ascii="Helvetica" w:hAnsi="Helvetica"/>
          <w:i w:val="1"/>
          <w:iCs w:val="1"/>
          <w:rtl w:val="0"/>
          <w:lang w:val="en-US"/>
        </w:rPr>
        <w:t>Auparoparo</w:t>
      </w:r>
      <w:r>
        <w:rPr>
          <w:rFonts w:ascii="Helvetica" w:hAnsi="Helvetica"/>
          <w:rtl w:val="0"/>
          <w:lang w:val="en-US"/>
        </w:rPr>
        <w:t>.</w:t>
      </w:r>
      <w:bookmarkEnd w:id="18"/>
    </w:p>
    <w:p>
      <w:pPr>
        <w:pStyle w:val="Heading 2"/>
        <w:spacing w:before="0" w:after="0" w:line="480" w:lineRule="auto"/>
        <w:jc w:val="center"/>
        <w:rPr>
          <w:rFonts w:ascii="Helvetica" w:cs="Helvetica" w:hAnsi="Helvetica" w:eastAsia="Helvetica"/>
        </w:rPr>
      </w:pPr>
      <w:bookmarkStart w:name="phylogenetictaxonomy" w:id="19"/>
      <w:r>
        <w:rPr>
          <w:rFonts w:ascii="Helvetica" w:hAnsi="Helvetica"/>
          <w:rtl w:val="0"/>
          <w:lang w:val="en-US"/>
        </w:rPr>
        <w:t>Phylogenetic Taxonomy</w:t>
      </w:r>
    </w:p>
    <w:p>
      <w:pPr>
        <w:pStyle w:val="First Paragraph"/>
        <w:spacing w:before="0" w:after="0"/>
      </w:pPr>
      <w:r>
        <w:rPr>
          <w:rtl w:val="0"/>
        </w:rPr>
        <w:tab/>
        <w:t xml:space="preserve">We adopt an explicitly phylogenetic framework for the new taxonomy of the genera </w:t>
      </w:r>
      <w:r>
        <w:rPr>
          <w:rStyle w:val="None"/>
          <w:i w:val="1"/>
          <w:iCs w:val="1"/>
          <w:rtl w:val="0"/>
          <w:lang w:val="en-US"/>
        </w:rPr>
        <w:t>Oreophryne</w:t>
      </w:r>
      <w:r>
        <w:rPr>
          <w:rtl w:val="0"/>
          <w:lang w:val="en-US"/>
        </w:rPr>
        <w:t xml:space="preserve"> and </w:t>
      </w:r>
      <w:r>
        <w:rPr>
          <w:rStyle w:val="None"/>
          <w:i w:val="1"/>
          <w:iCs w:val="1"/>
          <w:rtl w:val="0"/>
          <w:lang w:val="en-US"/>
        </w:rPr>
        <w:t>Auparoparo</w:t>
      </w:r>
      <w:r>
        <w:rPr>
          <w:rtl w:val="0"/>
          <w:lang w:val="en-US"/>
        </w:rPr>
        <w:t xml:space="preserve">, and to our knowledge, this is the first time that a phylogenetic taxonomic approach has been applied for any genus of the subfamily Asterophryinae. A nodal definition of genera is advantageous especially because Asterophryinae is an adaptive radiation. While we are increasingly confident that at least 16 genera are indeed monophyletic, nevertheless, very short branch lengths separate many of the genera along the backbone [Hill et al. (2022); this study]. A nodal definition is robust to uncertainty (i.e., rearrangements of order) along the backbone. We define genera as the largest crown clade originating with the most recent common ancestor of the reference species for the clade (e.g., the type species </w:t>
      </w:r>
      <w:r>
        <w:rPr>
          <w:rStyle w:val="None"/>
          <w:i w:val="1"/>
          <w:iCs w:val="1"/>
          <w:rtl w:val="0"/>
          <w:lang w:val="en-US"/>
        </w:rPr>
        <w:t>Oreophryne senkenbergiana</w:t>
      </w:r>
      <w:r>
        <w:rPr>
          <w:rtl w:val="0"/>
          <w:lang w:val="en-US"/>
        </w:rPr>
        <w:t>), and all extant species of the clade more recently than they do with reference species of other clades that the sample may potentially belong to. The type species, if genetic material is available seems like a reasonable choice for the reference taxon, but for groups such as Asterophryinae, where a number of type species were collected in the 1800</w:t>
      </w:r>
      <w:r>
        <w:rPr>
          <w:rtl w:val="0"/>
          <w:lang w:val="en-US"/>
        </w:rPr>
        <w:t>ʻ</w:t>
      </w:r>
      <w:r>
        <w:rPr>
          <w:rtl w:val="0"/>
          <w:lang w:val="en-US"/>
        </w:rPr>
        <w:t xml:space="preserve">s it may not be possible to obtain a genetic sample, as these locations may be uncertain and/or remote, and other proxies may be needed. Nevertheless, is increasingly clear that for </w:t>
      </w:r>
      <w:r>
        <w:rPr>
          <w:rStyle w:val="None"/>
          <w:i w:val="1"/>
          <w:iCs w:val="1"/>
          <w:rtl w:val="0"/>
          <w:lang w:val="en-US"/>
        </w:rPr>
        <w:t>Oreophryne</w:t>
      </w:r>
      <w:r>
        <w:rPr>
          <w:rtl w:val="0"/>
          <w:lang w:val="en-US"/>
        </w:rPr>
        <w:t xml:space="preserve"> and </w:t>
      </w:r>
      <w:r>
        <w:rPr>
          <w:rStyle w:val="None"/>
          <w:i w:val="1"/>
          <w:iCs w:val="1"/>
          <w:rtl w:val="0"/>
          <w:lang w:val="en-US"/>
        </w:rPr>
        <w:t>Auparoparo</w:t>
      </w:r>
      <w:r>
        <w:rPr>
          <w:rtl w:val="0"/>
          <w:lang w:val="en-US"/>
        </w:rPr>
        <w:t>, a molecular phylogenetic approach is required for final confirmation of taxonomy.</w:t>
      </w:r>
    </w:p>
    <w:p>
      <w:pPr>
        <w:pStyle w:val="Body Text"/>
        <w:spacing w:before="0" w:after="0"/>
        <w:rPr>
          <w:rFonts w:ascii="Helvetica" w:cs="Helvetica" w:hAnsi="Helvetica" w:eastAsia="Helvetica"/>
        </w:rPr>
      </w:pPr>
      <w:r>
        <w:rPr>
          <w:rFonts w:ascii="Helvetica" w:cs="Helvetica" w:hAnsi="Helvetica" w:eastAsia="Helvetica"/>
          <w:rtl w:val="0"/>
        </w:rPr>
        <w:tab/>
        <w:t xml:space="preserve">Furthermore, a phylogenetic definition provides guidance for robust classification. Given the deep histories of the two genera, it is imperative that molecular confirmation of either </w:t>
      </w:r>
      <w:r>
        <w:rPr>
          <w:rStyle w:val="None"/>
          <w:rFonts w:ascii="Helvetica" w:hAnsi="Helvetica"/>
          <w:i w:val="1"/>
          <w:iCs w:val="1"/>
          <w:rtl w:val="0"/>
          <w:lang w:val="en-US"/>
        </w:rPr>
        <w:t>Oreophryne</w:t>
      </w:r>
      <w:r>
        <w:rPr>
          <w:rFonts w:ascii="Helvetica" w:hAnsi="Helvetica"/>
          <w:rtl w:val="0"/>
          <w:lang w:val="en-US"/>
        </w:rPr>
        <w:t xml:space="preserve"> or </w:t>
      </w:r>
      <w:r>
        <w:rPr>
          <w:rStyle w:val="None"/>
          <w:rFonts w:ascii="Helvetica" w:hAnsi="Helvetica"/>
          <w:i w:val="1"/>
          <w:iCs w:val="1"/>
          <w:rtl w:val="0"/>
          <w:lang w:val="en-US"/>
        </w:rPr>
        <w:t>Auparoparo</w:t>
      </w:r>
      <w:r>
        <w:rPr>
          <w:rFonts w:ascii="Helvetica" w:hAnsi="Helvetica"/>
          <w:rtl w:val="0"/>
          <w:lang w:val="en-US"/>
        </w:rPr>
        <w:t xml:space="preserve"> include members of the other clade as an outgroup, but also members of </w:t>
      </w:r>
      <w:r>
        <w:rPr>
          <w:rStyle w:val="None"/>
          <w:rFonts w:ascii="Helvetica" w:hAnsi="Helvetica"/>
          <w:i w:val="1"/>
          <w:iCs w:val="1"/>
          <w:rtl w:val="0"/>
          <w:lang w:val="en-US"/>
        </w:rPr>
        <w:t>Cophixalus</w:t>
      </w:r>
      <w:r>
        <w:rPr>
          <w:rFonts w:ascii="Helvetica" w:hAnsi="Helvetica"/>
          <w:rtl w:val="0"/>
          <w:lang w:val="en-US"/>
        </w:rPr>
        <w:t xml:space="preserve">, </w:t>
      </w:r>
      <w:r>
        <w:rPr>
          <w:rStyle w:val="None"/>
          <w:rFonts w:ascii="Helvetica" w:hAnsi="Helvetica"/>
          <w:i w:val="1"/>
          <w:iCs w:val="1"/>
          <w:rtl w:val="0"/>
          <w:lang w:val="en-US"/>
        </w:rPr>
        <w:t>Paedophryne</w:t>
      </w:r>
      <w:r>
        <w:rPr>
          <w:rFonts w:ascii="Helvetica" w:hAnsi="Helvetica"/>
          <w:rtl w:val="0"/>
          <w:lang w:val="en-US"/>
        </w:rPr>
        <w:t xml:space="preserve">, or other closest sister genera as outgroups to clearly resolve whether the sample shares an MRCA more closely with </w:t>
      </w:r>
      <w:r>
        <w:rPr>
          <w:rStyle w:val="None"/>
          <w:rFonts w:ascii="Helvetica" w:hAnsi="Helvetica"/>
          <w:i w:val="1"/>
          <w:iCs w:val="1"/>
          <w:rtl w:val="0"/>
          <w:lang w:val="en-US"/>
        </w:rPr>
        <w:t>Oreophryne</w:t>
      </w:r>
      <w:r>
        <w:rPr>
          <w:rFonts w:ascii="Helvetica" w:hAnsi="Helvetica"/>
          <w:rtl w:val="0"/>
          <w:lang w:val="en-US"/>
        </w:rPr>
        <w:t xml:space="preserve"> or </w:t>
      </w:r>
      <w:r>
        <w:rPr>
          <w:rStyle w:val="None"/>
          <w:rFonts w:ascii="Helvetica" w:hAnsi="Helvetica"/>
          <w:i w:val="1"/>
          <w:iCs w:val="1"/>
          <w:rtl w:val="0"/>
          <w:lang w:val="en-US"/>
        </w:rPr>
        <w:t>Auparoaro</w:t>
      </w:r>
      <w:r>
        <w:rPr>
          <w:rFonts w:ascii="Helvetica" w:hAnsi="Helvetica"/>
          <w:rtl w:val="0"/>
          <w:lang w:val="en-US"/>
        </w:rPr>
        <w:t xml:space="preserve">. The ability to resolve the </w:t>
      </w:r>
      <w:r>
        <w:rPr>
          <w:rFonts w:ascii="Helvetica" w:hAnsi="Helvetica" w:hint="default"/>
          <w:rtl w:val="0"/>
          <w:lang w:val="en-US"/>
        </w:rPr>
        <w:t>“</w:t>
      </w:r>
      <w:r>
        <w:rPr>
          <w:rFonts w:ascii="Helvetica" w:hAnsi="Helvetica"/>
          <w:rtl w:val="0"/>
          <w:lang w:val="en-US"/>
        </w:rPr>
        <w:t>boundaries</w:t>
      </w:r>
      <w:r>
        <w:rPr>
          <w:rFonts w:ascii="Helvetica" w:hAnsi="Helvetica" w:hint="default"/>
          <w:rtl w:val="0"/>
          <w:lang w:val="en-US"/>
        </w:rPr>
        <w:t xml:space="preserve">” </w:t>
      </w:r>
      <w:r>
        <w:rPr>
          <w:rFonts w:ascii="Helvetica" w:hAnsi="Helvetica"/>
          <w:rtl w:val="0"/>
          <w:lang w:val="en-US"/>
        </w:rPr>
        <w:t xml:space="preserve">of the monophyletic groups requires it. An additional difficulty here is that within each genus, there are subclades with deep histories, so care must be taken to decisively demonstrate monophyly. For example, a phylogenetic analysis with only </w:t>
      </w:r>
      <w:r>
        <w:rPr>
          <w:rStyle w:val="None"/>
          <w:rFonts w:ascii="Helvetica" w:hAnsi="Helvetica"/>
          <w:i w:val="1"/>
          <w:iCs w:val="1"/>
          <w:rtl w:val="0"/>
          <w:lang w:val="en-US"/>
        </w:rPr>
        <w:t>Oreophryne</w:t>
      </w:r>
      <w:r>
        <w:rPr>
          <w:rFonts w:ascii="Helvetica" w:hAnsi="Helvetica"/>
          <w:rtl w:val="0"/>
          <w:lang w:val="en-US"/>
        </w:rPr>
        <w:t xml:space="preserve"> sensu lato and outgroups to Asterophryinae, will show grouping of </w:t>
      </w:r>
      <w:r>
        <w:rPr>
          <w:rStyle w:val="None"/>
          <w:rFonts w:ascii="Helvetica" w:hAnsi="Helvetica"/>
          <w:i w:val="1"/>
          <w:iCs w:val="1"/>
          <w:rtl w:val="0"/>
          <w:lang w:val="en-US"/>
        </w:rPr>
        <w:t>Oreophryne</w:t>
      </w:r>
      <w:r>
        <w:rPr>
          <w:rFonts w:ascii="Helvetica" w:hAnsi="Helvetica"/>
          <w:rtl w:val="0"/>
          <w:lang w:val="en-US"/>
        </w:rPr>
        <w:t xml:space="preserve"> and </w:t>
      </w:r>
      <w:r>
        <w:rPr>
          <w:rStyle w:val="None"/>
          <w:rFonts w:ascii="Helvetica" w:hAnsi="Helvetica"/>
          <w:i w:val="1"/>
          <w:iCs w:val="1"/>
          <w:rtl w:val="0"/>
          <w:lang w:val="en-US"/>
        </w:rPr>
        <w:t>Auparoparo</w:t>
      </w:r>
      <w:r>
        <w:rPr>
          <w:rFonts w:ascii="Helvetica" w:hAnsi="Helvetica"/>
          <w:rtl w:val="0"/>
          <w:lang w:val="en-US"/>
        </w:rPr>
        <w:t xml:space="preserve">, because of lack of intervening phylogenetic history. Similarly, an analysis with only </w:t>
      </w:r>
      <w:r>
        <w:rPr>
          <w:rStyle w:val="None"/>
          <w:rFonts w:ascii="Helvetica" w:hAnsi="Helvetica"/>
          <w:i w:val="1"/>
          <w:iCs w:val="1"/>
          <w:rtl w:val="0"/>
          <w:lang w:val="en-US"/>
        </w:rPr>
        <w:t>Oreophryne</w:t>
      </w:r>
      <w:r>
        <w:rPr>
          <w:rFonts w:ascii="Helvetica" w:hAnsi="Helvetica"/>
          <w:rtl w:val="0"/>
          <w:lang w:val="en-US"/>
        </w:rPr>
        <w:t xml:space="preserve"> sensu lato with a member of one of the younger genera, say, </w:t>
      </w:r>
      <w:r>
        <w:rPr>
          <w:rStyle w:val="None"/>
          <w:rFonts w:ascii="Helvetica" w:hAnsi="Helvetica"/>
          <w:i w:val="1"/>
          <w:iCs w:val="1"/>
          <w:rtl w:val="0"/>
          <w:lang w:val="en-US"/>
        </w:rPr>
        <w:t>Hylophorbus</w:t>
      </w:r>
      <w:r>
        <w:rPr>
          <w:rFonts w:ascii="Helvetica" w:hAnsi="Helvetica"/>
          <w:rtl w:val="0"/>
          <w:lang w:val="en-US"/>
        </w:rPr>
        <w:t xml:space="preserve">, will give a similar misleading result because both </w:t>
      </w:r>
      <w:r>
        <w:rPr>
          <w:rStyle w:val="None"/>
          <w:rFonts w:ascii="Helvetica" w:hAnsi="Helvetica"/>
          <w:i w:val="1"/>
          <w:iCs w:val="1"/>
          <w:rtl w:val="0"/>
          <w:lang w:val="en-US"/>
        </w:rPr>
        <w:t>Oreophryne</w:t>
      </w:r>
      <w:r>
        <w:rPr>
          <w:rFonts w:ascii="Helvetica" w:hAnsi="Helvetica"/>
          <w:rtl w:val="0"/>
          <w:lang w:val="en-US"/>
        </w:rPr>
        <w:t xml:space="preserve"> and </w:t>
      </w:r>
      <w:r>
        <w:rPr>
          <w:rStyle w:val="None"/>
          <w:rFonts w:ascii="Helvetica" w:hAnsi="Helvetica"/>
          <w:i w:val="1"/>
          <w:iCs w:val="1"/>
          <w:rtl w:val="0"/>
          <w:lang w:val="en-US"/>
        </w:rPr>
        <w:t>Auparoparo</w:t>
      </w:r>
      <w:r>
        <w:rPr>
          <w:rFonts w:ascii="Helvetica" w:hAnsi="Helvetica"/>
          <w:rtl w:val="0"/>
          <w:lang w:val="en-US"/>
        </w:rPr>
        <w:t xml:space="preserve"> are equally distant from </w:t>
      </w:r>
      <w:r>
        <w:rPr>
          <w:rStyle w:val="None"/>
          <w:rFonts w:ascii="Helvetica" w:hAnsi="Helvetica"/>
          <w:i w:val="1"/>
          <w:iCs w:val="1"/>
          <w:rtl w:val="0"/>
          <w:lang w:val="en-US"/>
        </w:rPr>
        <w:t>Hylophorbus</w:t>
      </w:r>
      <w:r>
        <w:rPr>
          <w:rFonts w:ascii="Helvetica" w:hAnsi="Helvetica"/>
          <w:rtl w:val="0"/>
          <w:lang w:val="en-US"/>
        </w:rPr>
        <w:t>. Clearly a greater taxonomic representation is always better, but in this case, care is required to avoid a misleading result. This study furthermore highlights the importance of taxonomic sampling for robust phylogenetic results. Developing an orderly taxonomy in a clade with over 350 named species (and an estimated 40% more yet to be described species currently in museum collections) would be that much more challenging without the benefit of generic diagnoses in this interesting group.</w:t>
      </w:r>
    </w:p>
    <w:p>
      <w:pPr>
        <w:pStyle w:val="Body Text"/>
        <w:spacing w:before="0" w:after="0"/>
        <w:rPr>
          <w:rFonts w:ascii="Helvetica" w:cs="Helvetica" w:hAnsi="Helvetica" w:eastAsia="Helvetica"/>
        </w:rPr>
      </w:pPr>
      <w:r>
        <w:rPr>
          <w:rFonts w:ascii="Helvetica" w:cs="Helvetica" w:hAnsi="Helvetica" w:eastAsia="Helvetica"/>
          <w:rtl w:val="0"/>
        </w:rPr>
        <w:tab/>
        <w:t xml:space="preserve">Clarifying the generic structure also facilitates appreciation for the patterns of diversification: a tendency toward niche conservatism within genera, ecological and generic diversification occurring early in the history of the subfamily (Hill et al. 2022); and furthermore the very interesting biogeographical history of simultaneous dispersal of multiple genera to offshore islands (Hill et al. 2022, 2023a) revealing the very strong influence of plate tectonics for explaining the historical dispersal patterns of this group. Finally, without stability in the naming of genera and the independent histories embodied by each, it becomes much more difficult to appreciate that the two clades represented by </w:t>
      </w:r>
      <w:r>
        <w:rPr>
          <w:rStyle w:val="None"/>
          <w:rFonts w:ascii="Helvetica" w:hAnsi="Helvetica"/>
          <w:i w:val="1"/>
          <w:iCs w:val="1"/>
          <w:rtl w:val="0"/>
          <w:lang w:val="en-US"/>
        </w:rPr>
        <w:t>Oreophyne</w:t>
      </w:r>
      <w:r>
        <w:rPr>
          <w:rFonts w:ascii="Helvetica" w:hAnsi="Helvetica"/>
          <w:rtl w:val="0"/>
          <w:lang w:val="en-US"/>
        </w:rPr>
        <w:t xml:space="preserve"> and </w:t>
      </w:r>
      <w:r>
        <w:rPr>
          <w:rStyle w:val="None"/>
          <w:rFonts w:ascii="Helvetica" w:hAnsi="Helvetica"/>
          <w:i w:val="1"/>
          <w:iCs w:val="1"/>
          <w:rtl w:val="0"/>
          <w:lang w:val="en-US"/>
        </w:rPr>
        <w:t>Auparoparo</w:t>
      </w:r>
      <w:r>
        <w:rPr>
          <w:rFonts w:ascii="Helvetica" w:hAnsi="Helvetica"/>
          <w:rtl w:val="0"/>
          <w:lang w:val="en-US"/>
        </w:rPr>
        <w:t xml:space="preserve"> have independently evolved, that there are two independent arboreal clades, and would make it very difficult to appreciate the impressive convergence or paralleism embodied by these speciose and successful genera. An accurate and informative taxonomy serves to advance our understanding of this group and the very interesting evolutionary insights that they embody leading to further discovery.</w:t>
      </w:r>
    </w:p>
    <w:p>
      <w:pPr>
        <w:pStyle w:val="Body Text"/>
        <w:spacing w:before="0" w:after="0"/>
        <w:rPr>
          <w:rFonts w:ascii="Helvetica" w:cs="Helvetica" w:hAnsi="Helvetica" w:eastAsia="Helvetica"/>
        </w:rPr>
      </w:pPr>
      <w:r>
        <w:rPr>
          <w:rFonts w:ascii="Helvetica" w:cs="Helvetica" w:hAnsi="Helvetica" w:eastAsia="Helvetica"/>
          <w:rtl w:val="0"/>
        </w:rPr>
        <w:tab/>
        <w:t>Lastly, we emphasize that future naming of species, genera, and higher classifications should always seek to recognize the language of the indigenous stewards of the land and ecosystem from which they were discovered (Gillman and Wright 2020). This is especially true of Asterophryinae frogs, whose awe-inspiring diversity mirrors the rich cultural beauty and historical complexity of Papuan people.</w:t>
      </w:r>
      <w:bookmarkEnd w:id="19"/>
    </w:p>
    <w:p>
      <w:pPr>
        <w:pStyle w:val="Heading 1"/>
        <w:spacing w:before="0" w:after="0" w:line="480" w:lineRule="auto"/>
        <w:jc w:val="center"/>
        <w:rPr>
          <w:rStyle w:val="None"/>
          <w:smallCaps w:val="1"/>
        </w:rPr>
      </w:pPr>
      <w:bookmarkStart w:name="acknowledgements" w:id="20"/>
      <w:r>
        <w:rPr>
          <w:rStyle w:val="None"/>
          <w:smallCaps w:val="1"/>
          <w:rtl w:val="0"/>
          <w:lang w:val="en-US"/>
        </w:rPr>
        <w:t>Acknowledgements</w:t>
      </w:r>
    </w:p>
    <w:p>
      <w:pPr>
        <w:pStyle w:val="First Paragraph"/>
        <w:spacing w:before="0" w:after="0"/>
      </w:pPr>
      <w:r>
        <w:rPr>
          <w:rtl w:val="0"/>
        </w:rPr>
        <w:tab/>
        <w:t>We thank Ben Evans and Iqbal Setiadi for generously providing samples critical for this study, and Ethan Hill for his guidance and training on the molecular and bioinformatics work. We are grateful to Molly Hagemann for her excellent assistance in accessing Bishop Museum Vertebrate Zoology Collections and data. We thank Neal Evenhuis for sharing expert knowledge on type species, and Brianna Correa and Alexis Shulga for providing comments which improved the manuscript. This is publication 234 from the School of Life Sciences, University of Hawai</w:t>
      </w:r>
      <w:r>
        <w:rPr>
          <w:rtl w:val="0"/>
          <w:lang w:val="en-US"/>
        </w:rPr>
        <w:t>ʻ</w:t>
      </w:r>
      <w:r>
        <w:rPr>
          <w:rtl w:val="0"/>
          <w:lang w:val="en-US"/>
        </w:rPr>
        <w:t>i at M</w:t>
      </w:r>
      <w:r>
        <w:rPr>
          <w:rtl w:val="0"/>
          <w:lang w:val="en-US"/>
        </w:rPr>
        <w:t>ā</w:t>
      </w:r>
      <w:r>
        <w:rPr>
          <w:rtl w:val="0"/>
          <w:lang w:val="en-US"/>
        </w:rPr>
        <w:t>noa.</w:t>
      </w:r>
      <w:bookmarkEnd w:id="20"/>
    </w:p>
    <w:p>
      <w:pPr>
        <w:pStyle w:val="Heading 1"/>
        <w:spacing w:before="0" w:after="0" w:line="480" w:lineRule="auto"/>
        <w:jc w:val="center"/>
        <w:rPr>
          <w:rStyle w:val="None"/>
          <w:smallCaps w:val="1"/>
        </w:rPr>
      </w:pPr>
      <w:bookmarkStart w:name="funding" w:id="21"/>
      <w:r>
        <w:rPr>
          <w:rStyle w:val="None"/>
          <w:smallCaps w:val="1"/>
          <w:rtl w:val="0"/>
          <w:lang w:val="en-US"/>
        </w:rPr>
        <w:t>Funding</w:t>
      </w:r>
    </w:p>
    <w:p>
      <w:pPr>
        <w:pStyle w:val="First Paragraph"/>
        <w:spacing w:before="0" w:after="0"/>
      </w:pPr>
      <w:r>
        <w:rPr>
          <w:rtl w:val="0"/>
        </w:rPr>
        <w:tab/>
        <w:t>This study was made possible by a grant from the National Science Foundation awarded to MB (DEB-1145733). We gratefully acknowledge support from the School of Life Sciences, University of Hawai</w:t>
      </w:r>
      <w:r>
        <w:rPr>
          <w:rtl w:val="0"/>
          <w:lang w:val="en-US"/>
        </w:rPr>
        <w:t>’</w:t>
      </w:r>
      <w:r>
        <w:rPr>
          <w:rtl w:val="0"/>
          <w:lang w:val="en-US"/>
        </w:rPr>
        <w:t xml:space="preserve">i at M </w:t>
      </w:r>
      <w:r>
        <w:rPr>
          <w:rtl w:val="0"/>
          <w:lang w:val="en-US"/>
        </w:rPr>
        <w:t>̄</w:t>
      </w:r>
      <w:r>
        <w:rPr>
          <w:rtl w:val="0"/>
          <w:lang w:val="en-US"/>
        </w:rPr>
        <w:t xml:space="preserve">anoa. University of Hawaii Information Technology Services </w:t>
      </w:r>
      <w:r>
        <w:rPr>
          <w:rtl w:val="0"/>
          <w:lang w:val="en-US"/>
        </w:rPr>
        <w:t xml:space="preserve">– </w:t>
      </w:r>
      <w:r>
        <w:rPr>
          <w:rtl w:val="0"/>
          <w:lang w:val="en-US"/>
        </w:rPr>
        <w:t>Cyberinfrastructure resources were funded in part by a National Science Foundation Major Research Instrumentation award (CNS-1920304).</w:t>
      </w:r>
      <w:bookmarkEnd w:id="21"/>
    </w:p>
    <w:p>
      <w:pPr>
        <w:pStyle w:val="Heading 1"/>
        <w:spacing w:before="0" w:after="0" w:line="480" w:lineRule="auto"/>
        <w:jc w:val="center"/>
        <w:rPr>
          <w:rStyle w:val="None"/>
          <w:smallCaps w:val="1"/>
        </w:rPr>
      </w:pPr>
      <w:bookmarkStart w:name="dataavailability" w:id="22"/>
      <w:r>
        <w:rPr>
          <w:rStyle w:val="None"/>
          <w:smallCaps w:val="1"/>
          <w:rtl w:val="0"/>
          <w:lang w:val="en-US"/>
        </w:rPr>
        <w:t>Data Availability</w:t>
      </w:r>
    </w:p>
    <w:p>
      <w:pPr>
        <w:pStyle w:val="First Paragraph"/>
        <w:spacing w:before="0" w:after="0"/>
      </w:pPr>
      <w:r>
        <w:rPr>
          <w:rtl w:val="0"/>
        </w:rPr>
        <w:tab/>
        <w:t xml:space="preserve">The data underlying this article are available in the GenBank Nucleotide Database] at </w:t>
      </w:r>
      <w:r>
        <w:rPr>
          <w:rStyle w:val="Hyperlink.0"/>
        </w:rPr>
        <w:fldChar w:fldCharType="begin" w:fldLock="0"/>
      </w:r>
      <w:r>
        <w:rPr>
          <w:rStyle w:val="Hyperlink.0"/>
        </w:rPr>
        <w:instrText xml:space="preserve"> HYPERLINK "https://www.ncbi.nlm.nih.gov/genbank/"</w:instrText>
      </w:r>
      <w:r>
        <w:rPr>
          <w:rStyle w:val="Hyperlink.0"/>
        </w:rPr>
        <w:fldChar w:fldCharType="separate" w:fldLock="0"/>
      </w:r>
      <w:r>
        <w:rPr>
          <w:rStyle w:val="Hyperlink.0"/>
          <w:rtl w:val="0"/>
          <w:lang w:val="en-US"/>
        </w:rPr>
        <w:t>https://www.ncbi.nlm.nih.gov/genbank/</w:t>
      </w:r>
      <w:r>
        <w:rPr/>
        <w:fldChar w:fldCharType="end" w:fldLock="0"/>
      </w:r>
      <w:r>
        <w:rPr>
          <w:rtl w:val="0"/>
          <w:lang w:val="en-US"/>
        </w:rPr>
        <w:t xml:space="preserve"> , and can be accessed with [will be provided upon publication]. The codes and datafiles needed to reproduce these results can be found at [GitHub repository] with DOI [supplied upon publication].</w:t>
      </w:r>
      <w:bookmarkEnd w:id="22"/>
      <w:bookmarkStart w:name="supplementarytables" w:id="23"/>
    </w:p>
    <w:p>
      <w:pPr>
        <w:pStyle w:val="Body Text"/>
        <w:spacing w:before="0" w:after="0"/>
        <w:rPr>
          <w:rFonts w:ascii="Helvetica" w:cs="Helvetica" w:hAnsi="Helvetica" w:eastAsia="Helvetica"/>
        </w:rPr>
      </w:pPr>
      <w:r>
        <w:rPr>
          <w:rFonts w:ascii="Helvetica" w:hAnsi="Helvetica"/>
          <w:rtl w:val="0"/>
          <w:lang w:val="en-US"/>
        </w:rPr>
        <w:t xml:space="preserve"> </w:t>
      </w:r>
    </w:p>
    <w:p>
      <w:pPr>
        <w:pStyle w:val="Body Text"/>
        <w:widowControl w:val="0"/>
        <w:spacing w:before="0" w:after="0" w:line="240" w:lineRule="auto"/>
        <w:rPr>
          <w:rFonts w:ascii="Helvetica" w:cs="Helvetica" w:hAnsi="Helvetica" w:eastAsia="Helvetica"/>
        </w:rPr>
      </w:pPr>
    </w:p>
    <w:p>
      <w:pPr>
        <w:pStyle w:val="Body Text"/>
      </w:pPr>
      <w:bookmarkEnd w:id="23"/>
      <w:r>
        <w:rPr>
          <w:rFonts w:ascii="Arial Unicode MS" w:cs="Arial Unicode MS" w:hAnsi="Arial Unicode MS" w:eastAsia="Arial Unicode MS"/>
          <w:b w:val="0"/>
          <w:bCs w:val="0"/>
          <w:i w:val="0"/>
          <w:iCs w:val="0"/>
        </w:rPr>
        <w:br w:type="page"/>
      </w:r>
    </w:p>
    <w:p>
      <w:pPr>
        <w:pStyle w:val="Heading 1"/>
        <w:spacing w:line="480" w:lineRule="auto"/>
        <w:jc w:val="center"/>
        <w:rPr>
          <w:rStyle w:val="None"/>
          <w:smallCaps w:val="1"/>
        </w:rPr>
      </w:pPr>
      <w:bookmarkStart w:name="citations" w:id="24"/>
      <w:r>
        <w:rPr>
          <w:rStyle w:val="None"/>
          <w:smallCaps w:val="1"/>
          <w:rtl w:val="0"/>
          <w:lang w:val="fr-FR"/>
        </w:rPr>
        <w:t>Citations</w:t>
      </w:r>
      <w:bookmarkEnd w:id="24"/>
    </w:p>
    <w:p>
      <w:pPr>
        <w:pStyle w:val="Body A"/>
        <w:spacing w:line="480" w:lineRule="auto"/>
        <w:ind w:left="720" w:hanging="720"/>
        <w:rPr>
          <w:rFonts w:ascii="Helvetica" w:cs="Helvetica" w:hAnsi="Helvetica" w:eastAsia="Helvetica"/>
        </w:rPr>
      </w:pPr>
      <w:bookmarkStart w:name="refAhl1933" w:id="25"/>
      <w:r>
        <w:rPr>
          <w:rFonts w:ascii="Helvetica" w:hAnsi="Helvetica"/>
          <w:rtl w:val="0"/>
        </w:rPr>
        <w:t>A</w:t>
      </w:r>
      <w:bookmarkEnd w:id="25"/>
      <w:bookmarkStart w:name="refs" w:id="26"/>
      <w:r>
        <w:rPr>
          <w:rStyle w:val="None"/>
          <w:rFonts w:ascii="Helvetica" w:hAnsi="Helvetica"/>
          <w:rtl w:val="0"/>
          <w:lang w:val="de-DE"/>
        </w:rPr>
        <w:t>hl, E. 1933. Ergebnisse der celebes-und halmaheira-expedition heinrich 1930</w:t>
      </w:r>
      <w:r>
        <w:rPr>
          <w:rFonts w:ascii="Helvetica" w:hAnsi="Helvetica" w:hint="default"/>
          <w:rtl w:val="0"/>
        </w:rPr>
        <w:t>–</w:t>
      </w:r>
      <w:r>
        <w:rPr>
          <w:rStyle w:val="None"/>
          <w:rFonts w:ascii="Helvetica" w:hAnsi="Helvetica"/>
          <w:rtl w:val="0"/>
          <w:lang w:val="de-DE"/>
        </w:rPr>
        <w:t>32. Mitteilungen aus dem Zoologischen Museum in Berlin 19:577</w:t>
      </w:r>
      <w:r>
        <w:rPr>
          <w:rFonts w:ascii="Helvetica" w:hAnsi="Helvetica" w:hint="default"/>
          <w:rtl w:val="0"/>
        </w:rPr>
        <w:t>–</w:t>
      </w:r>
      <w:r>
        <w:rPr>
          <w:rFonts w:ascii="Helvetica" w:hAnsi="Helvetica"/>
          <w:rtl w:val="0"/>
        </w:rPr>
        <w:t>583.</w:t>
      </w:r>
      <w:bookmarkEnd w:id="26"/>
    </w:p>
    <w:p>
      <w:pPr>
        <w:pStyle w:val="Body A"/>
        <w:spacing w:line="480" w:lineRule="auto"/>
        <w:ind w:left="720" w:hanging="720"/>
        <w:rPr>
          <w:rFonts w:ascii="Helvetica" w:cs="Helvetica" w:hAnsi="Helvetica" w:eastAsia="Helvetica"/>
        </w:rPr>
      </w:pPr>
      <w:bookmarkStart w:name="refAlcala1986" w:id="27"/>
      <w:r>
        <w:rPr>
          <w:rStyle w:val="None"/>
          <w:rFonts w:ascii="Helvetica" w:hAnsi="Helvetica"/>
          <w:rtl w:val="0"/>
          <w:lang w:val="es-ES_tradnl"/>
        </w:rPr>
        <w:t xml:space="preserve">Alcala, A. C. 1986.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"https://books.google.com/books?id=QKMtAAAAMAAJ"</w:instrText>
      </w:r>
      <w:r>
        <w:rPr>
          <w:rStyle w:val="Hyperlink.1"/>
          <w:rFonts w:ascii="Helvetica" w:cs="Helvetica" w:hAnsi="Helvetica" w:eastAsia="Helvetica"/>
        </w:rPr>
        <w:fldChar w:fldCharType="separate" w:fldLock="0"/>
      </w:r>
      <w:r>
        <w:rPr>
          <w:rStyle w:val="Hyperlink.1"/>
          <w:rFonts w:ascii="Helvetica" w:hAnsi="Helvetica"/>
          <w:rtl w:val="0"/>
          <w:lang w:val="en-US"/>
        </w:rPr>
        <w:t>Guide to philippine flora and fauna: Amphibians and reptiles</w:t>
      </w:r>
      <w:r>
        <w:rPr>
          <w:rFonts w:ascii="Helvetica" w:cs="Helvetica" w:hAnsi="Helvetica" w:eastAsia="Helvetica"/>
        </w:rPr>
        <w:fldChar w:fldCharType="end" w:fldLock="0"/>
      </w:r>
      <w:r>
        <w:rPr>
          <w:rStyle w:val="None"/>
          <w:rFonts w:ascii="Helvetica" w:hAnsi="Helvetica"/>
          <w:rtl w:val="0"/>
          <w:lang w:val="en-US"/>
        </w:rPr>
        <w:t>. Natural Resources Management Center, Ministry of Natural Resources; University of the Philippines.</w:t>
      </w:r>
      <w:bookmarkEnd w:id="27"/>
    </w:p>
    <w:p>
      <w:pPr>
        <w:pStyle w:val="Body A"/>
        <w:spacing w:line="480" w:lineRule="auto"/>
        <w:ind w:left="720" w:hanging="720"/>
        <w:rPr>
          <w:rFonts w:ascii="Helvetica" w:cs="Helvetica" w:hAnsi="Helvetica" w:eastAsia="Helvetica"/>
        </w:rPr>
      </w:pPr>
      <w:bookmarkStart w:name="refBalinton2015" w:id="28"/>
      <w:r>
        <w:rPr>
          <w:rStyle w:val="None"/>
          <w:rFonts w:ascii="Helvetica" w:hAnsi="Helvetica"/>
          <w:rtl w:val="0"/>
          <w:lang w:val="it-IT"/>
        </w:rPr>
        <w:t>Balinton, R. B., and C. A. de la Se</w:t>
      </w:r>
      <w:r>
        <w:rPr>
          <w:rStyle w:val="None"/>
          <w:rFonts w:ascii="Helvetica" w:hAnsi="Helvetica" w:hint="default"/>
          <w:rtl w:val="0"/>
          <w:lang w:val="es-ES_tradnl"/>
        </w:rPr>
        <w:t>ñ</w:t>
      </w:r>
      <w:r>
        <w:rPr>
          <w:rFonts w:ascii="Helvetica" w:hAnsi="Helvetica"/>
          <w:rtl w:val="0"/>
        </w:rPr>
        <w:t xml:space="preserve">a. 2015.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"https://api.semanticscholar.org/CorpusID:202544117"</w:instrText>
      </w:r>
      <w:r>
        <w:rPr>
          <w:rStyle w:val="Hyperlink.1"/>
          <w:rFonts w:ascii="Helvetica" w:cs="Helvetica" w:hAnsi="Helvetica" w:eastAsia="Helvetica"/>
        </w:rPr>
        <w:fldChar w:fldCharType="separate" w:fldLock="0"/>
      </w:r>
      <w:r>
        <w:rPr>
          <w:rStyle w:val="Hyperlink.1"/>
          <w:rFonts w:ascii="Helvetica" w:hAnsi="Helvetica"/>
          <w:rtl w:val="0"/>
          <w:lang w:val="en-US"/>
        </w:rPr>
        <w:t>Karyotype of a rare minute frog, oreophryne cf. Anulata (anura: Microhylidae), in agusan marsh, mindanao, philippines</w:t>
      </w:r>
      <w:r>
        <w:rPr>
          <w:rFonts w:ascii="Helvetica" w:cs="Helvetica" w:hAnsi="Helvetica" w:eastAsia="Helvetica"/>
        </w:rPr>
        <w:fldChar w:fldCharType="end" w:fldLock="0"/>
      </w:r>
      <w:r>
        <w:rPr>
          <w:rStyle w:val="None"/>
          <w:rFonts w:ascii="Helvetica" w:hAnsi="Helvetica"/>
          <w:rtl w:val="0"/>
          <w:lang w:val="en-US"/>
        </w:rPr>
        <w:t>. The Herpetological Bulletin.</w:t>
      </w:r>
      <w:bookmarkEnd w:id="28"/>
    </w:p>
    <w:p>
      <w:pPr>
        <w:pStyle w:val="Body A"/>
        <w:spacing w:line="480" w:lineRule="auto"/>
        <w:ind w:left="720" w:hanging="720"/>
        <w:rPr>
          <w:rFonts w:ascii="Helvetica" w:cs="Helvetica" w:hAnsi="Helvetica" w:eastAsia="Helvetica"/>
        </w:rPr>
      </w:pPr>
      <w:bookmarkStart w:name="refBoettger1892" w:id="29"/>
      <w:r>
        <w:rPr>
          <w:rStyle w:val="None"/>
          <w:rFonts w:ascii="Helvetica" w:hAnsi="Helvetica"/>
          <w:rtl w:val="0"/>
          <w:lang w:val="de-DE"/>
        </w:rPr>
        <w:t>Boettger, O. 1892. Katalog der batrachier-sammlung im museum der senckenbergischen naturforschenden gesellshaft in frankfurt am main. Frankfurt a. M.: Gebr</w:t>
      </w:r>
      <w:r>
        <w:rPr>
          <w:rFonts w:ascii="Helvetica" w:hAnsi="Helvetica" w:hint="default"/>
          <w:rtl w:val="0"/>
        </w:rPr>
        <w:t>ü</w:t>
      </w:r>
      <w:r>
        <w:rPr>
          <w:rFonts w:ascii="Helvetica" w:hAnsi="Helvetica"/>
          <w:rtl w:val="0"/>
        </w:rPr>
        <w:t>der Knauer.</w:t>
      </w:r>
      <w:bookmarkEnd w:id="29"/>
    </w:p>
    <w:p>
      <w:pPr>
        <w:pStyle w:val="Body A"/>
        <w:spacing w:line="480" w:lineRule="auto"/>
        <w:ind w:left="720" w:hanging="720"/>
        <w:rPr>
          <w:rFonts w:ascii="Helvetica" w:cs="Helvetica" w:hAnsi="Helvetica" w:eastAsia="Helvetica"/>
        </w:rPr>
      </w:pPr>
      <w:bookmarkStart w:name="refBoettger1895" w:id="30"/>
      <w:r>
        <w:rPr>
          <w:rStyle w:val="None"/>
          <w:rFonts w:ascii="Helvetica" w:hAnsi="Helvetica"/>
          <w:rtl w:val="0"/>
          <w:lang w:val="de-DE"/>
        </w:rPr>
        <w:t>Boettger, O. 1895. Liste der reptilien und batrachier der insel halmaheira nach den sammlungen prof. Dr. W. K</w:t>
      </w:r>
      <w:r>
        <w:rPr>
          <w:rFonts w:ascii="Helvetica" w:hAnsi="Helvetica" w:hint="default"/>
          <w:rtl w:val="0"/>
        </w:rPr>
        <w:t>ü</w:t>
      </w:r>
      <w:r>
        <w:rPr>
          <w:rStyle w:val="None"/>
          <w:rFonts w:ascii="Helvetica" w:hAnsi="Helvetica"/>
          <w:rtl w:val="0"/>
          <w:lang w:val="en-US"/>
        </w:rPr>
        <w:t>kenthal</w:t>
      </w:r>
      <w:r>
        <w:rPr>
          <w:rStyle w:val="None"/>
          <w:rFonts w:ascii="Helvetica" w:hAnsi="Helvetica" w:hint="default"/>
          <w:rtl w:val="1"/>
        </w:rPr>
        <w:t>’</w:t>
      </w:r>
      <w:r>
        <w:rPr>
          <w:rStyle w:val="None"/>
          <w:rFonts w:ascii="Helvetica" w:hAnsi="Helvetica"/>
          <w:rtl w:val="0"/>
          <w:lang w:val="de-DE"/>
        </w:rPr>
        <w:t>s. Zoologischer Anzeiger 18:129</w:t>
      </w:r>
      <w:r>
        <w:rPr>
          <w:rFonts w:ascii="Helvetica" w:hAnsi="Helvetica" w:hint="default"/>
          <w:rtl w:val="0"/>
        </w:rPr>
        <w:t>–</w:t>
      </w:r>
      <w:r>
        <w:rPr>
          <w:rFonts w:ascii="Helvetica" w:hAnsi="Helvetica"/>
          <w:rtl w:val="0"/>
        </w:rPr>
        <w:t>138.</w:t>
      </w:r>
      <w:bookmarkEnd w:id="30"/>
    </w:p>
    <w:p>
      <w:pPr>
        <w:pStyle w:val="Body A"/>
        <w:spacing w:line="480" w:lineRule="auto"/>
        <w:ind w:left="720" w:hanging="720"/>
        <w:rPr>
          <w:rFonts w:ascii="Helvetica" w:cs="Helvetica" w:hAnsi="Helvetica" w:eastAsia="Helvetica"/>
        </w:rPr>
      </w:pPr>
      <w:bookmarkStart w:name="refBoulenger1898" w:id="31"/>
      <w:r>
        <w:rPr>
          <w:rStyle w:val="None"/>
          <w:rFonts w:ascii="Helvetica" w:hAnsi="Helvetica"/>
          <w:rtl w:val="0"/>
          <w:lang w:val="it-IT"/>
        </w:rPr>
        <w:t>Boulenger, G. A. 1898. An account of the reptiles and batrachians collected by dr. L. Loria in british new guinea. Annali del Museo civico di storia naturale di Genova, Serie 2 18:695</w:t>
      </w:r>
      <w:r>
        <w:rPr>
          <w:rFonts w:ascii="Helvetica" w:hAnsi="Helvetica" w:hint="default"/>
          <w:rtl w:val="0"/>
        </w:rPr>
        <w:t>–</w:t>
      </w:r>
      <w:r>
        <w:rPr>
          <w:rFonts w:ascii="Helvetica" w:hAnsi="Helvetica"/>
          <w:rtl w:val="0"/>
        </w:rPr>
        <w:t>710.</w:t>
      </w:r>
      <w:bookmarkEnd w:id="31"/>
    </w:p>
    <w:p>
      <w:pPr>
        <w:pStyle w:val="Body A"/>
        <w:spacing w:line="480" w:lineRule="auto"/>
        <w:ind w:left="720" w:hanging="720"/>
        <w:rPr>
          <w:rFonts w:ascii="Helvetica" w:cs="Helvetica" w:hAnsi="Helvetica" w:eastAsia="Helvetica"/>
        </w:rPr>
      </w:pPr>
      <w:bookmarkStart w:name="refBoulenger1897" w:id="32"/>
      <w:r>
        <w:rPr>
          <w:rStyle w:val="None"/>
          <w:rFonts w:ascii="Helvetica" w:hAnsi="Helvetica"/>
          <w:rtl w:val="0"/>
          <w:lang w:val="en-US"/>
        </w:rPr>
        <w:t>Boulenger, G. A. 1897. Descriptions of new lizards and frogs from mount victoria, owen stanley range, new guinea, collected by mr. A. S. anthony. Annals and Magazine of Natural History, Series 6 19:6</w:t>
      </w:r>
      <w:r>
        <w:rPr>
          <w:rFonts w:ascii="Helvetica" w:hAnsi="Helvetica" w:hint="default"/>
          <w:rtl w:val="0"/>
        </w:rPr>
        <w:t>–</w:t>
      </w:r>
      <w:r>
        <w:rPr>
          <w:rFonts w:ascii="Helvetica" w:hAnsi="Helvetica"/>
          <w:rtl w:val="0"/>
        </w:rPr>
        <w:t>13.</w:t>
      </w:r>
      <w:bookmarkEnd w:id="32"/>
    </w:p>
    <w:p>
      <w:pPr>
        <w:pStyle w:val="Body A"/>
        <w:spacing w:line="480" w:lineRule="auto"/>
        <w:ind w:left="720" w:hanging="720"/>
        <w:rPr>
          <w:rFonts w:ascii="Helvetica" w:cs="Helvetica" w:hAnsi="Helvetica" w:eastAsia="Helvetica"/>
        </w:rPr>
      </w:pPr>
      <w:bookmarkStart w:name="refBoulenger1896" w:id="33"/>
      <w:r>
        <w:rPr>
          <w:rFonts w:ascii="Helvetica" w:hAnsi="Helvetica"/>
          <w:rtl w:val="0"/>
        </w:rPr>
        <w:t xml:space="preserve">Boulenger, G. A. 1896.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"https://www.biodiversitylibrary.org/item/53362"</w:instrText>
      </w:r>
      <w:r>
        <w:rPr>
          <w:rStyle w:val="Hyperlink.1"/>
          <w:rFonts w:ascii="Helvetica" w:cs="Helvetica" w:hAnsi="Helvetica" w:eastAsia="Helvetica"/>
        </w:rPr>
        <w:fldChar w:fldCharType="separate" w:fldLock="0"/>
      </w:r>
      <w:r>
        <w:rPr>
          <w:rStyle w:val="Hyperlink.1"/>
          <w:rFonts w:ascii="Helvetica" w:hAnsi="Helvetica"/>
          <w:rtl w:val="0"/>
          <w:lang w:val="en-US"/>
        </w:rPr>
        <w:t>Descriptions of new reptiles and batrachians obtained by mr. Alfred everett in celebes and jampea</w:t>
      </w:r>
      <w:r>
        <w:rPr>
          <w:rFonts w:ascii="Helvetica" w:cs="Helvetica" w:hAnsi="Helvetica" w:eastAsia="Helvetica"/>
        </w:rPr>
        <w:fldChar w:fldCharType="end" w:fldLock="0"/>
      </w:r>
      <w:r>
        <w:rPr>
          <w:rStyle w:val="None"/>
          <w:rFonts w:ascii="Helvetica" w:hAnsi="Helvetica"/>
          <w:rtl w:val="0"/>
          <w:lang w:val="en-US"/>
        </w:rPr>
        <w:t>. The Annals and magazine of natural history; zoology, botany, and geology, Series 6 18:62</w:t>
      </w:r>
      <w:r>
        <w:rPr>
          <w:rFonts w:ascii="Helvetica" w:hAnsi="Helvetica" w:hint="default"/>
          <w:rtl w:val="0"/>
        </w:rPr>
        <w:t>–</w:t>
      </w:r>
      <w:r>
        <w:rPr>
          <w:rFonts w:ascii="Helvetica" w:hAnsi="Helvetica"/>
          <w:rtl w:val="0"/>
        </w:rPr>
        <w:t>64.</w:t>
      </w:r>
      <w:bookmarkEnd w:id="33"/>
    </w:p>
    <w:p>
      <w:pPr>
        <w:pStyle w:val="Body A"/>
        <w:spacing w:line="480" w:lineRule="auto"/>
        <w:ind w:left="720" w:hanging="720"/>
        <w:rPr>
          <w:rFonts w:ascii="Helvetica" w:cs="Helvetica" w:hAnsi="Helvetica" w:eastAsia="Helvetica"/>
        </w:rPr>
      </w:pPr>
      <w:bookmarkStart w:name="refBrown2015" w:id="34"/>
      <w:r>
        <w:rPr>
          <w:rStyle w:val="None"/>
          <w:rFonts w:ascii="Helvetica" w:hAnsi="Helvetica"/>
          <w:rtl w:val="0"/>
          <w:lang w:val="de-DE"/>
        </w:rPr>
        <w:t xml:space="preserve">Brown, R. M., C. D. Siler, S. J. Richards, A. C. Diesmos, and D. C. Cannatella. 2015.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"https://doi.org/10.1111/zoj.12232"</w:instrText>
      </w:r>
      <w:r>
        <w:rPr>
          <w:rStyle w:val="Hyperlink.1"/>
          <w:rFonts w:ascii="Helvetica" w:cs="Helvetica" w:hAnsi="Helvetica" w:eastAsia="Helvetica"/>
        </w:rPr>
        <w:fldChar w:fldCharType="separate" w:fldLock="0"/>
      </w:r>
      <w:r>
        <w:rPr>
          <w:rStyle w:val="Hyperlink.1"/>
          <w:rFonts w:ascii="Helvetica" w:hAnsi="Helvetica"/>
          <w:rtl w:val="0"/>
          <w:lang w:val="en-US"/>
        </w:rPr>
        <w:t>Multilocus phylogeny and a new classification for southeast asian and melanesian forest frogs (family ceratobatrachidae)</w:t>
      </w:r>
      <w:r>
        <w:rPr>
          <w:rFonts w:ascii="Helvetica" w:cs="Helvetica" w:hAnsi="Helvetica" w:eastAsia="Helvetica"/>
        </w:rPr>
        <w:fldChar w:fldCharType="end" w:fldLock="0"/>
      </w:r>
      <w:r>
        <w:rPr>
          <w:rStyle w:val="None"/>
          <w:rFonts w:ascii="Helvetica" w:hAnsi="Helvetica"/>
          <w:rtl w:val="0"/>
          <w:lang w:val="en-US"/>
        </w:rPr>
        <w:t>. Zoological Journal of the Linnean Society 174:130</w:t>
      </w:r>
      <w:r>
        <w:rPr>
          <w:rFonts w:ascii="Helvetica" w:hAnsi="Helvetica" w:hint="default"/>
          <w:rtl w:val="0"/>
        </w:rPr>
        <w:t>–</w:t>
      </w:r>
      <w:r>
        <w:rPr>
          <w:rFonts w:ascii="Helvetica" w:hAnsi="Helvetica"/>
          <w:rtl w:val="0"/>
        </w:rPr>
        <w:t>168.</w:t>
      </w:r>
      <w:bookmarkEnd w:id="34"/>
    </w:p>
    <w:p>
      <w:pPr>
        <w:pStyle w:val="Body A"/>
        <w:spacing w:line="480" w:lineRule="auto"/>
        <w:ind w:left="720" w:hanging="720"/>
        <w:rPr>
          <w:rFonts w:ascii="Helvetica" w:cs="Helvetica" w:hAnsi="Helvetica" w:eastAsia="Helvetica"/>
        </w:rPr>
      </w:pPr>
      <w:bookmarkStart w:name="refBrown1967" w:id="35"/>
      <w:r>
        <w:rPr>
          <w:rStyle w:val="None"/>
          <w:rFonts w:ascii="Helvetica" w:hAnsi="Helvetica"/>
          <w:rtl w:val="0"/>
          <w:lang w:val="en-US"/>
        </w:rPr>
        <w:t xml:space="preserve">Brown, Walter C. (Walter Creighton), and Alcala Angel C. 1967.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"https://www.biodiversitylibrary.org/part/45107"</w:instrText>
      </w:r>
      <w:r>
        <w:rPr>
          <w:rStyle w:val="Hyperlink.1"/>
          <w:rFonts w:ascii="Helvetica" w:cs="Helvetica" w:hAnsi="Helvetica" w:eastAsia="Helvetica"/>
        </w:rPr>
        <w:fldChar w:fldCharType="separate" w:fldLock="0"/>
      </w:r>
      <w:r>
        <w:rPr>
          <w:rStyle w:val="Hyperlink.1"/>
          <w:rFonts w:ascii="Helvetica" w:hAnsi="Helvetica"/>
          <w:rtl w:val="0"/>
          <w:lang w:val="en-US"/>
        </w:rPr>
        <w:t>A new frog of the genus oreophryne and a list of amphibians from camiguin island, philippines</w:t>
      </w:r>
      <w:r>
        <w:rPr>
          <w:rFonts w:ascii="Helvetica" w:cs="Helvetica" w:hAnsi="Helvetica" w:eastAsia="Helvetica"/>
        </w:rPr>
        <w:fldChar w:fldCharType="end" w:fldLock="0"/>
      </w:r>
      <w:r>
        <w:rPr>
          <w:rStyle w:val="None"/>
          <w:rFonts w:ascii="Helvetica" w:hAnsi="Helvetica"/>
          <w:rtl w:val="0"/>
          <w:lang w:val="en-US"/>
        </w:rPr>
        <w:t>. Proceedings of the Biological Society of Washington 80:65</w:t>
      </w:r>
      <w:r>
        <w:rPr>
          <w:rFonts w:ascii="Helvetica" w:hAnsi="Helvetica" w:hint="default"/>
          <w:rtl w:val="0"/>
        </w:rPr>
        <w:t>–</w:t>
      </w:r>
      <w:r>
        <w:rPr>
          <w:rStyle w:val="None"/>
          <w:rFonts w:ascii="Helvetica" w:hAnsi="Helvetica"/>
          <w:rtl w:val="0"/>
          <w:lang w:val="en-US"/>
        </w:rPr>
        <w:t>68. Washington, Biological Society of Washington,.</w:t>
      </w:r>
      <w:bookmarkEnd w:id="35"/>
    </w:p>
    <w:p>
      <w:pPr>
        <w:pStyle w:val="Body A"/>
        <w:spacing w:line="480" w:lineRule="auto"/>
        <w:ind w:left="720" w:hanging="720"/>
        <w:rPr>
          <w:rFonts w:ascii="Helvetica" w:cs="Helvetica" w:hAnsi="Helvetica" w:eastAsia="Helvetica"/>
        </w:rPr>
      </w:pPr>
      <w:bookmarkStart w:name="refdeQueiroz2020" w:id="36"/>
      <w:r>
        <w:rPr>
          <w:rStyle w:val="None"/>
          <w:rFonts w:ascii="Helvetica" w:hAnsi="Helvetica"/>
          <w:rtl w:val="0"/>
          <w:lang w:val="pt-PT"/>
        </w:rPr>
        <w:t xml:space="preserve">de Queiroz, K., and P. Cantino. 2020.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"https://doi.org/10.1201/9780429446320"</w:instrText>
      </w:r>
      <w:r>
        <w:rPr>
          <w:rStyle w:val="Hyperlink.1"/>
          <w:rFonts w:ascii="Helvetica" w:cs="Helvetica" w:hAnsi="Helvetica" w:eastAsia="Helvetica"/>
        </w:rPr>
        <w:fldChar w:fldCharType="separate" w:fldLock="0"/>
      </w:r>
      <w:r>
        <w:rPr>
          <w:rStyle w:val="Hyperlink.1"/>
          <w:rFonts w:ascii="Helvetica" w:hAnsi="Helvetica"/>
          <w:rtl w:val="0"/>
          <w:lang w:val="en-US"/>
        </w:rPr>
        <w:t>International code of phylogenetic nomenclature (PhyloCode)</w:t>
      </w:r>
      <w:r>
        <w:rPr>
          <w:rFonts w:ascii="Helvetica" w:cs="Helvetica" w:hAnsi="Helvetica" w:eastAsia="Helvetica"/>
        </w:rPr>
        <w:fldChar w:fldCharType="end" w:fldLock="0"/>
      </w:r>
      <w:r>
        <w:rPr>
          <w:rStyle w:val="None"/>
          <w:rFonts w:ascii="Helvetica" w:hAnsi="Helvetica"/>
          <w:rtl w:val="0"/>
          <w:lang w:val="en-US"/>
        </w:rPr>
        <w:t>. 1st ed. CRC Press.</w:t>
      </w:r>
      <w:bookmarkEnd w:id="36"/>
    </w:p>
    <w:p>
      <w:pPr>
        <w:pStyle w:val="Body A"/>
        <w:spacing w:line="480" w:lineRule="auto"/>
        <w:ind w:left="720" w:hanging="720"/>
        <w:rPr>
          <w:rFonts w:ascii="Helvetica" w:cs="Helvetica" w:hAnsi="Helvetica" w:eastAsia="Helvetica"/>
        </w:rPr>
      </w:pPr>
      <w:bookmarkStart w:name="refdeQueiroz1992" w:id="37"/>
      <w:r>
        <w:rPr>
          <w:rStyle w:val="None"/>
          <w:rFonts w:ascii="Helvetica" w:hAnsi="Helvetica"/>
          <w:rtl w:val="0"/>
          <w:lang w:val="pt-PT"/>
        </w:rPr>
        <w:t xml:space="preserve">de Queiroz, K., and J. Gauthier. 1992.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"https://doi.org/10.1146/annurev.ecolsys.23.1.449"</w:instrText>
      </w:r>
      <w:r>
        <w:rPr>
          <w:rStyle w:val="Hyperlink.1"/>
          <w:rFonts w:ascii="Helvetica" w:cs="Helvetica" w:hAnsi="Helvetica" w:eastAsia="Helvetica"/>
        </w:rPr>
        <w:fldChar w:fldCharType="separate" w:fldLock="0"/>
      </w:r>
      <w:r>
        <w:rPr>
          <w:rStyle w:val="Hyperlink.1"/>
          <w:rFonts w:ascii="Helvetica" w:hAnsi="Helvetica"/>
          <w:rtl w:val="0"/>
          <w:lang w:val="en-US"/>
        </w:rPr>
        <w:t>Phylogenetic taxonomy</w:t>
      </w:r>
      <w:r>
        <w:rPr>
          <w:rFonts w:ascii="Helvetica" w:cs="Helvetica" w:hAnsi="Helvetica" w:eastAsia="Helvetica"/>
        </w:rPr>
        <w:fldChar w:fldCharType="end" w:fldLock="0"/>
      </w:r>
      <w:r>
        <w:rPr>
          <w:rStyle w:val="None"/>
          <w:rFonts w:ascii="Helvetica" w:hAnsi="Helvetica"/>
          <w:rtl w:val="0"/>
          <w:lang w:val="en-US"/>
        </w:rPr>
        <w:t>. Annual Review of Ecology, Evolution, and Systematics 23:449</w:t>
      </w:r>
      <w:r>
        <w:rPr>
          <w:rFonts w:ascii="Helvetica" w:hAnsi="Helvetica" w:hint="default"/>
          <w:rtl w:val="0"/>
        </w:rPr>
        <w:t>–</w:t>
      </w:r>
      <w:r>
        <w:rPr>
          <w:rFonts w:ascii="Helvetica" w:hAnsi="Helvetica"/>
          <w:rtl w:val="0"/>
        </w:rPr>
        <w:t>480.</w:t>
      </w:r>
      <w:bookmarkEnd w:id="37"/>
    </w:p>
    <w:p>
      <w:pPr>
        <w:pStyle w:val="Body A"/>
        <w:spacing w:line="480" w:lineRule="auto"/>
        <w:ind w:left="720" w:hanging="720"/>
        <w:rPr>
          <w:rFonts w:ascii="Helvetica" w:cs="Helvetica" w:hAnsi="Helvetica" w:eastAsia="Helvetica"/>
        </w:rPr>
      </w:pPr>
      <w:bookmarkStart w:name="refdeQueiroz1990" w:id="38"/>
      <w:r>
        <w:rPr>
          <w:rStyle w:val="None"/>
          <w:rFonts w:ascii="Helvetica" w:hAnsi="Helvetica"/>
          <w:rtl w:val="0"/>
          <w:lang w:val="pt-PT"/>
        </w:rPr>
        <w:t xml:space="preserve">de Queiroz, K., and J. Gauthier. 1990.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"https://doi.org/10.2307/2992353"</w:instrText>
      </w:r>
      <w:r>
        <w:rPr>
          <w:rStyle w:val="Hyperlink.1"/>
          <w:rFonts w:ascii="Helvetica" w:cs="Helvetica" w:hAnsi="Helvetica" w:eastAsia="Helvetica"/>
        </w:rPr>
        <w:fldChar w:fldCharType="separate" w:fldLock="0"/>
      </w:r>
      <w:r>
        <w:rPr>
          <w:rStyle w:val="Hyperlink.1"/>
          <w:rFonts w:ascii="Helvetica" w:hAnsi="Helvetica"/>
          <w:rtl w:val="0"/>
          <w:lang w:val="en-US"/>
        </w:rPr>
        <w:t>Phylogeny as a central principle in taxonomy - phylogenetic definitions of taxon names</w:t>
      </w:r>
      <w:r>
        <w:rPr>
          <w:rFonts w:ascii="Helvetica" w:cs="Helvetica" w:hAnsi="Helvetica" w:eastAsia="Helvetica"/>
        </w:rPr>
        <w:fldChar w:fldCharType="end" w:fldLock="0"/>
      </w:r>
      <w:r>
        <w:rPr>
          <w:rFonts w:ascii="Helvetica" w:hAnsi="Helvetica"/>
          <w:rtl w:val="0"/>
        </w:rPr>
        <w:t>. Systematic Zoology 39:307</w:t>
      </w:r>
      <w:r>
        <w:rPr>
          <w:rFonts w:ascii="Helvetica" w:hAnsi="Helvetica" w:hint="default"/>
          <w:rtl w:val="0"/>
        </w:rPr>
        <w:t>–</w:t>
      </w:r>
      <w:r>
        <w:rPr>
          <w:rFonts w:ascii="Helvetica" w:hAnsi="Helvetica"/>
          <w:rtl w:val="0"/>
        </w:rPr>
        <w:t>322.</w:t>
      </w:r>
      <w:bookmarkEnd w:id="38"/>
    </w:p>
    <w:p>
      <w:pPr>
        <w:pStyle w:val="Body A"/>
        <w:spacing w:line="480" w:lineRule="auto"/>
        <w:ind w:left="720" w:hanging="720"/>
        <w:rPr>
          <w:rFonts w:ascii="Helvetica" w:cs="Helvetica" w:hAnsi="Helvetica" w:eastAsia="Helvetica"/>
        </w:rPr>
      </w:pPr>
      <w:bookmarkStart w:name="refdeQueiroz1994" w:id="39"/>
      <w:r>
        <w:rPr>
          <w:rStyle w:val="None"/>
          <w:rFonts w:ascii="Helvetica" w:hAnsi="Helvetica"/>
          <w:rtl w:val="0"/>
          <w:lang w:val="pt-PT"/>
        </w:rPr>
        <w:t xml:space="preserve">de Queiroz, K., and J. Gauthier. 1994.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"https://doi.org/10.1016/0169-5347(94)90231-3"</w:instrText>
      </w:r>
      <w:r>
        <w:rPr>
          <w:rStyle w:val="Hyperlink.1"/>
          <w:rFonts w:ascii="Helvetica" w:cs="Helvetica" w:hAnsi="Helvetica" w:eastAsia="Helvetica"/>
        </w:rPr>
        <w:fldChar w:fldCharType="separate" w:fldLock="0"/>
      </w:r>
      <w:r>
        <w:rPr>
          <w:rStyle w:val="Hyperlink.1"/>
          <w:rFonts w:ascii="Helvetica" w:hAnsi="Helvetica"/>
          <w:rtl w:val="0"/>
          <w:lang w:val="en-US"/>
        </w:rPr>
        <w:t>Toward a phylogenetic system of biological nomenclature</w:t>
      </w:r>
      <w:r>
        <w:rPr>
          <w:rFonts w:ascii="Helvetica" w:cs="Helvetica" w:hAnsi="Helvetica" w:eastAsia="Helvetica"/>
        </w:rPr>
        <w:fldChar w:fldCharType="end" w:fldLock="0"/>
      </w:r>
      <w:r>
        <w:rPr>
          <w:rStyle w:val="None"/>
          <w:rFonts w:ascii="Helvetica" w:hAnsi="Helvetica"/>
          <w:rtl w:val="0"/>
          <w:lang w:val="en-US"/>
        </w:rPr>
        <w:t>. Trends in Ecology &amp; Evolution 9:27</w:t>
      </w:r>
      <w:r>
        <w:rPr>
          <w:rFonts w:ascii="Helvetica" w:hAnsi="Helvetica" w:hint="default"/>
          <w:rtl w:val="0"/>
        </w:rPr>
        <w:t>–</w:t>
      </w:r>
      <w:r>
        <w:rPr>
          <w:rFonts w:ascii="Helvetica" w:hAnsi="Helvetica"/>
          <w:rtl w:val="0"/>
        </w:rPr>
        <w:t>31.</w:t>
      </w:r>
      <w:bookmarkEnd w:id="39"/>
    </w:p>
    <w:p>
      <w:pPr>
        <w:pStyle w:val="Body A"/>
        <w:spacing w:line="480" w:lineRule="auto"/>
        <w:ind w:left="720" w:hanging="720"/>
        <w:rPr>
          <w:rFonts w:ascii="Helvetica" w:cs="Helvetica" w:hAnsi="Helvetica" w:eastAsia="Helvetica"/>
        </w:rPr>
      </w:pPr>
      <w:bookmarkStart w:name="refdeSa2012" w:id="40"/>
      <w:r>
        <w:rPr>
          <w:rStyle w:val="None"/>
          <w:rFonts w:ascii="Helvetica" w:hAnsi="Helvetica"/>
          <w:rtl w:val="0"/>
          <w:lang w:val="de-DE"/>
        </w:rPr>
        <w:t xml:space="preserve">de Sa, R. O., J. W. Streicher, R. Sekonyela, M. C. Forlani, S. P. Loader, E. Greenbaum, S. Richards, and C. F. B. Haddad. 2012.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"https://doi.org/%25257B10.1186/1471-2148-12-241%25257D"</w:instrText>
      </w:r>
      <w:r>
        <w:rPr>
          <w:rStyle w:val="Hyperlink.1"/>
          <w:rFonts w:ascii="Helvetica" w:cs="Helvetica" w:hAnsi="Helvetica" w:eastAsia="Helvetica"/>
        </w:rPr>
        <w:fldChar w:fldCharType="separate" w:fldLock="0"/>
      </w:r>
      <w:r>
        <w:rPr>
          <w:rStyle w:val="Hyperlink.1"/>
          <w:rFonts w:ascii="Helvetica" w:hAnsi="Helvetica"/>
          <w:rtl w:val="0"/>
          <w:lang w:val="en-US"/>
        </w:rPr>
        <w:t>Molecular phylogeny of microhylid frogs (Anura: Microhylidae) with emphasis on relationships among New World genera</w:t>
      </w:r>
      <w:r>
        <w:rPr>
          <w:rFonts w:ascii="Helvetica" w:cs="Helvetica" w:hAnsi="Helvetica" w:eastAsia="Helvetica"/>
        </w:rPr>
        <w:fldChar w:fldCharType="end" w:fldLock="0"/>
      </w:r>
      <w:r>
        <w:rPr>
          <w:rStyle w:val="None"/>
          <w:rFonts w:ascii="Helvetica" w:hAnsi="Helvetica"/>
          <w:rtl w:val="0"/>
          <w:lang w:val="en-US"/>
        </w:rPr>
        <w:t>. BMC Evolutionary Biology 12.</w:t>
      </w:r>
      <w:bookmarkEnd w:id="40"/>
    </w:p>
    <w:p>
      <w:pPr>
        <w:pStyle w:val="Body A"/>
        <w:spacing w:line="480" w:lineRule="auto"/>
        <w:ind w:left="720" w:hanging="720"/>
        <w:rPr>
          <w:rFonts w:ascii="Helvetica" w:cs="Helvetica" w:hAnsi="Helvetica" w:eastAsia="Helvetica"/>
        </w:rPr>
      </w:pPr>
      <w:bookmarkStart w:name="refDunnington2023" w:id="41"/>
      <w:r>
        <w:rPr>
          <w:rStyle w:val="None"/>
          <w:rFonts w:ascii="Helvetica" w:hAnsi="Helvetica"/>
          <w:rtl w:val="0"/>
          <w:lang w:val="en-US"/>
        </w:rPr>
        <w:t xml:space="preserve">Dunnington, D. 2023.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"https://CRAN.R-project.org/package=ggspatial"</w:instrText>
      </w:r>
      <w:r>
        <w:rPr>
          <w:rStyle w:val="Hyperlink.1"/>
          <w:rFonts w:ascii="Helvetica" w:cs="Helvetica" w:hAnsi="Helvetica" w:eastAsia="Helvetica"/>
        </w:rPr>
        <w:fldChar w:fldCharType="separate" w:fldLock="0"/>
      </w:r>
      <w:r>
        <w:rPr>
          <w:rStyle w:val="Hyperlink.1"/>
          <w:rFonts w:ascii="Helvetica" w:hAnsi="Helvetica"/>
          <w:rtl w:val="0"/>
          <w:lang w:val="en-US"/>
        </w:rPr>
        <w:t>Ggspatial: Spatial data framework for ggplot2</w:t>
      </w:r>
      <w:r>
        <w:rPr>
          <w:rFonts w:ascii="Helvetica" w:cs="Helvetica" w:hAnsi="Helvetica" w:eastAsia="Helvetica"/>
        </w:rPr>
        <w:fldChar w:fldCharType="end" w:fldLock="0"/>
      </w:r>
      <w:r>
        <w:rPr>
          <w:rFonts w:ascii="Helvetica" w:hAnsi="Helvetica"/>
          <w:rtl w:val="0"/>
        </w:rPr>
        <w:t>.</w:t>
      </w:r>
      <w:bookmarkEnd w:id="41"/>
    </w:p>
    <w:p>
      <w:pPr>
        <w:pStyle w:val="Body A"/>
        <w:spacing w:line="480" w:lineRule="auto"/>
        <w:ind w:left="720" w:hanging="720"/>
        <w:rPr>
          <w:rFonts w:ascii="Helvetica" w:cs="Helvetica" w:hAnsi="Helvetica" w:eastAsia="Helvetica"/>
        </w:rPr>
      </w:pPr>
      <w:bookmarkStart w:name="refEdgar2004" w:id="42"/>
      <w:r>
        <w:rPr>
          <w:rFonts w:ascii="Helvetica" w:hAnsi="Helvetica"/>
          <w:rtl w:val="0"/>
        </w:rPr>
        <w:t xml:space="preserve">Edgar, R. C. 2004.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"https://doi.org/10.1186/1471-2105-5-113"</w:instrText>
      </w:r>
      <w:r>
        <w:rPr>
          <w:rStyle w:val="Hyperlink.1"/>
          <w:rFonts w:ascii="Helvetica" w:cs="Helvetica" w:hAnsi="Helvetica" w:eastAsia="Helvetica"/>
        </w:rPr>
        <w:fldChar w:fldCharType="separate" w:fldLock="0"/>
      </w:r>
      <w:r>
        <w:rPr>
          <w:rStyle w:val="Hyperlink.1"/>
          <w:rFonts w:ascii="Helvetica" w:hAnsi="Helvetica"/>
          <w:rtl w:val="0"/>
          <w:lang w:val="en-US"/>
        </w:rPr>
        <w:t>Muscle: A multiple sequence alignment method with reduced time and space complexity</w:t>
      </w:r>
      <w:r>
        <w:rPr>
          <w:rFonts w:ascii="Helvetica" w:cs="Helvetica" w:hAnsi="Helvetica" w:eastAsia="Helvetica"/>
        </w:rPr>
        <w:fldChar w:fldCharType="end" w:fldLock="0"/>
      </w:r>
      <w:r>
        <w:rPr>
          <w:rFonts w:ascii="Helvetica" w:hAnsi="Helvetica"/>
          <w:rtl w:val="0"/>
        </w:rPr>
        <w:t>. BMC Bioinformatics 5:113.</w:t>
      </w:r>
      <w:bookmarkEnd w:id="42"/>
    </w:p>
    <w:p>
      <w:pPr>
        <w:pStyle w:val="Body A"/>
        <w:spacing w:line="480" w:lineRule="auto"/>
        <w:ind w:left="720" w:hanging="720"/>
        <w:rPr>
          <w:rFonts w:ascii="Helvetica" w:cs="Helvetica" w:hAnsi="Helvetica" w:eastAsia="Helvetica"/>
        </w:rPr>
      </w:pPr>
      <w:bookmarkStart w:name="refEngelkes2020" w:id="43"/>
      <w:r>
        <w:rPr>
          <w:rStyle w:val="None"/>
          <w:rFonts w:ascii="Helvetica" w:hAnsi="Helvetica"/>
          <w:rtl w:val="0"/>
          <w:lang w:val="de-DE"/>
        </w:rPr>
        <w:t xml:space="preserve">Engelkes, K., L. Kath, T. Kleinteich, J. U. Hammel, A. Beerlink, and A. Haas. 2020.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"https://doi.org/10.1002/ece3.6784"</w:instrText>
      </w:r>
      <w:r>
        <w:rPr>
          <w:rStyle w:val="Hyperlink.1"/>
          <w:rFonts w:ascii="Helvetica" w:cs="Helvetica" w:hAnsi="Helvetica" w:eastAsia="Helvetica"/>
        </w:rPr>
        <w:fldChar w:fldCharType="separate" w:fldLock="0"/>
      </w:r>
      <w:r>
        <w:rPr>
          <w:rStyle w:val="Hyperlink.1"/>
          <w:rFonts w:ascii="Helvetica" w:hAnsi="Helvetica"/>
          <w:rtl w:val="0"/>
          <w:lang w:val="en-US"/>
        </w:rPr>
        <w:t>Ecomorphology of the pectoral girdle in anurans (amphibia, anura): Shape diversity and biomechanical considerations</w:t>
      </w:r>
      <w:r>
        <w:rPr>
          <w:rFonts w:ascii="Helvetica" w:cs="Helvetica" w:hAnsi="Helvetica" w:eastAsia="Helvetica"/>
        </w:rPr>
        <w:fldChar w:fldCharType="end" w:fldLock="0"/>
      </w:r>
      <w:r>
        <w:rPr>
          <w:rStyle w:val="None"/>
          <w:rFonts w:ascii="Helvetica" w:hAnsi="Helvetica"/>
          <w:rtl w:val="0"/>
          <w:lang w:val="en-US"/>
        </w:rPr>
        <w:t>. ECOLOGY AND EVOLUTION 10:11467</w:t>
      </w:r>
      <w:r>
        <w:rPr>
          <w:rFonts w:ascii="Helvetica" w:hAnsi="Helvetica" w:hint="default"/>
          <w:rtl w:val="0"/>
        </w:rPr>
        <w:t>–</w:t>
      </w:r>
      <w:r>
        <w:rPr>
          <w:rFonts w:ascii="Helvetica" w:hAnsi="Helvetica"/>
          <w:rtl w:val="0"/>
        </w:rPr>
        <w:t>11487.</w:t>
      </w:r>
      <w:bookmarkEnd w:id="43"/>
    </w:p>
    <w:p>
      <w:pPr>
        <w:pStyle w:val="Body A"/>
        <w:spacing w:line="480" w:lineRule="auto"/>
        <w:ind w:left="720" w:hanging="720"/>
        <w:rPr>
          <w:rFonts w:ascii="Helvetica" w:cs="Helvetica" w:hAnsi="Helvetica" w:eastAsia="Helvetica"/>
        </w:rPr>
      </w:pPr>
      <w:bookmarkStart w:name="refFrost2024" w:id="44"/>
      <w:r>
        <w:rPr>
          <w:rStyle w:val="None"/>
          <w:rFonts w:ascii="Helvetica" w:hAnsi="Helvetica"/>
          <w:rtl w:val="0"/>
          <w:lang w:val="en-US"/>
        </w:rPr>
        <w:t xml:space="preserve">Frost, D. R. 2024.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"https://doi.org/doi.org/10.5531/db.vz.0001"</w:instrText>
      </w:r>
      <w:r>
        <w:rPr>
          <w:rStyle w:val="Hyperlink.1"/>
          <w:rFonts w:ascii="Helvetica" w:cs="Helvetica" w:hAnsi="Helvetica" w:eastAsia="Helvetica"/>
        </w:rPr>
        <w:fldChar w:fldCharType="separate" w:fldLock="0"/>
      </w:r>
      <w:r>
        <w:rPr>
          <w:rStyle w:val="Hyperlink.1"/>
          <w:rFonts w:ascii="Helvetica" w:hAnsi="Helvetica"/>
          <w:rtl w:val="0"/>
          <w:lang w:val="en-US"/>
        </w:rPr>
        <w:t>Amphibian species of the world: An online reference. Version 6.2</w:t>
      </w:r>
      <w:r>
        <w:rPr>
          <w:rFonts w:ascii="Helvetica" w:cs="Helvetica" w:hAnsi="Helvetica" w:eastAsia="Helvetica"/>
        </w:rPr>
        <w:fldChar w:fldCharType="end" w:fldLock="0"/>
      </w:r>
      <w:r>
        <w:rPr>
          <w:rFonts w:ascii="Helvetica" w:hAnsi="Helvetica"/>
          <w:rtl w:val="0"/>
        </w:rPr>
        <w:t>.</w:t>
      </w:r>
      <w:bookmarkEnd w:id="44"/>
    </w:p>
    <w:p>
      <w:pPr>
        <w:pStyle w:val="Body A"/>
        <w:spacing w:line="480" w:lineRule="auto"/>
        <w:ind w:left="720" w:hanging="720"/>
        <w:rPr>
          <w:rFonts w:ascii="Helvetica" w:cs="Helvetica" w:hAnsi="Helvetica" w:eastAsia="Helvetica"/>
        </w:rPr>
      </w:pPr>
      <w:bookmarkStart w:name="refGillman2020" w:id="45"/>
      <w:r>
        <w:rPr>
          <w:rStyle w:val="None"/>
          <w:rFonts w:ascii="Helvetica" w:hAnsi="Helvetica"/>
          <w:rtl w:val="0"/>
          <w:lang w:val="en-US"/>
        </w:rPr>
        <w:t xml:space="preserve">Gillman, L. N., and S. D. Wright. 2020.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"https://doi.org/10.1038/s42003-020-01344-y"</w:instrText>
      </w:r>
      <w:r>
        <w:rPr>
          <w:rStyle w:val="Hyperlink.1"/>
          <w:rFonts w:ascii="Helvetica" w:cs="Helvetica" w:hAnsi="Helvetica" w:eastAsia="Helvetica"/>
        </w:rPr>
        <w:fldChar w:fldCharType="separate" w:fldLock="0"/>
      </w:r>
      <w:r>
        <w:rPr>
          <w:rStyle w:val="Hyperlink.1"/>
          <w:rFonts w:ascii="Helvetica" w:hAnsi="Helvetica"/>
          <w:rtl w:val="0"/>
          <w:lang w:val="en-US"/>
        </w:rPr>
        <w:t>Restoring indigenous names in taxonomy</w:t>
      </w:r>
      <w:r>
        <w:rPr>
          <w:rFonts w:ascii="Helvetica" w:cs="Helvetica" w:hAnsi="Helvetica" w:eastAsia="Helvetica"/>
        </w:rPr>
        <w:fldChar w:fldCharType="end" w:fldLock="0"/>
      </w:r>
      <w:r>
        <w:rPr>
          <w:rFonts w:ascii="Helvetica" w:hAnsi="Helvetica"/>
          <w:rtl w:val="0"/>
        </w:rPr>
        <w:t>. Communications Biology 3:609.</w:t>
      </w:r>
      <w:bookmarkEnd w:id="45"/>
    </w:p>
    <w:p>
      <w:pPr>
        <w:pStyle w:val="Body A"/>
        <w:spacing w:line="480" w:lineRule="auto"/>
        <w:ind w:left="720" w:hanging="720"/>
        <w:rPr>
          <w:rFonts w:ascii="Helvetica" w:cs="Helvetica" w:hAnsi="Helvetica" w:eastAsia="Helvetica"/>
        </w:rPr>
      </w:pPr>
      <w:bookmarkStart w:name="refGunther1858" w:id="46"/>
      <w:r>
        <w:rPr>
          <w:rFonts w:ascii="Helvetica" w:hAnsi="Helvetica"/>
          <w:rtl w:val="0"/>
        </w:rPr>
        <w:t>G</w:t>
      </w:r>
      <w:r>
        <w:rPr>
          <w:rFonts w:ascii="Helvetica" w:hAnsi="Helvetica" w:hint="default"/>
          <w:rtl w:val="0"/>
        </w:rPr>
        <w:t>ü</w:t>
      </w:r>
      <w:r>
        <w:rPr>
          <w:rStyle w:val="None"/>
          <w:rFonts w:ascii="Helvetica" w:hAnsi="Helvetica"/>
          <w:rtl w:val="0"/>
          <w:lang w:val="en-US"/>
        </w:rPr>
        <w:t xml:space="preserve">nther, A. C. L. G. 1858. On the systematic arrangement of the tailless batrachians and the structure of </w:t>
      </w:r>
      <w:r>
        <w:rPr>
          <w:rStyle w:val="None"/>
          <w:rFonts w:ascii="Helvetica" w:hAnsi="Helvetica"/>
          <w:i w:val="1"/>
          <w:iCs w:val="1"/>
          <w:rtl w:val="0"/>
          <w:lang w:val="de-DE"/>
        </w:rPr>
        <w:t>rhinophrynus dorsalis</w:t>
      </w:r>
      <w:r>
        <w:rPr>
          <w:rStyle w:val="None"/>
          <w:rFonts w:ascii="Helvetica" w:hAnsi="Helvetica"/>
          <w:rtl w:val="0"/>
          <w:lang w:val="en-US"/>
        </w:rPr>
        <w:t>. Proceedings of the Zoological Society of London 339</w:t>
      </w:r>
      <w:r>
        <w:rPr>
          <w:rFonts w:ascii="Helvetica" w:hAnsi="Helvetica" w:hint="default"/>
          <w:rtl w:val="0"/>
        </w:rPr>
        <w:t>–</w:t>
      </w:r>
      <w:r>
        <w:rPr>
          <w:rFonts w:ascii="Helvetica" w:hAnsi="Helvetica"/>
          <w:rtl w:val="0"/>
        </w:rPr>
        <w:t>352.</w:t>
      </w:r>
      <w:bookmarkEnd w:id="46"/>
    </w:p>
    <w:p>
      <w:pPr>
        <w:pStyle w:val="Body A"/>
        <w:spacing w:line="480" w:lineRule="auto"/>
        <w:ind w:left="720" w:hanging="720"/>
        <w:rPr>
          <w:rFonts w:ascii="Helvetica" w:cs="Helvetica" w:hAnsi="Helvetica" w:eastAsia="Helvetica"/>
        </w:rPr>
      </w:pPr>
      <w:bookmarkStart w:name="refGunther2023" w:id="47"/>
      <w:r>
        <w:rPr>
          <w:rFonts w:ascii="Helvetica" w:hAnsi="Helvetica"/>
          <w:rtl w:val="0"/>
        </w:rPr>
        <w:t>G</w:t>
      </w:r>
      <w:r>
        <w:rPr>
          <w:rFonts w:ascii="Helvetica" w:hAnsi="Helvetica" w:hint="default"/>
          <w:rtl w:val="0"/>
        </w:rPr>
        <w:t>ü</w:t>
      </w:r>
      <w:r>
        <w:rPr>
          <w:rStyle w:val="None"/>
          <w:rFonts w:ascii="Helvetica" w:hAnsi="Helvetica"/>
          <w:rtl w:val="0"/>
          <w:lang w:val="en-US"/>
        </w:rPr>
        <w:t xml:space="preserve">nther, R., D. T. Iskandar, and S. J. Richards. 2023.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"https://doi.org/10.3897/vz.73.e94207"</w:instrText>
      </w:r>
      <w:r>
        <w:rPr>
          <w:rStyle w:val="Hyperlink.1"/>
          <w:rFonts w:ascii="Helvetica" w:cs="Helvetica" w:hAnsi="Helvetica" w:eastAsia="Helvetica"/>
        </w:rPr>
        <w:fldChar w:fldCharType="separate" w:fldLock="0"/>
      </w:r>
      <w:r>
        <w:rPr>
          <w:rStyle w:val="Hyperlink.1"/>
          <w:rFonts w:ascii="Helvetica" w:hAnsi="Helvetica"/>
          <w:rtl w:val="0"/>
          <w:lang w:val="en-US"/>
        </w:rPr>
        <w:t xml:space="preserve">A new large </w:t>
      </w:r>
      <w:r>
        <w:rPr>
          <w:rStyle w:val="None"/>
          <w:rFonts w:ascii="Helvetica" w:hAnsi="Helvetica"/>
          <w:i w:val="1"/>
          <w:iCs w:val="1"/>
          <w:u w:val="single"/>
          <w:rtl w:val="0"/>
        </w:rPr>
        <w:t>oreophryne</w:t>
      </w:r>
      <w:r>
        <w:rPr>
          <w:rStyle w:val="Hyperlink.1"/>
          <w:rFonts w:ascii="Helvetica" w:hAnsi="Helvetica"/>
          <w:rtl w:val="0"/>
          <w:lang w:val="en-US"/>
        </w:rPr>
        <w:t xml:space="preserve"> species from the mountains of papua province, indonesian new guinea (amphibia, anura, microhylidae)</w:t>
      </w:r>
      <w:r>
        <w:rPr>
          <w:rFonts w:ascii="Helvetica" w:cs="Helvetica" w:hAnsi="Helvetica" w:eastAsia="Helvetica"/>
        </w:rPr>
        <w:fldChar w:fldCharType="end" w:fldLock="0"/>
      </w:r>
      <w:r>
        <w:rPr>
          <w:rStyle w:val="None"/>
          <w:rFonts w:ascii="Helvetica" w:hAnsi="Helvetica"/>
          <w:rtl w:val="0"/>
          <w:lang w:val="en-US"/>
        </w:rPr>
        <w:t>. Vertebrate Zoology 73:153</w:t>
      </w:r>
      <w:r>
        <w:rPr>
          <w:rFonts w:ascii="Helvetica" w:hAnsi="Helvetica" w:hint="default"/>
          <w:rtl w:val="0"/>
        </w:rPr>
        <w:t>–</w:t>
      </w:r>
      <w:r>
        <w:rPr>
          <w:rStyle w:val="None"/>
          <w:rFonts w:ascii="Helvetica" w:hAnsi="Helvetica"/>
          <w:rtl w:val="0"/>
          <w:lang w:val="de-DE"/>
        </w:rPr>
        <w:t>159. Senckenberg Gesellschaft f</w:t>
      </w:r>
      <w:r>
        <w:rPr>
          <w:rFonts w:ascii="Helvetica" w:hAnsi="Helvetica" w:hint="default"/>
          <w:rtl w:val="0"/>
        </w:rPr>
        <w:t>ü</w:t>
      </w:r>
      <w:r>
        <w:rPr>
          <w:rStyle w:val="None"/>
          <w:rFonts w:ascii="Helvetica" w:hAnsi="Helvetica"/>
          <w:rtl w:val="0"/>
          <w:lang w:val="de-DE"/>
        </w:rPr>
        <w:t>r Naturforschung.</w:t>
      </w:r>
      <w:bookmarkEnd w:id="47"/>
    </w:p>
    <w:p>
      <w:pPr>
        <w:pStyle w:val="Body A"/>
        <w:spacing w:line="480" w:lineRule="auto"/>
        <w:ind w:left="720" w:hanging="720"/>
        <w:rPr>
          <w:rFonts w:ascii="Helvetica" w:cs="Helvetica" w:hAnsi="Helvetica" w:eastAsia="Helvetica"/>
        </w:rPr>
      </w:pPr>
      <w:bookmarkStart w:name="refGunther2012" w:id="48"/>
      <w:r>
        <w:rPr>
          <w:rFonts w:ascii="Helvetica" w:hAnsi="Helvetica"/>
          <w:rtl w:val="0"/>
        </w:rPr>
        <w:t>G</w:t>
      </w:r>
      <w:r>
        <w:rPr>
          <w:rFonts w:ascii="Helvetica" w:hAnsi="Helvetica" w:hint="default"/>
          <w:rtl w:val="0"/>
        </w:rPr>
        <w:t>ü</w:t>
      </w:r>
      <w:r>
        <w:rPr>
          <w:rStyle w:val="None"/>
          <w:rFonts w:ascii="Helvetica" w:hAnsi="Helvetica"/>
          <w:rtl w:val="0"/>
          <w:lang w:val="en-US"/>
        </w:rPr>
        <w:t>nther, R., and S. J. Richards. 2012. Five new microhylid frog species from enga province, papua new guinea, and remarks on albericus alpestris (anura, microhylidae). VERTEBRATE ZOOLOGY 61:343</w:t>
      </w:r>
      <w:r>
        <w:rPr>
          <w:rFonts w:ascii="Helvetica" w:hAnsi="Helvetica" w:hint="default"/>
          <w:rtl w:val="0"/>
        </w:rPr>
        <w:t>–</w:t>
      </w:r>
      <w:r>
        <w:rPr>
          <w:rFonts w:ascii="Helvetica" w:hAnsi="Helvetica"/>
          <w:rtl w:val="0"/>
        </w:rPr>
        <w:t>372.</w:t>
      </w:r>
      <w:bookmarkEnd w:id="48"/>
    </w:p>
    <w:p>
      <w:pPr>
        <w:pStyle w:val="Body A"/>
        <w:spacing w:line="480" w:lineRule="auto"/>
        <w:ind w:left="720" w:hanging="720"/>
        <w:rPr>
          <w:rFonts w:ascii="Helvetica" w:cs="Helvetica" w:hAnsi="Helvetica" w:eastAsia="Helvetica"/>
        </w:rPr>
      </w:pPr>
      <w:bookmarkStart w:name="refGunther2001" w:id="49"/>
      <w:r>
        <w:rPr>
          <w:rFonts w:ascii="Helvetica" w:hAnsi="Helvetica"/>
          <w:rtl w:val="0"/>
        </w:rPr>
        <w:t>G</w:t>
      </w:r>
      <w:r>
        <w:rPr>
          <w:rFonts w:ascii="Helvetica" w:hAnsi="Helvetica" w:hint="default"/>
          <w:rtl w:val="0"/>
        </w:rPr>
        <w:t>ü</w:t>
      </w:r>
      <w:r>
        <w:rPr>
          <w:rStyle w:val="None"/>
          <w:rFonts w:ascii="Helvetica" w:hAnsi="Helvetica"/>
          <w:rtl w:val="0"/>
          <w:lang w:val="en-US"/>
        </w:rPr>
        <w:t>nther, R., S. Richards, and D. T. Iskandar. 2001. Two new species of the genus oreophryne from irian jaya, indonesia (amphibia, anura, microhylidae). Spixiana 24:257</w:t>
      </w:r>
      <w:r>
        <w:rPr>
          <w:rFonts w:ascii="Helvetica" w:hAnsi="Helvetica" w:hint="default"/>
          <w:rtl w:val="0"/>
        </w:rPr>
        <w:t>–</w:t>
      </w:r>
      <w:r>
        <w:rPr>
          <w:rFonts w:ascii="Helvetica" w:hAnsi="Helvetica"/>
          <w:rtl w:val="0"/>
        </w:rPr>
        <w:t>274.</w:t>
      </w:r>
      <w:bookmarkEnd w:id="49"/>
    </w:p>
    <w:p>
      <w:pPr>
        <w:pStyle w:val="Body A"/>
        <w:spacing w:line="480" w:lineRule="auto"/>
        <w:ind w:left="720" w:hanging="720"/>
        <w:rPr>
          <w:rFonts w:ascii="Helvetica" w:cs="Helvetica" w:hAnsi="Helvetica" w:eastAsia="Helvetica"/>
        </w:rPr>
      </w:pPr>
      <w:bookmarkStart w:name="refHill2022" w:id="50"/>
      <w:r>
        <w:rPr>
          <w:rStyle w:val="None"/>
          <w:rFonts w:ascii="Helvetica" w:hAnsi="Helvetica"/>
          <w:rtl w:val="0"/>
          <w:lang w:val="en-US"/>
        </w:rPr>
        <w:t xml:space="preserve">Hill, E. C., C. J. Fraser, D. F. Gao, M. J. Jarman, E. R. Henry, B. Iova, A. Allison, and M. A. Butler. 2022.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"https://doi.org/10.1016/j.ympev.2022.107618"</w:instrText>
      </w:r>
      <w:r>
        <w:rPr>
          <w:rStyle w:val="Hyperlink.1"/>
          <w:rFonts w:ascii="Helvetica" w:cs="Helvetica" w:hAnsi="Helvetica" w:eastAsia="Helvetica"/>
        </w:rPr>
        <w:fldChar w:fldCharType="separate" w:fldLock="0"/>
      </w:r>
      <w:r>
        <w:rPr>
          <w:rStyle w:val="Hyperlink.1"/>
          <w:rFonts w:ascii="Helvetica" w:hAnsi="Helvetica"/>
          <w:rtl w:val="0"/>
          <w:lang w:val="en-US"/>
        </w:rPr>
        <w:t>Resolving the deep phylogeny: Implications for early adaptive radiation, cryptic, and present-day ecological diversity of papuan microhylid frogs</w:t>
      </w:r>
      <w:r>
        <w:rPr>
          <w:rFonts w:ascii="Helvetica" w:cs="Helvetica" w:hAnsi="Helvetica" w:eastAsia="Helvetica"/>
        </w:rPr>
        <w:fldChar w:fldCharType="end" w:fldLock="0"/>
      </w:r>
      <w:r>
        <w:rPr>
          <w:rStyle w:val="None"/>
          <w:rFonts w:ascii="Helvetica" w:hAnsi="Helvetica"/>
          <w:rtl w:val="0"/>
          <w:lang w:val="en-US"/>
        </w:rPr>
        <w:t>. Molecular Phylogenetics and Evolution 177. Academic Press Inc.</w:t>
      </w:r>
      <w:bookmarkEnd w:id="50"/>
    </w:p>
    <w:p>
      <w:pPr>
        <w:pStyle w:val="Body A"/>
        <w:spacing w:line="480" w:lineRule="auto"/>
        <w:ind w:left="720" w:hanging="720"/>
        <w:rPr>
          <w:rFonts w:ascii="Helvetica" w:cs="Helvetica" w:hAnsi="Helvetica" w:eastAsia="Helvetica"/>
        </w:rPr>
      </w:pPr>
      <w:bookmarkStart w:name="refHill2023a" w:id="51"/>
      <w:r>
        <w:rPr>
          <w:rStyle w:val="None"/>
          <w:rFonts w:ascii="Helvetica" w:hAnsi="Helvetica"/>
          <w:rtl w:val="0"/>
          <w:lang w:val="en-US"/>
        </w:rPr>
        <w:t>Hill, E. C., D. F. Gao, D. A. Polhemus, C. J. Fraser, B. Iova, A. Allison, and M. A. Butler. 2023a. Testing geology with biology: Plate tectonics and the diversification of microhylid frogs in the papuan region. Integrative Organismal Biology.</w:t>
      </w:r>
      <w:bookmarkEnd w:id="51"/>
    </w:p>
    <w:p>
      <w:pPr>
        <w:pStyle w:val="Body A"/>
        <w:spacing w:line="480" w:lineRule="auto"/>
        <w:ind w:left="720" w:hanging="720"/>
        <w:rPr>
          <w:rFonts w:ascii="Helvetica" w:cs="Helvetica" w:hAnsi="Helvetica" w:eastAsia="Helvetica"/>
        </w:rPr>
      </w:pPr>
      <w:bookmarkStart w:name="refHill2023" w:id="52"/>
      <w:r>
        <w:rPr>
          <w:rStyle w:val="None"/>
          <w:rFonts w:ascii="Helvetica" w:hAnsi="Helvetica"/>
          <w:rtl w:val="0"/>
          <w:lang w:val="en-US"/>
        </w:rPr>
        <w:t xml:space="preserve">Hill, E. C., M. J. Jarman, C. J. Fraser, D. F. Gao, E. R. Henry, A. R. Fisher, B. Iova, A. Allison, and M. A. Butler. 2023b.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"https://doi.org/10.1016/j.dib.2023.108987"</w:instrText>
      </w:r>
      <w:r>
        <w:rPr>
          <w:rStyle w:val="Hyperlink.1"/>
          <w:rFonts w:ascii="Helvetica" w:cs="Helvetica" w:hAnsi="Helvetica" w:eastAsia="Helvetica"/>
        </w:rPr>
        <w:fldChar w:fldCharType="separate" w:fldLock="0"/>
      </w:r>
      <w:r>
        <w:rPr>
          <w:rStyle w:val="Hyperlink.1"/>
          <w:rFonts w:ascii="Helvetica" w:hAnsi="Helvetica"/>
          <w:rtl w:val="0"/>
          <w:lang w:val="en-US"/>
        </w:rPr>
        <w:t>Molecular and phylogenetic datasets for the asterophryinae frogs of new guinea with additional data on lifestyle, geography, and elevation</w:t>
      </w:r>
      <w:r>
        <w:rPr>
          <w:rFonts w:ascii="Helvetica" w:cs="Helvetica" w:hAnsi="Helvetica" w:eastAsia="Helvetica"/>
        </w:rPr>
        <w:fldChar w:fldCharType="end" w:fldLock="0"/>
      </w:r>
      <w:r>
        <w:rPr>
          <w:rStyle w:val="None"/>
          <w:rFonts w:ascii="Helvetica" w:hAnsi="Helvetica"/>
          <w:rtl w:val="0"/>
          <w:lang w:val="de-DE"/>
        </w:rPr>
        <w:t>. Data in Brief 47:108987.</w:t>
      </w:r>
      <w:bookmarkEnd w:id="52"/>
    </w:p>
    <w:p>
      <w:pPr>
        <w:pStyle w:val="Body A"/>
        <w:spacing w:line="480" w:lineRule="auto"/>
        <w:ind w:left="720" w:hanging="720"/>
        <w:rPr>
          <w:rFonts w:ascii="Helvetica" w:cs="Helvetica" w:hAnsi="Helvetica" w:eastAsia="Helvetica"/>
        </w:rPr>
      </w:pPr>
      <w:bookmarkStart w:name="refIUCN2025" w:id="53"/>
      <w:r>
        <w:rPr>
          <w:rFonts w:ascii="Helvetica" w:hAnsi="Helvetica"/>
          <w:rtl w:val="0"/>
        </w:rPr>
        <w:t xml:space="preserve">IUCN. 2025.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"https://www.iucnredlist.org/"</w:instrText>
      </w:r>
      <w:r>
        <w:rPr>
          <w:rStyle w:val="Hyperlink.1"/>
          <w:rFonts w:ascii="Helvetica" w:cs="Helvetica" w:hAnsi="Helvetica" w:eastAsia="Helvetica"/>
        </w:rPr>
        <w:fldChar w:fldCharType="separate" w:fldLock="0"/>
      </w:r>
      <w:r>
        <w:rPr>
          <w:rStyle w:val="Hyperlink.1"/>
          <w:rFonts w:ascii="Helvetica" w:hAnsi="Helvetica"/>
          <w:rtl w:val="0"/>
          <w:lang w:val="en-US"/>
        </w:rPr>
        <w:t>Asterophryinae (spatial data). The IUCN Red List of Threatened Species. Version 2025-1</w:t>
      </w:r>
      <w:r>
        <w:rPr>
          <w:rFonts w:ascii="Helvetica" w:cs="Helvetica" w:hAnsi="Helvetica" w:eastAsia="Helvetica"/>
        </w:rPr>
        <w:fldChar w:fldCharType="end" w:fldLock="0"/>
      </w:r>
      <w:r>
        <w:rPr>
          <w:rStyle w:val="None"/>
          <w:rFonts w:ascii="Helvetica" w:hAnsi="Helvetica"/>
          <w:rtl w:val="0"/>
          <w:lang w:val="en-US"/>
        </w:rPr>
        <w:t>. International Union for Conservation of Nature.</w:t>
      </w:r>
      <w:bookmarkEnd w:id="53"/>
    </w:p>
    <w:p>
      <w:pPr>
        <w:pStyle w:val="Body A"/>
        <w:spacing w:line="480" w:lineRule="auto"/>
        <w:ind w:left="720" w:hanging="720"/>
        <w:rPr>
          <w:rFonts w:ascii="Helvetica" w:cs="Helvetica" w:hAnsi="Helvetica" w:eastAsia="Helvetica"/>
        </w:rPr>
      </w:pPr>
      <w:bookmarkStart w:name="refVanKampen1923" w:id="54"/>
      <w:r>
        <w:rPr>
          <w:rStyle w:val="None"/>
          <w:rFonts w:ascii="Helvetica" w:hAnsi="Helvetica"/>
          <w:rtl w:val="0"/>
          <w:lang w:val="nl-NL"/>
        </w:rPr>
        <w:t xml:space="preserve">Kampen, P. N. van. 1923.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"https://www.biodiversitylibrary.org/part/118043"</w:instrText>
      </w:r>
      <w:r>
        <w:rPr>
          <w:rStyle w:val="Hyperlink.1"/>
          <w:rFonts w:ascii="Helvetica" w:cs="Helvetica" w:hAnsi="Helvetica" w:eastAsia="Helvetica"/>
        </w:rPr>
        <w:fldChar w:fldCharType="separate" w:fldLock="0"/>
      </w:r>
      <w:r>
        <w:rPr>
          <w:rStyle w:val="Hyperlink.1"/>
          <w:rFonts w:ascii="Helvetica" w:hAnsi="Helvetica"/>
          <w:rtl w:val="0"/>
          <w:lang w:val="en-US"/>
        </w:rPr>
        <w:t>The amphibia of the indo-australian archipelago</w:t>
      </w:r>
      <w:r>
        <w:rPr>
          <w:rFonts w:ascii="Helvetica" w:cs="Helvetica" w:hAnsi="Helvetica" w:eastAsia="Helvetica"/>
        </w:rPr>
        <w:fldChar w:fldCharType="end" w:fldLock="0"/>
      </w:r>
      <w:r>
        <w:rPr>
          <w:rFonts w:ascii="Helvetica" w:hAnsi="Helvetica"/>
          <w:rtl w:val="0"/>
        </w:rPr>
        <w:t>. E. J. Brill, ltd, Leiden.</w:t>
      </w:r>
      <w:bookmarkEnd w:id="54"/>
    </w:p>
    <w:p>
      <w:pPr>
        <w:pStyle w:val="Body A"/>
        <w:spacing w:line="480" w:lineRule="auto"/>
        <w:ind w:left="720" w:hanging="720"/>
        <w:rPr>
          <w:rFonts w:ascii="Helvetica" w:cs="Helvetica" w:hAnsi="Helvetica" w:eastAsia="Helvetica"/>
        </w:rPr>
      </w:pPr>
      <w:bookmarkStart w:name="refKoehler2008" w:id="55"/>
      <w:r>
        <w:rPr>
          <w:rFonts w:ascii="Helvetica" w:hAnsi="Helvetica"/>
          <w:rtl w:val="0"/>
        </w:rPr>
        <w:t>K</w:t>
      </w:r>
      <w:r>
        <w:rPr>
          <w:rStyle w:val="None"/>
          <w:rFonts w:ascii="Helvetica" w:hAnsi="Helvetica" w:hint="default"/>
          <w:rtl w:val="0"/>
          <w:lang w:val="sv-SE"/>
        </w:rPr>
        <w:t>ö</w:t>
      </w:r>
      <w:r>
        <w:rPr>
          <w:rStyle w:val="None"/>
          <w:rFonts w:ascii="Helvetica" w:hAnsi="Helvetica"/>
          <w:rtl w:val="0"/>
          <w:lang w:val="en-US"/>
        </w:rPr>
        <w:t>hler, F., and R. G</w:t>
      </w:r>
      <w:r>
        <w:rPr>
          <w:rFonts w:ascii="Helvetica" w:hAnsi="Helvetica" w:hint="default"/>
          <w:rtl w:val="0"/>
        </w:rPr>
        <w:t>ü</w:t>
      </w:r>
      <w:r>
        <w:rPr>
          <w:rFonts w:ascii="Helvetica" w:hAnsi="Helvetica"/>
          <w:rtl w:val="0"/>
        </w:rPr>
        <w:t xml:space="preserve">nther. 2008.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"https://doi.org/DOI%25252010.1016/j.ympev.2007.11.032"</w:instrText>
      </w:r>
      <w:r>
        <w:rPr>
          <w:rStyle w:val="Hyperlink.1"/>
          <w:rFonts w:ascii="Helvetica" w:cs="Helvetica" w:hAnsi="Helvetica" w:eastAsia="Helvetica"/>
        </w:rPr>
        <w:fldChar w:fldCharType="separate" w:fldLock="0"/>
      </w:r>
      <w:r>
        <w:rPr>
          <w:rStyle w:val="Hyperlink.1"/>
          <w:rFonts w:ascii="Helvetica" w:hAnsi="Helvetica"/>
          <w:rtl w:val="0"/>
          <w:lang w:val="en-US"/>
        </w:rPr>
        <w:t>The radiation of microhylid frogs (amphibia : Anura) on new guinea: A mitochondrial phylogeny reveals parallel evolution of morphological and life history traits and disproves the current morphology-based classification</w:t>
      </w:r>
      <w:r>
        <w:rPr>
          <w:rFonts w:ascii="Helvetica" w:cs="Helvetica" w:hAnsi="Helvetica" w:eastAsia="Helvetica"/>
        </w:rPr>
        <w:fldChar w:fldCharType="end" w:fldLock="0"/>
      </w:r>
      <w:r>
        <w:rPr>
          <w:rStyle w:val="None"/>
          <w:rFonts w:ascii="Helvetica" w:hAnsi="Helvetica"/>
          <w:rtl w:val="0"/>
          <w:lang w:val="en-US"/>
        </w:rPr>
        <w:t>. Molecular Phylogenetics and Evolution 47:353</w:t>
      </w:r>
      <w:r>
        <w:rPr>
          <w:rFonts w:ascii="Helvetica" w:hAnsi="Helvetica" w:hint="default"/>
          <w:rtl w:val="0"/>
        </w:rPr>
        <w:t>–</w:t>
      </w:r>
      <w:r>
        <w:rPr>
          <w:rStyle w:val="None"/>
          <w:rFonts w:ascii="Helvetica" w:hAnsi="Helvetica"/>
          <w:rtl w:val="0"/>
          <w:lang w:val="de-DE"/>
        </w:rPr>
        <w:t>365. ACADEMIC PRESS INC ELSEVIER SCIENCE, 525 B ST, STE 1900, SAN DIEGO, CA 92101-4495 USA.</w:t>
      </w:r>
      <w:bookmarkEnd w:id="55"/>
    </w:p>
    <w:p>
      <w:pPr>
        <w:pStyle w:val="Body A"/>
        <w:spacing w:line="480" w:lineRule="auto"/>
        <w:ind w:left="720" w:hanging="720"/>
        <w:rPr>
          <w:rFonts w:ascii="Helvetica" w:cs="Helvetica" w:hAnsi="Helvetica" w:eastAsia="Helvetica"/>
        </w:rPr>
      </w:pPr>
      <w:bookmarkStart w:name="refKraus2017" w:id="56"/>
      <w:r>
        <w:rPr>
          <w:rStyle w:val="None"/>
          <w:rFonts w:ascii="Helvetica" w:hAnsi="Helvetica"/>
          <w:rtl w:val="0"/>
          <w:lang w:val="de-DE"/>
        </w:rPr>
        <w:t xml:space="preserve">Kraus, F. 2017.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"https://doi.org/10.1670/17-002"</w:instrText>
      </w:r>
      <w:r>
        <w:rPr>
          <w:rStyle w:val="Hyperlink.1"/>
          <w:rFonts w:ascii="Helvetica" w:cs="Helvetica" w:hAnsi="Helvetica" w:eastAsia="Helvetica"/>
        </w:rPr>
        <w:fldChar w:fldCharType="separate" w:fldLock="0"/>
      </w:r>
      <w:r>
        <w:rPr>
          <w:rStyle w:val="Hyperlink.1"/>
          <w:rFonts w:ascii="Helvetica" w:hAnsi="Helvetica"/>
          <w:rtl w:val="0"/>
          <w:lang w:val="en-US"/>
        </w:rPr>
        <w:t>A new insular species of oreophryne (anura, microhylidae) from papua new guinea</w:t>
      </w:r>
      <w:r>
        <w:rPr>
          <w:rFonts w:ascii="Helvetica" w:cs="Helvetica" w:hAnsi="Helvetica" w:eastAsia="Helvetica"/>
        </w:rPr>
        <w:fldChar w:fldCharType="end" w:fldLock="0"/>
      </w:r>
      <w:r>
        <w:rPr>
          <w:rStyle w:val="None"/>
          <w:rFonts w:ascii="Helvetica" w:hAnsi="Helvetica"/>
          <w:rtl w:val="0"/>
          <w:lang w:val="en-US"/>
        </w:rPr>
        <w:t>. Journal of Herpetology 51:552</w:t>
      </w:r>
      <w:r>
        <w:rPr>
          <w:rFonts w:ascii="Helvetica" w:hAnsi="Helvetica" w:hint="default"/>
          <w:rtl w:val="0"/>
        </w:rPr>
        <w:t>–</w:t>
      </w:r>
      <w:r>
        <w:rPr>
          <w:rStyle w:val="None"/>
          <w:rFonts w:ascii="Helvetica" w:hAnsi="Helvetica"/>
          <w:rtl w:val="0"/>
          <w:lang w:val="en-US"/>
        </w:rPr>
        <w:t>558. Society for the Study of Amphibians; Reptiles.</w:t>
      </w:r>
      <w:bookmarkEnd w:id="56"/>
    </w:p>
    <w:p>
      <w:pPr>
        <w:pStyle w:val="Body A"/>
        <w:spacing w:line="480" w:lineRule="auto"/>
        <w:ind w:left="720" w:hanging="720"/>
        <w:rPr>
          <w:rFonts w:ascii="Helvetica" w:cs="Helvetica" w:hAnsi="Helvetica" w:eastAsia="Helvetica"/>
        </w:rPr>
      </w:pPr>
      <w:bookmarkStart w:name="refKraus2010" w:id="57"/>
      <w:r>
        <w:rPr>
          <w:rStyle w:val="None"/>
          <w:rFonts w:ascii="Helvetica" w:hAnsi="Helvetica"/>
          <w:rtl w:val="0"/>
          <w:lang w:val="de-DE"/>
        </w:rPr>
        <w:t xml:space="preserve">Kraus, F. 2010.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"https://doi.org/10.3897/zookeys.48.446"</w:instrText>
      </w:r>
      <w:r>
        <w:rPr>
          <w:rStyle w:val="Hyperlink.1"/>
          <w:rFonts w:ascii="Helvetica" w:cs="Helvetica" w:hAnsi="Helvetica" w:eastAsia="Helvetica"/>
        </w:rPr>
        <w:fldChar w:fldCharType="separate" w:fldLock="0"/>
      </w:r>
      <w:r>
        <w:rPr>
          <w:rStyle w:val="Hyperlink.1"/>
          <w:rFonts w:ascii="Helvetica" w:hAnsi="Helvetica"/>
          <w:rtl w:val="0"/>
          <w:lang w:val="en-US"/>
        </w:rPr>
        <w:t>New genus of diminutive microhylid frogs from papua new guinea</w:t>
      </w:r>
      <w:r>
        <w:rPr>
          <w:rFonts w:ascii="Helvetica" w:cs="Helvetica" w:hAnsi="Helvetica" w:eastAsia="Helvetica"/>
        </w:rPr>
        <w:fldChar w:fldCharType="end" w:fldLock="0"/>
      </w:r>
      <w:r>
        <w:rPr>
          <w:rFonts w:ascii="Helvetica" w:hAnsi="Helvetica"/>
          <w:rtl w:val="0"/>
        </w:rPr>
        <w:t>. ZOOKEYS 39</w:t>
      </w:r>
      <w:r>
        <w:rPr>
          <w:rFonts w:ascii="Helvetica" w:hAnsi="Helvetica" w:hint="default"/>
          <w:rtl w:val="0"/>
        </w:rPr>
        <w:t>–</w:t>
      </w:r>
      <w:r>
        <w:rPr>
          <w:rFonts w:ascii="Helvetica" w:hAnsi="Helvetica"/>
          <w:rtl w:val="0"/>
        </w:rPr>
        <w:t>59.</w:t>
      </w:r>
      <w:bookmarkEnd w:id="57"/>
    </w:p>
    <w:p>
      <w:pPr>
        <w:pStyle w:val="Body A"/>
        <w:spacing w:line="480" w:lineRule="auto"/>
        <w:ind w:left="720" w:hanging="720"/>
        <w:rPr>
          <w:rFonts w:ascii="Helvetica" w:cs="Helvetica" w:hAnsi="Helvetica" w:eastAsia="Helvetica"/>
        </w:rPr>
      </w:pPr>
      <w:bookmarkStart w:name="refKraus2016" w:id="58"/>
      <w:r>
        <w:rPr>
          <w:rStyle w:val="None"/>
          <w:rFonts w:ascii="Helvetica" w:hAnsi="Helvetica"/>
          <w:rtl w:val="0"/>
          <w:lang w:val="de-DE"/>
        </w:rPr>
        <w:t xml:space="preserve">Kraus, F. 2016.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"https://doi.org/10.11646/zootaxa.4195.1.1"</w:instrText>
      </w:r>
      <w:r>
        <w:rPr>
          <w:rStyle w:val="Hyperlink.1"/>
          <w:rFonts w:ascii="Helvetica" w:cs="Helvetica" w:hAnsi="Helvetica" w:eastAsia="Helvetica"/>
        </w:rPr>
        <w:fldChar w:fldCharType="separate" w:fldLock="0"/>
      </w:r>
      <w:r>
        <w:rPr>
          <w:rStyle w:val="Hyperlink.1"/>
          <w:rFonts w:ascii="Helvetica" w:hAnsi="Helvetica"/>
          <w:rtl w:val="0"/>
          <w:lang w:val="en-US"/>
        </w:rPr>
        <w:t>Ten new species of oreophryne (anura, microhylidae) from papua new guinea</w:t>
      </w:r>
      <w:r>
        <w:rPr>
          <w:rFonts w:ascii="Helvetica" w:cs="Helvetica" w:hAnsi="Helvetica" w:eastAsia="Helvetica"/>
        </w:rPr>
        <w:fldChar w:fldCharType="end" w:fldLock="0"/>
      </w:r>
      <w:r>
        <w:rPr>
          <w:rStyle w:val="None"/>
          <w:rFonts w:ascii="Helvetica" w:hAnsi="Helvetica"/>
          <w:rtl w:val="0"/>
          <w:lang w:val="pt-PT"/>
        </w:rPr>
        <w:t>. Zootaxa 4195:1</w:t>
      </w:r>
      <w:r>
        <w:rPr>
          <w:rFonts w:ascii="Helvetica" w:hAnsi="Helvetica" w:hint="default"/>
          <w:rtl w:val="0"/>
        </w:rPr>
        <w:t>–</w:t>
      </w:r>
      <w:r>
        <w:rPr>
          <w:rStyle w:val="None"/>
          <w:rFonts w:ascii="Helvetica" w:hAnsi="Helvetica"/>
          <w:rtl w:val="0"/>
          <w:lang w:val="it-IT"/>
        </w:rPr>
        <w:t>68. Magnolia Press.</w:t>
      </w:r>
      <w:bookmarkEnd w:id="58"/>
    </w:p>
    <w:p>
      <w:pPr>
        <w:pStyle w:val="Body A"/>
        <w:spacing w:line="480" w:lineRule="auto"/>
        <w:ind w:left="720" w:hanging="720"/>
        <w:rPr>
          <w:rFonts w:ascii="Helvetica" w:cs="Helvetica" w:hAnsi="Helvetica" w:eastAsia="Helvetica"/>
        </w:rPr>
      </w:pPr>
      <w:bookmarkStart w:name="refKraus2013" w:id="59"/>
      <w:r>
        <w:rPr>
          <w:rStyle w:val="None"/>
          <w:rFonts w:ascii="Helvetica" w:hAnsi="Helvetica"/>
          <w:rtl w:val="0"/>
          <w:lang w:val="de-DE"/>
        </w:rPr>
        <w:t xml:space="preserve">Kraus, F. 2013.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"https://doi.org/10.3897/zookeys.330.5795"</w:instrText>
      </w:r>
      <w:r>
        <w:rPr>
          <w:rStyle w:val="Hyperlink.1"/>
          <w:rFonts w:ascii="Helvetica" w:cs="Helvetica" w:hAnsi="Helvetica" w:eastAsia="Helvetica"/>
        </w:rPr>
        <w:fldChar w:fldCharType="separate" w:fldLock="0"/>
      </w:r>
      <w:r>
        <w:rPr>
          <w:rStyle w:val="Hyperlink.1"/>
          <w:rFonts w:ascii="Helvetica" w:hAnsi="Helvetica"/>
          <w:rtl w:val="0"/>
          <w:lang w:val="en-US"/>
        </w:rPr>
        <w:t>Three new species of &lt;i&gt;oreophryne&lt;/i&gt; (anura, microhylidae) from papua new guinea</w:t>
      </w:r>
      <w:r>
        <w:rPr>
          <w:rFonts w:ascii="Helvetica" w:cs="Helvetica" w:hAnsi="Helvetica" w:eastAsia="Helvetica"/>
        </w:rPr>
        <w:fldChar w:fldCharType="end" w:fldLock="0"/>
      </w:r>
      <w:r>
        <w:rPr>
          <w:rFonts w:ascii="Helvetica" w:hAnsi="Helvetica"/>
          <w:rtl w:val="0"/>
        </w:rPr>
        <w:t>. ZOOKEYS 93</w:t>
      </w:r>
      <w:r>
        <w:rPr>
          <w:rFonts w:ascii="Helvetica" w:hAnsi="Helvetica" w:hint="default"/>
          <w:rtl w:val="0"/>
        </w:rPr>
        <w:t>–</w:t>
      </w:r>
      <w:r>
        <w:rPr>
          <w:rFonts w:ascii="Helvetica" w:hAnsi="Helvetica"/>
          <w:rtl w:val="0"/>
        </w:rPr>
        <w:t>121.</w:t>
      </w:r>
      <w:bookmarkEnd w:id="59"/>
    </w:p>
    <w:p>
      <w:pPr>
        <w:pStyle w:val="Body A"/>
        <w:spacing w:line="480" w:lineRule="auto"/>
        <w:ind w:left="720" w:hanging="720"/>
        <w:rPr>
          <w:rFonts w:ascii="Helvetica" w:cs="Helvetica" w:hAnsi="Helvetica" w:eastAsia="Helvetica"/>
        </w:rPr>
      </w:pPr>
      <w:bookmarkStart w:name="refKraus2009" w:id="60"/>
      <w:r>
        <w:rPr>
          <w:rStyle w:val="None"/>
          <w:rFonts w:ascii="Helvetica" w:hAnsi="Helvetica"/>
          <w:rtl w:val="0"/>
          <w:lang w:val="en-US"/>
        </w:rPr>
        <w:t xml:space="preserve">Kraus, F., and A. Allison. 2009.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"https://doi.org/10.3897/zookeys.26.258"</w:instrText>
      </w:r>
      <w:r>
        <w:rPr>
          <w:rStyle w:val="Hyperlink.1"/>
          <w:rFonts w:ascii="Helvetica" w:cs="Helvetica" w:hAnsi="Helvetica" w:eastAsia="Helvetica"/>
        </w:rPr>
        <w:fldChar w:fldCharType="separate" w:fldLock="0"/>
      </w:r>
      <w:r>
        <w:rPr>
          <w:rStyle w:val="Hyperlink.1"/>
          <w:rFonts w:ascii="Helvetica" w:hAnsi="Helvetica"/>
          <w:rtl w:val="0"/>
          <w:lang w:val="en-US"/>
        </w:rPr>
        <w:t>New microhylid frogs from the muller range, papua new guinea</w:t>
      </w:r>
      <w:r>
        <w:rPr>
          <w:rFonts w:ascii="Helvetica" w:cs="Helvetica" w:hAnsi="Helvetica" w:eastAsia="Helvetica"/>
        </w:rPr>
        <w:fldChar w:fldCharType="end" w:fldLock="0"/>
      </w:r>
      <w:r>
        <w:rPr>
          <w:rStyle w:val="None"/>
          <w:rFonts w:ascii="Helvetica" w:hAnsi="Helvetica"/>
          <w:rtl w:val="0"/>
          <w:lang w:val="en-US"/>
        </w:rPr>
        <w:t>. ZooKeys 26:53</w:t>
      </w:r>
      <w:r>
        <w:rPr>
          <w:rFonts w:ascii="Helvetica" w:hAnsi="Helvetica" w:hint="default"/>
          <w:rtl w:val="0"/>
        </w:rPr>
        <w:t>–</w:t>
      </w:r>
      <w:r>
        <w:rPr>
          <w:rFonts w:ascii="Helvetica" w:hAnsi="Helvetica"/>
          <w:rtl w:val="0"/>
        </w:rPr>
        <w:t>76.</w:t>
      </w:r>
      <w:bookmarkEnd w:id="60"/>
    </w:p>
    <w:p>
      <w:pPr>
        <w:pStyle w:val="Body A"/>
        <w:spacing w:line="480" w:lineRule="auto"/>
        <w:ind w:left="720" w:hanging="720"/>
        <w:rPr>
          <w:rFonts w:ascii="Helvetica" w:cs="Helvetica" w:hAnsi="Helvetica" w:eastAsia="Helvetica"/>
        </w:rPr>
      </w:pPr>
      <w:bookmarkStart w:name="refKraus2004" w:id="61"/>
      <w:r>
        <w:rPr>
          <w:rStyle w:val="None"/>
          <w:rFonts w:ascii="Helvetica" w:hAnsi="Helvetica"/>
          <w:rtl w:val="0"/>
          <w:lang w:val="en-US"/>
        </w:rPr>
        <w:t>Kraus, F., and A. Allison. 2004. Notes on poorly known new guinea frogs. I. Microhylids from the d</w:t>
      </w:r>
      <w:r>
        <w:rPr>
          <w:rStyle w:val="None"/>
          <w:rFonts w:ascii="Helvetica" w:hAnsi="Helvetica" w:hint="default"/>
          <w:rtl w:val="1"/>
        </w:rPr>
        <w:t>’</w:t>
      </w:r>
      <w:r>
        <w:rPr>
          <w:rStyle w:val="None"/>
          <w:rFonts w:ascii="Helvetica" w:hAnsi="Helvetica"/>
          <w:rtl w:val="0"/>
          <w:lang w:val="fr-FR"/>
        </w:rPr>
        <w:t>entrecasteaux islands. HERPETOFAUNA-SYDNEY- 34:26</w:t>
      </w:r>
      <w:r>
        <w:rPr>
          <w:rFonts w:ascii="Helvetica" w:hAnsi="Helvetica" w:hint="default"/>
          <w:rtl w:val="0"/>
        </w:rPr>
        <w:t>–</w:t>
      </w:r>
      <w:r>
        <w:rPr>
          <w:rStyle w:val="None"/>
          <w:rFonts w:ascii="Helvetica" w:hAnsi="Helvetica"/>
          <w:rtl w:val="0"/>
          <w:lang w:val="de-DE"/>
        </w:rPr>
        <w:t>39. AUSTRALASIAN AFFILIATION OF HERPETOLOGICAL.</w:t>
      </w:r>
      <w:bookmarkEnd w:id="61"/>
    </w:p>
    <w:p>
      <w:pPr>
        <w:pStyle w:val="Body A"/>
        <w:spacing w:line="480" w:lineRule="auto"/>
        <w:ind w:left="720" w:hanging="720"/>
        <w:rPr>
          <w:rFonts w:ascii="Helvetica" w:cs="Helvetica" w:hAnsi="Helvetica" w:eastAsia="Helvetica"/>
        </w:rPr>
      </w:pPr>
      <w:bookmarkStart w:name="refLanfear2012" w:id="62"/>
      <w:r>
        <w:rPr>
          <w:rStyle w:val="None"/>
          <w:rFonts w:ascii="Helvetica" w:hAnsi="Helvetica"/>
          <w:rtl w:val="0"/>
          <w:lang w:val="en-US"/>
        </w:rPr>
        <w:t xml:space="preserve">Lanfear, R., B. Calcott, S. Y. W. Ho, and S. Guindon. 2012.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"https://doi.org/10.1093/molbev/mss020"</w:instrText>
      </w:r>
      <w:r>
        <w:rPr>
          <w:rStyle w:val="Hyperlink.1"/>
          <w:rFonts w:ascii="Helvetica" w:cs="Helvetica" w:hAnsi="Helvetica" w:eastAsia="Helvetica"/>
        </w:rPr>
        <w:fldChar w:fldCharType="separate" w:fldLock="0"/>
      </w:r>
      <w:r>
        <w:rPr>
          <w:rStyle w:val="Hyperlink.1"/>
          <w:rFonts w:ascii="Helvetica" w:hAnsi="Helvetica"/>
          <w:rtl w:val="0"/>
          <w:lang w:val="en-US"/>
        </w:rPr>
        <w:t>PartitionFinder: Combined Selection of Partitioning Schemes and Substitution Models for Phylogenetic Analyses</w:t>
      </w:r>
      <w:r>
        <w:rPr>
          <w:rFonts w:ascii="Helvetica" w:cs="Helvetica" w:hAnsi="Helvetica" w:eastAsia="Helvetica"/>
        </w:rPr>
        <w:fldChar w:fldCharType="end" w:fldLock="0"/>
      </w:r>
      <w:r>
        <w:rPr>
          <w:rStyle w:val="None"/>
          <w:rFonts w:ascii="Helvetica" w:hAnsi="Helvetica"/>
          <w:rtl w:val="0"/>
          <w:lang w:val="en-US"/>
        </w:rPr>
        <w:t>. Molecular Biology and Evolution 29:1695</w:t>
      </w:r>
      <w:r>
        <w:rPr>
          <w:rFonts w:ascii="Helvetica" w:hAnsi="Helvetica" w:hint="default"/>
          <w:rtl w:val="0"/>
        </w:rPr>
        <w:t>–</w:t>
      </w:r>
      <w:r>
        <w:rPr>
          <w:rFonts w:ascii="Helvetica" w:hAnsi="Helvetica"/>
          <w:rtl w:val="0"/>
        </w:rPr>
        <w:t>1701.</w:t>
      </w:r>
      <w:bookmarkEnd w:id="62"/>
    </w:p>
    <w:p>
      <w:pPr>
        <w:pStyle w:val="Body A"/>
        <w:spacing w:line="480" w:lineRule="auto"/>
        <w:ind w:left="720" w:hanging="720"/>
        <w:rPr>
          <w:rFonts w:ascii="Helvetica" w:cs="Helvetica" w:hAnsi="Helvetica" w:eastAsia="Helvetica"/>
        </w:rPr>
      </w:pPr>
      <w:bookmarkStart w:name="refLoveridge1955" w:id="63"/>
      <w:r>
        <w:rPr>
          <w:rStyle w:val="None"/>
          <w:rFonts w:ascii="Helvetica" w:hAnsi="Helvetica"/>
          <w:rtl w:val="0"/>
          <w:lang w:val="en-US"/>
        </w:rPr>
        <w:t>Loveridge, A. 1955. New frogs of the genera asterophrys and oreophryne from new guinea. Breviora. Museum of Comparative Zoology, Cambridge, Massachusetts 50:1</w:t>
      </w:r>
      <w:r>
        <w:rPr>
          <w:rFonts w:ascii="Helvetica" w:hAnsi="Helvetica" w:hint="default"/>
          <w:rtl w:val="0"/>
        </w:rPr>
        <w:t>–</w:t>
      </w:r>
      <w:r>
        <w:rPr>
          <w:rFonts w:ascii="Helvetica" w:hAnsi="Helvetica"/>
          <w:rtl w:val="0"/>
        </w:rPr>
        <w:t>5.</w:t>
      </w:r>
      <w:bookmarkEnd w:id="63"/>
    </w:p>
    <w:p>
      <w:pPr>
        <w:pStyle w:val="Body A"/>
        <w:spacing w:line="480" w:lineRule="auto"/>
        <w:ind w:left="720" w:hanging="720"/>
        <w:rPr>
          <w:rFonts w:ascii="Helvetica" w:cs="Helvetica" w:hAnsi="Helvetica" w:eastAsia="Helvetica"/>
        </w:rPr>
      </w:pPr>
      <w:bookmarkStart w:name="refMaddison2023" w:id="64"/>
      <w:r>
        <w:rPr>
          <w:rStyle w:val="None"/>
          <w:rFonts w:ascii="Helvetica" w:hAnsi="Helvetica"/>
          <w:rtl w:val="0"/>
          <w:lang w:val="en-US"/>
        </w:rPr>
        <w:t xml:space="preserve">Maddison, W. P., and D. R. Maddison. 2023.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"http://www.mesquiteproject.org"</w:instrText>
      </w:r>
      <w:r>
        <w:rPr>
          <w:rStyle w:val="Hyperlink.1"/>
          <w:rFonts w:ascii="Helvetica" w:cs="Helvetica" w:hAnsi="Helvetica" w:eastAsia="Helvetica"/>
        </w:rPr>
        <w:fldChar w:fldCharType="separate" w:fldLock="0"/>
      </w:r>
      <w:r>
        <w:rPr>
          <w:rStyle w:val="Hyperlink.1"/>
          <w:rFonts w:ascii="Helvetica" w:hAnsi="Helvetica"/>
          <w:rtl w:val="0"/>
          <w:lang w:val="en-US"/>
        </w:rPr>
        <w:t>Mesquite: A modular system for evolutionary analysis</w:t>
      </w:r>
      <w:r>
        <w:rPr>
          <w:rFonts w:ascii="Helvetica" w:cs="Helvetica" w:hAnsi="Helvetica" w:eastAsia="Helvetica"/>
        </w:rPr>
        <w:fldChar w:fldCharType="end" w:fldLock="0"/>
      </w:r>
      <w:r>
        <w:rPr>
          <w:rFonts w:ascii="Helvetica" w:hAnsi="Helvetica"/>
          <w:rtl w:val="0"/>
        </w:rPr>
        <w:t>.</w:t>
      </w:r>
      <w:bookmarkEnd w:id="64"/>
    </w:p>
    <w:p>
      <w:pPr>
        <w:pStyle w:val="Body A"/>
        <w:spacing w:line="480" w:lineRule="auto"/>
        <w:ind w:left="720" w:hanging="720"/>
        <w:rPr>
          <w:rFonts w:ascii="Helvetica" w:cs="Helvetica" w:hAnsi="Helvetica" w:eastAsia="Helvetica"/>
        </w:rPr>
      </w:pPr>
      <w:bookmarkStart w:name="refMassicotte2023" w:id="65"/>
      <w:r>
        <w:rPr>
          <w:rStyle w:val="None"/>
          <w:rFonts w:ascii="Helvetica" w:hAnsi="Helvetica"/>
          <w:rtl w:val="0"/>
          <w:lang w:val="it-IT"/>
        </w:rPr>
        <w:t xml:space="preserve">Massicotte, P., and A. South. 2023.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"https://CRAN.R-project.org/package=rnaturalearth"</w:instrText>
      </w:r>
      <w:r>
        <w:rPr>
          <w:rStyle w:val="Hyperlink.1"/>
          <w:rFonts w:ascii="Helvetica" w:cs="Helvetica" w:hAnsi="Helvetica" w:eastAsia="Helvetica"/>
        </w:rPr>
        <w:fldChar w:fldCharType="separate" w:fldLock="0"/>
      </w:r>
      <w:r>
        <w:rPr>
          <w:rStyle w:val="Hyperlink.1"/>
          <w:rFonts w:ascii="Helvetica" w:hAnsi="Helvetica"/>
          <w:rtl w:val="0"/>
          <w:lang w:val="en-US"/>
        </w:rPr>
        <w:t>Rnaturalearth: World map data from natural earth</w:t>
      </w:r>
      <w:r>
        <w:rPr>
          <w:rFonts w:ascii="Helvetica" w:cs="Helvetica" w:hAnsi="Helvetica" w:eastAsia="Helvetica"/>
        </w:rPr>
        <w:fldChar w:fldCharType="end" w:fldLock="0"/>
      </w:r>
      <w:r>
        <w:rPr>
          <w:rFonts w:ascii="Helvetica" w:hAnsi="Helvetica"/>
          <w:rtl w:val="0"/>
        </w:rPr>
        <w:t>.</w:t>
      </w:r>
      <w:bookmarkEnd w:id="65"/>
    </w:p>
    <w:p>
      <w:pPr>
        <w:pStyle w:val="Body A"/>
        <w:spacing w:line="480" w:lineRule="auto"/>
        <w:ind w:left="720" w:hanging="720"/>
        <w:rPr>
          <w:rFonts w:ascii="Helvetica" w:cs="Helvetica" w:hAnsi="Helvetica" w:eastAsia="Helvetica"/>
        </w:rPr>
      </w:pPr>
      <w:bookmarkStart w:name="refMehely1897" w:id="66"/>
      <w:r>
        <w:rPr>
          <w:rFonts w:ascii="Helvetica" w:hAnsi="Helvetica"/>
          <w:rtl w:val="0"/>
        </w:rPr>
        <w:t>M</w:t>
      </w:r>
      <w:r>
        <w:rPr>
          <w:rStyle w:val="None"/>
          <w:rFonts w:ascii="Helvetica" w:hAnsi="Helvetica" w:hint="default"/>
          <w:rtl w:val="0"/>
          <w:lang w:val="fr-FR"/>
        </w:rPr>
        <w:t>é</w:t>
      </w:r>
      <w:r>
        <w:rPr>
          <w:rStyle w:val="None"/>
          <w:rFonts w:ascii="Helvetica" w:hAnsi="Helvetica"/>
          <w:rtl w:val="0"/>
          <w:lang w:val="en-US"/>
        </w:rPr>
        <w:t>hely, L. 1897. Further contributions to the herpetology of new-guinea. Term</w:t>
      </w:r>
      <w:r>
        <w:rPr>
          <w:rStyle w:val="None"/>
          <w:rFonts w:ascii="Helvetica" w:hAnsi="Helvetica" w:hint="default"/>
          <w:rtl w:val="0"/>
          <w:lang w:val="fr-FR"/>
        </w:rPr>
        <w:t>é</w:t>
      </w:r>
      <w:r>
        <w:rPr>
          <w:rFonts w:ascii="Helvetica" w:hAnsi="Helvetica"/>
          <w:rtl w:val="0"/>
        </w:rPr>
        <w:t>szetrajzi F</w:t>
      </w:r>
      <w:r>
        <w:rPr>
          <w:rFonts w:ascii="Helvetica" w:hAnsi="Helvetica" w:hint="default"/>
          <w:rtl w:val="0"/>
        </w:rPr>
        <w:t>ü</w:t>
      </w:r>
      <w:r>
        <w:rPr>
          <w:rFonts w:ascii="Helvetica" w:hAnsi="Helvetica"/>
          <w:rtl w:val="0"/>
        </w:rPr>
        <w:t>zetek 20:398</w:t>
      </w:r>
      <w:r>
        <w:rPr>
          <w:rFonts w:ascii="Helvetica" w:hAnsi="Helvetica" w:hint="default"/>
          <w:rtl w:val="0"/>
        </w:rPr>
        <w:t>–</w:t>
      </w:r>
      <w:r>
        <w:rPr>
          <w:rFonts w:ascii="Helvetica" w:hAnsi="Helvetica"/>
          <w:rtl w:val="0"/>
        </w:rPr>
        <w:t>419.</w:t>
      </w:r>
      <w:bookmarkEnd w:id="66"/>
    </w:p>
    <w:p>
      <w:pPr>
        <w:pStyle w:val="Body A"/>
        <w:spacing w:line="480" w:lineRule="auto"/>
        <w:ind w:left="720" w:hanging="720"/>
        <w:rPr>
          <w:rFonts w:ascii="Helvetica" w:cs="Helvetica" w:hAnsi="Helvetica" w:eastAsia="Helvetica"/>
        </w:rPr>
      </w:pPr>
      <w:bookmarkStart w:name="refMenzies2006" w:id="67"/>
      <w:r>
        <w:rPr>
          <w:rStyle w:val="None"/>
          <w:rFonts w:ascii="Helvetica" w:hAnsi="Helvetica"/>
          <w:rtl w:val="0"/>
          <w:lang w:val="en-US"/>
        </w:rPr>
        <w:t>Menzies, J. 2006. The frogs of new guinea and the solomon islands. Pensoft Publishers.</w:t>
      </w:r>
      <w:bookmarkEnd w:id="67"/>
    </w:p>
    <w:p>
      <w:pPr>
        <w:pStyle w:val="Body A"/>
        <w:spacing w:line="480" w:lineRule="auto"/>
        <w:ind w:left="720" w:hanging="720"/>
        <w:rPr>
          <w:rFonts w:ascii="Helvetica" w:cs="Helvetica" w:hAnsi="Helvetica" w:eastAsia="Helvetica"/>
        </w:rPr>
      </w:pPr>
      <w:bookmarkStart w:name="refMinh2020" w:id="68"/>
      <w:r>
        <w:rPr>
          <w:rStyle w:val="None"/>
          <w:rFonts w:ascii="Helvetica" w:hAnsi="Helvetica"/>
          <w:rtl w:val="0"/>
          <w:lang w:val="de-DE"/>
        </w:rPr>
        <w:t xml:space="preserve">Minh, B. Q., H. A. Schmidt, O. Chernomor, D. Schrempf, M. D. Woodhams, A. von Haeseler, and R. Lanfear. 2020.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"https://doi.org/10.1093/molbev/msaa015"</w:instrText>
      </w:r>
      <w:r>
        <w:rPr>
          <w:rStyle w:val="Hyperlink.1"/>
          <w:rFonts w:ascii="Helvetica" w:cs="Helvetica" w:hAnsi="Helvetica" w:eastAsia="Helvetica"/>
        </w:rPr>
        <w:fldChar w:fldCharType="separate" w:fldLock="0"/>
      </w:r>
      <w:r>
        <w:rPr>
          <w:rStyle w:val="Hyperlink.1"/>
          <w:rFonts w:ascii="Helvetica" w:hAnsi="Helvetica"/>
          <w:rtl w:val="0"/>
          <w:lang w:val="en-US"/>
        </w:rPr>
        <w:t>IQ-TREE 2: New models and efficient methods for phylogenetic inference in the genomic era</w:t>
      </w:r>
      <w:r>
        <w:rPr>
          <w:rFonts w:ascii="Helvetica" w:cs="Helvetica" w:hAnsi="Helvetica" w:eastAsia="Helvetica"/>
        </w:rPr>
        <w:fldChar w:fldCharType="end" w:fldLock="0"/>
      </w:r>
      <w:r>
        <w:rPr>
          <w:rStyle w:val="None"/>
          <w:rFonts w:ascii="Helvetica" w:hAnsi="Helvetica"/>
          <w:rtl w:val="0"/>
          <w:lang w:val="en-US"/>
        </w:rPr>
        <w:t>. Molecular Biology and Evolution 37:1530</w:t>
      </w:r>
      <w:r>
        <w:rPr>
          <w:rFonts w:ascii="Helvetica" w:hAnsi="Helvetica" w:hint="default"/>
          <w:rtl w:val="0"/>
        </w:rPr>
        <w:t>–</w:t>
      </w:r>
      <w:r>
        <w:rPr>
          <w:rFonts w:ascii="Helvetica" w:hAnsi="Helvetica"/>
          <w:rtl w:val="0"/>
        </w:rPr>
        <w:t>1534.</w:t>
      </w:r>
      <w:bookmarkEnd w:id="68"/>
    </w:p>
    <w:p>
      <w:pPr>
        <w:pStyle w:val="Body A"/>
        <w:spacing w:line="480" w:lineRule="auto"/>
        <w:ind w:left="720" w:hanging="720"/>
        <w:rPr>
          <w:rFonts w:ascii="Helvetica" w:cs="Helvetica" w:hAnsi="Helvetica" w:eastAsia="Helvetica"/>
        </w:rPr>
      </w:pPr>
      <w:bookmarkStart w:name="refMuller1894" w:id="69"/>
      <w:r>
        <w:rPr>
          <w:rFonts w:ascii="Helvetica" w:hAnsi="Helvetica"/>
          <w:rtl w:val="0"/>
        </w:rPr>
        <w:t>M</w:t>
      </w:r>
      <w:r>
        <w:rPr>
          <w:rFonts w:ascii="Helvetica" w:hAnsi="Helvetica" w:hint="default"/>
          <w:rtl w:val="0"/>
        </w:rPr>
        <w:t>ü</w:t>
      </w:r>
      <w:r>
        <w:rPr>
          <w:rStyle w:val="None"/>
          <w:rFonts w:ascii="Helvetica" w:hAnsi="Helvetica"/>
          <w:rtl w:val="0"/>
          <w:lang w:val="de-DE"/>
        </w:rPr>
        <w:t>ller, F. 1894. Reptilien und amphibien aus celebes. Verhandlungen der Naturforschenden Gesellschaft in Basel 10:825</w:t>
      </w:r>
      <w:r>
        <w:rPr>
          <w:rFonts w:ascii="Helvetica" w:hAnsi="Helvetica" w:hint="default"/>
          <w:rtl w:val="0"/>
        </w:rPr>
        <w:t>–</w:t>
      </w:r>
      <w:r>
        <w:rPr>
          <w:rFonts w:ascii="Helvetica" w:hAnsi="Helvetica"/>
          <w:rtl w:val="0"/>
        </w:rPr>
        <w:t>843.</w:t>
      </w:r>
      <w:bookmarkEnd w:id="69"/>
    </w:p>
    <w:p>
      <w:pPr>
        <w:pStyle w:val="Body A"/>
        <w:spacing w:line="480" w:lineRule="auto"/>
        <w:ind w:left="720" w:hanging="720"/>
        <w:rPr>
          <w:rFonts w:ascii="Helvetica" w:cs="Helvetica" w:hAnsi="Helvetica" w:eastAsia="Helvetica"/>
        </w:rPr>
      </w:pPr>
      <w:bookmarkStart w:name="refNieden1926" w:id="70"/>
      <w:r>
        <w:rPr>
          <w:rStyle w:val="None"/>
          <w:rFonts w:ascii="Helvetica" w:hAnsi="Helvetica"/>
          <w:rtl w:val="0"/>
          <w:lang w:val="de-DE"/>
        </w:rPr>
        <w:t>Nieden, F. 1926. Anura II. engystomatidae. Das Tierreich 49:1</w:t>
      </w:r>
      <w:r>
        <w:rPr>
          <w:rFonts w:ascii="Helvetica" w:hAnsi="Helvetica" w:hint="default"/>
          <w:rtl w:val="0"/>
        </w:rPr>
        <w:t>–</w:t>
      </w:r>
      <w:r>
        <w:rPr>
          <w:rFonts w:ascii="Helvetica" w:hAnsi="Helvetica"/>
          <w:rtl w:val="0"/>
        </w:rPr>
        <w:t>110.</w:t>
      </w:r>
      <w:bookmarkEnd w:id="70"/>
    </w:p>
    <w:p>
      <w:pPr>
        <w:pStyle w:val="Body A"/>
        <w:spacing w:line="480" w:lineRule="auto"/>
        <w:ind w:left="720" w:hanging="720"/>
        <w:rPr>
          <w:rFonts w:ascii="Helvetica" w:cs="Helvetica" w:hAnsi="Helvetica" w:eastAsia="Helvetica"/>
        </w:rPr>
      </w:pPr>
      <w:bookmarkStart w:name="refParker1934" w:id="71"/>
      <w:r>
        <w:rPr>
          <w:rStyle w:val="None"/>
          <w:rFonts w:ascii="Helvetica" w:hAnsi="Helvetica"/>
          <w:rtl w:val="0"/>
          <w:lang w:val="en-US"/>
        </w:rPr>
        <w:t>Parker, H. W. 1934. A monograph of the frogs of the family microhylidae. London: Trustees of the British Museum.</w:t>
      </w:r>
      <w:bookmarkEnd w:id="71"/>
    </w:p>
    <w:p>
      <w:pPr>
        <w:pStyle w:val="Body A"/>
        <w:spacing w:line="480" w:lineRule="auto"/>
        <w:ind w:left="720" w:hanging="720"/>
        <w:rPr>
          <w:rFonts w:ascii="Helvetica" w:cs="Helvetica" w:hAnsi="Helvetica" w:eastAsia="Helvetica"/>
        </w:rPr>
      </w:pPr>
      <w:bookmarkStart w:name="refPebesma2018" w:id="72"/>
      <w:r>
        <w:rPr>
          <w:rFonts w:ascii="Helvetica" w:hAnsi="Helvetica"/>
          <w:rtl w:val="0"/>
        </w:rPr>
        <w:t xml:space="preserve">Pebesma, E. 2018.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"https://doi.org/10.32614/RJ-2018-009"</w:instrText>
      </w:r>
      <w:r>
        <w:rPr>
          <w:rStyle w:val="Hyperlink.1"/>
          <w:rFonts w:ascii="Helvetica" w:cs="Helvetica" w:hAnsi="Helvetica" w:eastAsia="Helvetica"/>
        </w:rPr>
        <w:fldChar w:fldCharType="separate" w:fldLock="0"/>
      </w:r>
      <w:r>
        <w:rPr>
          <w:rStyle w:val="Hyperlink.1"/>
          <w:rFonts w:ascii="Helvetica" w:hAnsi="Helvetica"/>
          <w:rtl w:val="0"/>
          <w:lang w:val="en-US"/>
        </w:rPr>
        <w:t>Simple Features for R: Standardized Support for Spatial Vector Data</w:t>
      </w:r>
      <w:r>
        <w:rPr>
          <w:rFonts w:ascii="Helvetica" w:cs="Helvetica" w:hAnsi="Helvetica" w:eastAsia="Helvetica"/>
        </w:rPr>
        <w:fldChar w:fldCharType="end" w:fldLock="0"/>
      </w:r>
      <w:r>
        <w:rPr>
          <w:rStyle w:val="None"/>
          <w:rFonts w:ascii="Helvetica" w:hAnsi="Helvetica"/>
          <w:rtl w:val="0"/>
          <w:lang w:val="en-US"/>
        </w:rPr>
        <w:t>. The R Journal 10:439</w:t>
      </w:r>
      <w:r>
        <w:rPr>
          <w:rFonts w:ascii="Helvetica" w:hAnsi="Helvetica" w:hint="default"/>
          <w:rtl w:val="0"/>
        </w:rPr>
        <w:t>–</w:t>
      </w:r>
      <w:r>
        <w:rPr>
          <w:rFonts w:ascii="Helvetica" w:hAnsi="Helvetica"/>
          <w:rtl w:val="0"/>
        </w:rPr>
        <w:t>446.</w:t>
      </w:r>
      <w:bookmarkEnd w:id="72"/>
    </w:p>
    <w:p>
      <w:pPr>
        <w:pStyle w:val="Body A"/>
        <w:spacing w:line="480" w:lineRule="auto"/>
        <w:ind w:left="720" w:hanging="720"/>
        <w:rPr>
          <w:rFonts w:ascii="Helvetica" w:cs="Helvetica" w:hAnsi="Helvetica" w:eastAsia="Helvetica"/>
        </w:rPr>
      </w:pPr>
      <w:bookmarkStart w:name="refPeters1878" w:id="73"/>
      <w:r>
        <w:rPr>
          <w:rStyle w:val="None"/>
          <w:rFonts w:ascii="Helvetica" w:hAnsi="Helvetica"/>
          <w:rtl w:val="0"/>
          <w:lang w:val="it-IT"/>
        </w:rPr>
        <w:t>Peters, W. C. H., and G. Doria. 1878. Catalogo dei rettili e dei batraci raccolti da o. Beccari, l.m. D</w:t>
      </w:r>
      <w:r>
        <w:rPr>
          <w:rStyle w:val="None"/>
          <w:rFonts w:ascii="Helvetica" w:hAnsi="Helvetica" w:hint="default"/>
          <w:rtl w:val="1"/>
        </w:rPr>
        <w:t>’</w:t>
      </w:r>
      <w:r>
        <w:rPr>
          <w:rStyle w:val="None"/>
          <w:rFonts w:ascii="Helvetica" w:hAnsi="Helvetica"/>
          <w:rtl w:val="0"/>
          <w:lang w:val="it-IT"/>
        </w:rPr>
        <w:t>albertis a.a. Bruijn nella sotto-regione austro-malese. Annali del Museo civico di storia naturale di Genova 13:323</w:t>
      </w:r>
      <w:r>
        <w:rPr>
          <w:rFonts w:ascii="Helvetica" w:hAnsi="Helvetica" w:hint="default"/>
          <w:rtl w:val="0"/>
        </w:rPr>
        <w:t>–</w:t>
      </w:r>
      <w:r>
        <w:rPr>
          <w:rFonts w:ascii="Helvetica" w:hAnsi="Helvetica"/>
          <w:rtl w:val="0"/>
        </w:rPr>
        <w:t>450.</w:t>
      </w:r>
      <w:bookmarkEnd w:id="73"/>
    </w:p>
    <w:p>
      <w:pPr>
        <w:pStyle w:val="Body A"/>
        <w:spacing w:line="480" w:lineRule="auto"/>
        <w:ind w:left="720" w:hanging="720"/>
        <w:rPr>
          <w:rFonts w:ascii="Helvetica" w:cs="Helvetica" w:hAnsi="Helvetica" w:eastAsia="Helvetica"/>
        </w:rPr>
      </w:pPr>
      <w:bookmarkStart w:name="refPutri2023" w:id="74"/>
      <w:r>
        <w:rPr>
          <w:rFonts w:ascii="Helvetica" w:hAnsi="Helvetica"/>
          <w:rtl w:val="0"/>
        </w:rPr>
        <w:t xml:space="preserve">Putri, A., W. TRILAKSONO, H. KURNIATI, A. Hitch, A. Jr, K. Widayati, A. Farajallah, and A. Hamidy. 2023.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"https://doi.org/10.11646/zootaxa.5353.5.4"</w:instrText>
      </w:r>
      <w:r>
        <w:rPr>
          <w:rStyle w:val="Hyperlink.1"/>
          <w:rFonts w:ascii="Helvetica" w:cs="Helvetica" w:hAnsi="Helvetica" w:eastAsia="Helvetica"/>
        </w:rPr>
        <w:fldChar w:fldCharType="separate" w:fldLock="0"/>
      </w:r>
      <w:r>
        <w:rPr>
          <w:rStyle w:val="Hyperlink.1"/>
          <w:rFonts w:ascii="Helvetica" w:hAnsi="Helvetica"/>
          <w:rtl w:val="0"/>
          <w:lang w:val="en-US"/>
        </w:rPr>
        <w:t>A new high elevation species of oreophryne boettger (anura: Microhylidae) from sulawesi, indonesia</w:t>
      </w:r>
      <w:r>
        <w:rPr>
          <w:rFonts w:ascii="Helvetica" w:cs="Helvetica" w:hAnsi="Helvetica" w:eastAsia="Helvetica"/>
        </w:rPr>
        <w:fldChar w:fldCharType="end" w:fldLock="0"/>
      </w:r>
      <w:r>
        <w:rPr>
          <w:rStyle w:val="None"/>
          <w:rFonts w:ascii="Helvetica" w:hAnsi="Helvetica"/>
          <w:rtl w:val="0"/>
          <w:lang w:val="pt-PT"/>
        </w:rPr>
        <w:t>. Zootaxa 5353:455</w:t>
      </w:r>
      <w:r>
        <w:rPr>
          <w:rFonts w:ascii="Helvetica" w:hAnsi="Helvetica" w:hint="default"/>
          <w:rtl w:val="0"/>
        </w:rPr>
        <w:t>–</w:t>
      </w:r>
      <w:r>
        <w:rPr>
          <w:rFonts w:ascii="Helvetica" w:hAnsi="Helvetica"/>
          <w:rtl w:val="0"/>
        </w:rPr>
        <w:t>467.</w:t>
      </w:r>
      <w:bookmarkEnd w:id="74"/>
    </w:p>
    <w:p>
      <w:pPr>
        <w:pStyle w:val="Body A"/>
        <w:spacing w:line="480" w:lineRule="auto"/>
        <w:ind w:left="720" w:hanging="720"/>
        <w:rPr>
          <w:rFonts w:ascii="Helvetica" w:cs="Helvetica" w:hAnsi="Helvetica" w:eastAsia="Helvetica"/>
        </w:rPr>
      </w:pPr>
      <w:bookmarkStart w:name="refR2024" w:id="75"/>
      <w:r>
        <w:rPr>
          <w:rStyle w:val="None"/>
          <w:rFonts w:ascii="Helvetica" w:hAnsi="Helvetica"/>
          <w:rtl w:val="0"/>
          <w:lang w:val="en-US"/>
        </w:rPr>
        <w:t xml:space="preserve">R Core Team. 2024.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"https://www.R-project.org/"</w:instrText>
      </w:r>
      <w:r>
        <w:rPr>
          <w:rStyle w:val="Hyperlink.1"/>
          <w:rFonts w:ascii="Helvetica" w:cs="Helvetica" w:hAnsi="Helvetica" w:eastAsia="Helvetica"/>
        </w:rPr>
        <w:fldChar w:fldCharType="separate" w:fldLock="0"/>
      </w:r>
      <w:r>
        <w:rPr>
          <w:rStyle w:val="Hyperlink.1"/>
          <w:rFonts w:ascii="Helvetica" w:hAnsi="Helvetica"/>
          <w:rtl w:val="0"/>
          <w:lang w:val="en-US"/>
        </w:rPr>
        <w:t>R: A language and environment for statistical computing</w:t>
      </w:r>
      <w:r>
        <w:rPr>
          <w:rFonts w:ascii="Helvetica" w:cs="Helvetica" w:hAnsi="Helvetica" w:eastAsia="Helvetica"/>
        </w:rPr>
        <w:fldChar w:fldCharType="end" w:fldLock="0"/>
      </w:r>
      <w:r>
        <w:rPr>
          <w:rStyle w:val="None"/>
          <w:rFonts w:ascii="Helvetica" w:hAnsi="Helvetica"/>
          <w:rtl w:val="0"/>
          <w:lang w:val="en-US"/>
        </w:rPr>
        <w:t>. R Foundation for Statistical Computing, Vienna, Austria.</w:t>
      </w:r>
      <w:bookmarkEnd w:id="75"/>
    </w:p>
    <w:p>
      <w:pPr>
        <w:pStyle w:val="Body A"/>
        <w:spacing w:line="480" w:lineRule="auto"/>
        <w:ind w:left="720" w:hanging="720"/>
        <w:rPr>
          <w:rFonts w:ascii="Helvetica" w:cs="Helvetica" w:hAnsi="Helvetica" w:eastAsia="Helvetica"/>
        </w:rPr>
      </w:pPr>
      <w:bookmarkStart w:name="refRivera2017" w:id="76"/>
      <w:r>
        <w:rPr>
          <w:rStyle w:val="None"/>
          <w:rFonts w:ascii="Helvetica" w:hAnsi="Helvetica"/>
          <w:rtl w:val="0"/>
          <w:lang w:val="en-US"/>
        </w:rPr>
        <w:t xml:space="preserve">Rivera, J. A., F. Kraus, A. Allison, and M. A. Butler. 2017.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"https://doi.org/10.1016/j.ympev.2017.04.008"</w:instrText>
      </w:r>
      <w:r>
        <w:rPr>
          <w:rStyle w:val="Hyperlink.1"/>
          <w:rFonts w:ascii="Helvetica" w:cs="Helvetica" w:hAnsi="Helvetica" w:eastAsia="Helvetica"/>
        </w:rPr>
        <w:fldChar w:fldCharType="separate" w:fldLock="0"/>
      </w:r>
      <w:r>
        <w:rPr>
          <w:rStyle w:val="Hyperlink.1"/>
          <w:rFonts w:ascii="Helvetica" w:hAnsi="Helvetica"/>
          <w:rtl w:val="0"/>
          <w:lang w:val="en-US"/>
        </w:rPr>
        <w:t>Molecular phylogenetics and dating of the problematic new guinea microhylid frogs (amphibia: Anura) reveals elevated speciation rates and need for taxonomic reclassification</w:t>
      </w:r>
      <w:r>
        <w:rPr>
          <w:rFonts w:ascii="Helvetica" w:cs="Helvetica" w:hAnsi="Helvetica" w:eastAsia="Helvetica"/>
        </w:rPr>
        <w:fldChar w:fldCharType="end" w:fldLock="0"/>
      </w:r>
      <w:r>
        <w:rPr>
          <w:rStyle w:val="None"/>
          <w:rFonts w:ascii="Helvetica" w:hAnsi="Helvetica"/>
          <w:rtl w:val="0"/>
          <w:lang w:val="en-US"/>
        </w:rPr>
        <w:t>. Molecular Phylogenetics and Evolution 112:1</w:t>
      </w:r>
      <w:r>
        <w:rPr>
          <w:rFonts w:ascii="Helvetica" w:hAnsi="Helvetica" w:hint="default"/>
          <w:rtl w:val="0"/>
        </w:rPr>
        <w:t>–</w:t>
      </w:r>
      <w:r>
        <w:rPr>
          <w:rStyle w:val="None"/>
          <w:rFonts w:ascii="Helvetica" w:hAnsi="Helvetica"/>
          <w:rtl w:val="0"/>
          <w:lang w:val="en-US"/>
        </w:rPr>
        <w:t>11. Academic Press Inc.</w:t>
      </w:r>
      <w:bookmarkEnd w:id="76"/>
    </w:p>
    <w:p>
      <w:pPr>
        <w:pStyle w:val="Body A"/>
        <w:spacing w:line="480" w:lineRule="auto"/>
        <w:ind w:left="720" w:hanging="720"/>
        <w:rPr>
          <w:rFonts w:ascii="Helvetica" w:cs="Helvetica" w:hAnsi="Helvetica" w:eastAsia="Helvetica"/>
        </w:rPr>
      </w:pPr>
      <w:bookmarkStart w:name="refSetiadi2010" w:id="77"/>
      <w:r>
        <w:rPr>
          <w:rStyle w:val="None"/>
          <w:rFonts w:ascii="Helvetica" w:hAnsi="Helvetica"/>
          <w:rtl w:val="0"/>
          <w:lang w:val="en-US"/>
        </w:rPr>
        <w:t xml:space="preserve">Setiadi, M. I., A. Hamidy, Z. Abidin, D. Susanto, R. M. Brown, A. T. Peterson, X. Li, and B. J. Evans. 2010.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"https://doi.org/10.1111/j.1523-1739.2009.01384.x"</w:instrText>
      </w:r>
      <w:r>
        <w:rPr>
          <w:rStyle w:val="Hyperlink.1"/>
          <w:rFonts w:ascii="Helvetica" w:cs="Helvetica" w:hAnsi="Helvetica" w:eastAsia="Helvetica"/>
        </w:rPr>
        <w:fldChar w:fldCharType="separate" w:fldLock="0"/>
      </w:r>
      <w:r>
        <w:rPr>
          <w:rStyle w:val="Hyperlink.1"/>
          <w:rFonts w:ascii="Helvetica" w:hAnsi="Helvetica"/>
          <w:rtl w:val="0"/>
          <w:lang w:val="en-US"/>
        </w:rPr>
        <w:t>Genetic structure of herpetofauna on halmahera island, indonesia: Implications for aketajawe-lolobata national park</w:t>
      </w:r>
      <w:r>
        <w:rPr>
          <w:rFonts w:ascii="Helvetica" w:cs="Helvetica" w:hAnsi="Helvetica" w:eastAsia="Helvetica"/>
        </w:rPr>
        <w:fldChar w:fldCharType="end" w:fldLock="0"/>
      </w:r>
      <w:r>
        <w:rPr>
          <w:rFonts w:ascii="Helvetica" w:hAnsi="Helvetica"/>
          <w:rtl w:val="0"/>
        </w:rPr>
        <w:t>. Conservation Biology 24:553</w:t>
      </w:r>
      <w:r>
        <w:rPr>
          <w:rFonts w:ascii="Helvetica" w:hAnsi="Helvetica" w:hint="default"/>
          <w:rtl w:val="0"/>
        </w:rPr>
        <w:t>–</w:t>
      </w:r>
      <w:r>
        <w:rPr>
          <w:rFonts w:ascii="Helvetica" w:hAnsi="Helvetica"/>
          <w:rtl w:val="0"/>
        </w:rPr>
        <w:t>562.</w:t>
      </w:r>
      <w:bookmarkEnd w:id="77"/>
    </w:p>
    <w:p>
      <w:pPr>
        <w:pStyle w:val="Body A"/>
        <w:spacing w:line="480" w:lineRule="auto"/>
        <w:ind w:left="720" w:hanging="720"/>
        <w:rPr>
          <w:rFonts w:ascii="Helvetica" w:cs="Helvetica" w:hAnsi="Helvetica" w:eastAsia="Helvetica"/>
        </w:rPr>
      </w:pPr>
      <w:bookmarkStart w:name="refSoliz2025" w:id="78"/>
      <w:r>
        <w:rPr>
          <w:rStyle w:val="None"/>
          <w:rFonts w:ascii="Helvetica" w:hAnsi="Helvetica"/>
          <w:rtl w:val="0"/>
          <w:lang w:val="it-IT"/>
        </w:rPr>
        <w:t xml:space="preserve">Soliz, M. C., V. Abdala, and M. J. Tulli. 2025.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"https://doi.org/10.1111/azo.12494"</w:instrText>
      </w:r>
      <w:r>
        <w:rPr>
          <w:rStyle w:val="Hyperlink.1"/>
          <w:rFonts w:ascii="Helvetica" w:cs="Helvetica" w:hAnsi="Helvetica" w:eastAsia="Helvetica"/>
        </w:rPr>
        <w:fldChar w:fldCharType="separate" w:fldLock="0"/>
      </w:r>
      <w:r>
        <w:rPr>
          <w:rStyle w:val="Hyperlink.1"/>
          <w:rFonts w:ascii="Helvetica" w:hAnsi="Helvetica"/>
          <w:rtl w:val="0"/>
          <w:lang w:val="en-US"/>
        </w:rPr>
        <w:t>The ecological drivers of variation in pectoral girdle anatomy in frogs</w:t>
      </w:r>
      <w:r>
        <w:rPr>
          <w:rFonts w:ascii="Helvetica" w:cs="Helvetica" w:hAnsi="Helvetica" w:eastAsia="Helvetica"/>
        </w:rPr>
        <w:fldChar w:fldCharType="end" w:fldLock="0"/>
      </w:r>
      <w:r>
        <w:rPr>
          <w:rStyle w:val="None"/>
          <w:rFonts w:ascii="Helvetica" w:hAnsi="Helvetica"/>
          <w:rtl w:val="0"/>
          <w:lang w:val="it-IT"/>
        </w:rPr>
        <w:t>. Acta Zoologica 106:38</w:t>
      </w:r>
      <w:r>
        <w:rPr>
          <w:rFonts w:ascii="Helvetica" w:hAnsi="Helvetica" w:hint="default"/>
          <w:rtl w:val="0"/>
        </w:rPr>
        <w:t>–</w:t>
      </w:r>
      <w:r>
        <w:rPr>
          <w:rFonts w:ascii="Helvetica" w:hAnsi="Helvetica"/>
          <w:rtl w:val="0"/>
        </w:rPr>
        <w:t>54.</w:t>
      </w:r>
      <w:bookmarkEnd w:id="78"/>
    </w:p>
    <w:p>
      <w:pPr>
        <w:pStyle w:val="Body A"/>
        <w:spacing w:line="480" w:lineRule="auto"/>
        <w:ind w:left="720" w:hanging="720"/>
        <w:rPr>
          <w:rFonts w:ascii="Helvetica" w:cs="Helvetica" w:hAnsi="Helvetica" w:eastAsia="Helvetica"/>
        </w:rPr>
      </w:pPr>
      <w:bookmarkStart w:name="refStejneger1908" w:id="79"/>
      <w:r>
        <w:rPr>
          <w:rStyle w:val="None"/>
          <w:rFonts w:ascii="Helvetica" w:hAnsi="Helvetica"/>
          <w:rtl w:val="0"/>
          <w:lang w:val="en-US"/>
        </w:rPr>
        <w:t>Stejneger, L. 1908. Two new species of toads from the philippines. Proceedings of the United States National Museum 33:573</w:t>
      </w:r>
      <w:r>
        <w:rPr>
          <w:rFonts w:ascii="Helvetica" w:hAnsi="Helvetica" w:hint="default"/>
          <w:rtl w:val="0"/>
        </w:rPr>
        <w:t>–</w:t>
      </w:r>
      <w:r>
        <w:rPr>
          <w:rFonts w:ascii="Helvetica" w:hAnsi="Helvetica"/>
          <w:rtl w:val="0"/>
        </w:rPr>
        <w:t>576.</w:t>
      </w:r>
      <w:bookmarkEnd w:id="79"/>
    </w:p>
    <w:p>
      <w:pPr>
        <w:pStyle w:val="Body A"/>
        <w:spacing w:line="480" w:lineRule="auto"/>
        <w:ind w:left="720" w:hanging="720"/>
        <w:rPr>
          <w:rFonts w:ascii="Helvetica" w:cs="Helvetica" w:hAnsi="Helvetica" w:eastAsia="Helvetica"/>
        </w:rPr>
      </w:pPr>
      <w:bookmarkStart w:name="refTu2018" w:id="80"/>
      <w:r>
        <w:rPr>
          <w:rStyle w:val="None"/>
          <w:rFonts w:ascii="Helvetica" w:hAnsi="Helvetica"/>
          <w:rtl w:val="0"/>
          <w:lang w:val="en-US"/>
        </w:rPr>
        <w:t xml:space="preserve">Tu, N., M. Yang, D. Liang, and P. Zhang. 2018.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"https://doi.org/10.1016/j.ympev.2018.03.036"</w:instrText>
      </w:r>
      <w:r>
        <w:rPr>
          <w:rStyle w:val="Hyperlink.1"/>
          <w:rFonts w:ascii="Helvetica" w:cs="Helvetica" w:hAnsi="Helvetica" w:eastAsia="Helvetica"/>
        </w:rPr>
        <w:fldChar w:fldCharType="separate" w:fldLock="0"/>
      </w:r>
      <w:r>
        <w:rPr>
          <w:rStyle w:val="Hyperlink.1"/>
          <w:rFonts w:ascii="Helvetica" w:hAnsi="Helvetica"/>
          <w:rtl w:val="0"/>
          <w:lang w:val="en-US"/>
        </w:rPr>
        <w:t>A large-scale phylogeny of microhylidae inferred from a combined dataset of 121 genes and 427 taxa</w:t>
      </w:r>
      <w:r>
        <w:rPr>
          <w:rFonts w:ascii="Helvetica" w:cs="Helvetica" w:hAnsi="Helvetica" w:eastAsia="Helvetica"/>
        </w:rPr>
        <w:fldChar w:fldCharType="end" w:fldLock="0"/>
      </w:r>
      <w:r>
        <w:rPr>
          <w:rStyle w:val="None"/>
          <w:rFonts w:ascii="Helvetica" w:hAnsi="Helvetica"/>
          <w:rtl w:val="0"/>
          <w:lang w:val="nl-NL"/>
        </w:rPr>
        <w:t>. Mol Phylogenet Evol 126:85</w:t>
      </w:r>
      <w:r>
        <w:rPr>
          <w:rFonts w:ascii="Helvetica" w:hAnsi="Helvetica" w:hint="default"/>
          <w:rtl w:val="0"/>
        </w:rPr>
        <w:t>–</w:t>
      </w:r>
      <w:r>
        <w:rPr>
          <w:rFonts w:ascii="Helvetica" w:hAnsi="Helvetica"/>
          <w:rtl w:val="0"/>
        </w:rPr>
        <w:t>91.</w:t>
      </w:r>
      <w:bookmarkEnd w:id="80"/>
    </w:p>
    <w:p>
      <w:pPr>
        <w:pStyle w:val="Body A"/>
        <w:spacing w:line="480" w:lineRule="auto"/>
        <w:ind w:left="720" w:hanging="720"/>
        <w:rPr>
          <w:rFonts w:ascii="Helvetica" w:cs="Helvetica" w:hAnsi="Helvetica" w:eastAsia="Helvetica"/>
        </w:rPr>
      </w:pPr>
      <w:bookmarkStart w:name="refWandolleck1911" w:id="81"/>
      <w:r>
        <w:rPr>
          <w:rStyle w:val="None"/>
          <w:rFonts w:ascii="Helvetica" w:hAnsi="Helvetica"/>
          <w:rtl w:val="0"/>
          <w:lang w:val="it-IT"/>
        </w:rPr>
        <w:t xml:space="preserve">Wandolleck, Benno. 1911. </w:t>
      </w:r>
      <w:r>
        <w:rPr>
          <w:rStyle w:val="Hyperlink.2"/>
          <w:rFonts w:ascii="Helvetica" w:cs="Helvetica" w:hAnsi="Helvetica" w:eastAsia="Helvetica"/>
        </w:rPr>
        <w:fldChar w:fldCharType="begin" w:fldLock="0"/>
      </w:r>
      <w:r>
        <w:rPr>
          <w:rStyle w:val="Hyperlink.2"/>
          <w:rFonts w:ascii="Helvetica" w:cs="Helvetica" w:hAnsi="Helvetica" w:eastAsia="Helvetica"/>
        </w:rPr>
        <w:instrText xml:space="preserve"> HYPERLINK "https://www.biodiversitylibrary.org/part/263989"</w:instrText>
      </w:r>
      <w:r>
        <w:rPr>
          <w:rStyle w:val="Hyperlink.2"/>
          <w:rFonts w:ascii="Helvetica" w:cs="Helvetica" w:hAnsi="Helvetica" w:eastAsia="Helvetica"/>
        </w:rPr>
        <w:fldChar w:fldCharType="separate" w:fldLock="0"/>
      </w:r>
      <w:r>
        <w:rPr>
          <w:rStyle w:val="Hyperlink.2"/>
          <w:rFonts w:ascii="Helvetica" w:hAnsi="Helvetica"/>
          <w:rtl w:val="0"/>
          <w:lang w:val="de-DE"/>
        </w:rPr>
        <w:t>Die amphibien und reptilien der papuanischen ausbeute dr. schlaginhaufens</w:t>
      </w:r>
      <w:r>
        <w:rPr>
          <w:rFonts w:ascii="Helvetica" w:cs="Helvetica" w:hAnsi="Helvetica" w:eastAsia="Helvetica"/>
        </w:rPr>
        <w:fldChar w:fldCharType="end" w:fldLock="0"/>
      </w:r>
      <w:r>
        <w:rPr>
          <w:rStyle w:val="None"/>
          <w:rFonts w:ascii="Helvetica" w:hAnsi="Helvetica"/>
          <w:rtl w:val="0"/>
          <w:lang w:val="de-DE"/>
        </w:rPr>
        <w:t>. Abhandlungen und Berichte des K</w:t>
      </w:r>
      <w:r>
        <w:rPr>
          <w:rStyle w:val="None"/>
          <w:rFonts w:ascii="Helvetica" w:hAnsi="Helvetica" w:hint="default"/>
          <w:rtl w:val="0"/>
          <w:lang w:val="sv-SE"/>
        </w:rPr>
        <w:t>ö</w:t>
      </w:r>
      <w:r>
        <w:rPr>
          <w:rStyle w:val="None"/>
          <w:rFonts w:ascii="Helvetica" w:hAnsi="Helvetica"/>
          <w:rtl w:val="0"/>
          <w:lang w:val="de-DE"/>
        </w:rPr>
        <w:t>nigl. Zoologischen und Anthropologisch-Etnographischen Museums zu Dresden 13:1</w:t>
      </w:r>
      <w:r>
        <w:rPr>
          <w:rFonts w:ascii="Helvetica" w:hAnsi="Helvetica" w:hint="default"/>
          <w:rtl w:val="0"/>
        </w:rPr>
        <w:t>–</w:t>
      </w:r>
      <w:r>
        <w:rPr>
          <w:rStyle w:val="None"/>
          <w:rFonts w:ascii="Helvetica" w:hAnsi="Helvetica"/>
          <w:rtl w:val="0"/>
          <w:lang w:val="de-DE"/>
        </w:rPr>
        <w:t>15. Berlin, R. Friedlaender, 1887-1917.</w:t>
      </w:r>
      <w:bookmarkEnd w:id="81"/>
    </w:p>
    <w:p>
      <w:pPr>
        <w:pStyle w:val="Body A"/>
        <w:spacing w:line="480" w:lineRule="auto"/>
        <w:ind w:left="720" w:hanging="720"/>
        <w:rPr>
          <w:rFonts w:ascii="Helvetica" w:cs="Helvetica" w:hAnsi="Helvetica" w:eastAsia="Helvetica"/>
        </w:rPr>
      </w:pPr>
      <w:bookmarkStart w:name="refWerner1898" w:id="82"/>
      <w:r>
        <w:rPr>
          <w:rStyle w:val="None"/>
          <w:rFonts w:ascii="Helvetica" w:hAnsi="Helvetica"/>
          <w:rtl w:val="0"/>
          <w:lang w:val="de-DE"/>
        </w:rPr>
        <w:t xml:space="preserve">Werner, Franz. 1898. </w:t>
      </w:r>
      <w:r>
        <w:rPr>
          <w:rStyle w:val="Hyperlink.2"/>
          <w:rFonts w:ascii="Helvetica" w:cs="Helvetica" w:hAnsi="Helvetica" w:eastAsia="Helvetica"/>
        </w:rPr>
        <w:fldChar w:fldCharType="begin" w:fldLock="0"/>
      </w:r>
      <w:r>
        <w:rPr>
          <w:rStyle w:val="Hyperlink.2"/>
          <w:rFonts w:ascii="Helvetica" w:cs="Helvetica" w:hAnsi="Helvetica" w:eastAsia="Helvetica"/>
        </w:rPr>
        <w:instrText xml:space="preserve"> HYPERLINK "https://www.biodiversitylibrary.org/part/28256"</w:instrText>
      </w:r>
      <w:r>
        <w:rPr>
          <w:rStyle w:val="Hyperlink.2"/>
          <w:rFonts w:ascii="Helvetica" w:cs="Helvetica" w:hAnsi="Helvetica" w:eastAsia="Helvetica"/>
        </w:rPr>
        <w:fldChar w:fldCharType="separate" w:fldLock="0"/>
      </w:r>
      <w:r>
        <w:rPr>
          <w:rStyle w:val="Hyperlink.2"/>
          <w:rFonts w:ascii="Helvetica" w:hAnsi="Helvetica"/>
          <w:rtl w:val="0"/>
          <w:lang w:val="de-DE"/>
        </w:rPr>
        <w:t>Vorl</w:t>
      </w:r>
      <w:r>
        <w:rPr>
          <w:rStyle w:val="None"/>
          <w:rFonts w:ascii="Helvetica" w:hAnsi="Helvetica" w:hint="default"/>
          <w:u w:val="single"/>
          <w:rtl w:val="0"/>
        </w:rPr>
        <w:t>ä</w:t>
      </w:r>
      <w:r>
        <w:rPr>
          <w:rStyle w:val="Hyperlink.2"/>
          <w:rFonts w:ascii="Helvetica" w:hAnsi="Helvetica"/>
          <w:rtl w:val="0"/>
          <w:lang w:val="de-DE"/>
        </w:rPr>
        <w:t xml:space="preserve">ufige mitteilung </w:t>
      </w:r>
      <w:r>
        <w:rPr>
          <w:rStyle w:val="None"/>
          <w:rFonts w:ascii="Helvetica" w:hAnsi="Helvetica" w:hint="default"/>
          <w:u w:val="single"/>
          <w:rtl w:val="0"/>
        </w:rPr>
        <w:t>ü</w:t>
      </w:r>
      <w:r>
        <w:rPr>
          <w:rStyle w:val="Hyperlink.2"/>
          <w:rFonts w:ascii="Helvetica" w:hAnsi="Helvetica"/>
          <w:rtl w:val="0"/>
          <w:lang w:val="de-DE"/>
        </w:rPr>
        <w:t>ber die von herrn prof. F. Dahl im bismarck-archipel gesammelten reptilien und batrachier</w:t>
      </w:r>
      <w:r>
        <w:rPr>
          <w:rFonts w:ascii="Helvetica" w:cs="Helvetica" w:hAnsi="Helvetica" w:eastAsia="Helvetica"/>
        </w:rPr>
        <w:fldChar w:fldCharType="end" w:fldLock="0"/>
      </w:r>
      <w:r>
        <w:rPr>
          <w:rStyle w:val="None"/>
          <w:rFonts w:ascii="Helvetica" w:hAnsi="Helvetica"/>
          <w:rtl w:val="0"/>
          <w:lang w:val="de-DE"/>
        </w:rPr>
        <w:t>. Zoologischer Anzeiger 21:552</w:t>
      </w:r>
      <w:r>
        <w:rPr>
          <w:rFonts w:ascii="Helvetica" w:hAnsi="Helvetica" w:hint="default"/>
          <w:rtl w:val="0"/>
        </w:rPr>
        <w:t>–</w:t>
      </w:r>
      <w:r>
        <w:rPr>
          <w:rStyle w:val="None"/>
          <w:rFonts w:ascii="Helvetica" w:hAnsi="Helvetica"/>
          <w:rtl w:val="0"/>
          <w:lang w:val="de-DE"/>
        </w:rPr>
        <w:t>556. Jena VEB Gustav Fischer Verlag.</w:t>
      </w:r>
      <w:bookmarkEnd w:id="82"/>
    </w:p>
    <w:p>
      <w:pPr>
        <w:pStyle w:val="Body A"/>
        <w:spacing w:line="480" w:lineRule="auto"/>
        <w:ind w:left="720" w:hanging="720"/>
        <w:rPr>
          <w:rFonts w:ascii="Helvetica" w:cs="Helvetica" w:hAnsi="Helvetica" w:eastAsia="Helvetica"/>
        </w:rPr>
      </w:pPr>
      <w:bookmarkStart w:name="refWickham2016" w:id="83"/>
      <w:r>
        <w:rPr>
          <w:rStyle w:val="None"/>
          <w:rFonts w:ascii="Helvetica" w:hAnsi="Helvetica"/>
          <w:rtl w:val="0"/>
          <w:lang w:val="da-DK"/>
        </w:rPr>
        <w:t xml:space="preserve">Wickham, H. 2016.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"https://ggplot2.tidyverse.org"</w:instrText>
      </w:r>
      <w:r>
        <w:rPr>
          <w:rStyle w:val="Hyperlink.1"/>
          <w:rFonts w:ascii="Helvetica" w:cs="Helvetica" w:hAnsi="Helvetica" w:eastAsia="Helvetica"/>
        </w:rPr>
        <w:fldChar w:fldCharType="separate" w:fldLock="0"/>
      </w:r>
      <w:r>
        <w:rPr>
          <w:rStyle w:val="Hyperlink.1"/>
          <w:rFonts w:ascii="Helvetica" w:hAnsi="Helvetica"/>
          <w:rtl w:val="0"/>
          <w:lang w:val="en-US"/>
        </w:rPr>
        <w:t>ggplot2: Elegant graphics for data analysis</w:t>
      </w:r>
      <w:r>
        <w:rPr>
          <w:rFonts w:ascii="Helvetica" w:cs="Helvetica" w:hAnsi="Helvetica" w:eastAsia="Helvetica"/>
        </w:rPr>
        <w:fldChar w:fldCharType="end" w:fldLock="0"/>
      </w:r>
      <w:r>
        <w:rPr>
          <w:rStyle w:val="None"/>
          <w:rFonts w:ascii="Helvetica" w:hAnsi="Helvetica"/>
          <w:rtl w:val="0"/>
          <w:lang w:val="de-DE"/>
        </w:rPr>
        <w:t>. Springer-Verlag New York.</w:t>
      </w:r>
      <w:bookmarkEnd w:id="83"/>
    </w:p>
    <w:p>
      <w:pPr>
        <w:pStyle w:val="Body A"/>
        <w:spacing w:line="480" w:lineRule="auto"/>
        <w:ind w:left="720" w:hanging="720"/>
        <w:rPr>
          <w:rFonts w:ascii="Helvetica" w:cs="Helvetica" w:hAnsi="Helvetica" w:eastAsia="Helvetica"/>
        </w:rPr>
      </w:pPr>
      <w:bookmarkStart w:name="refYe2012" w:id="84"/>
      <w:r>
        <w:rPr>
          <w:rStyle w:val="None"/>
          <w:rFonts w:ascii="Helvetica" w:hAnsi="Helvetica"/>
          <w:rtl w:val="0"/>
          <w:lang w:val="en-US"/>
        </w:rPr>
        <w:t xml:space="preserve">Ye, J., G. Coulouris, I. Zaretskaya, I. Cutcutache, S. Rozen, and T. L. Madden. 2012.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"https://doi.org/10.1186/1471-2105-13-134"</w:instrText>
      </w:r>
      <w:r>
        <w:rPr>
          <w:rStyle w:val="Hyperlink.1"/>
          <w:rFonts w:ascii="Helvetica" w:cs="Helvetica" w:hAnsi="Helvetica" w:eastAsia="Helvetica"/>
        </w:rPr>
        <w:fldChar w:fldCharType="separate" w:fldLock="0"/>
      </w:r>
      <w:r>
        <w:rPr>
          <w:rStyle w:val="Hyperlink.1"/>
          <w:rFonts w:ascii="Helvetica" w:hAnsi="Helvetica"/>
          <w:rtl w:val="0"/>
          <w:lang w:val="en-US"/>
        </w:rPr>
        <w:t>Primer-BLAST: A tool to design target-specific primers for polymerase chain reaction</w:t>
      </w:r>
      <w:r>
        <w:rPr>
          <w:rFonts w:ascii="Helvetica" w:cs="Helvetica" w:hAnsi="Helvetica" w:eastAsia="Helvetica"/>
        </w:rPr>
        <w:fldChar w:fldCharType="end" w:fldLock="0"/>
      </w:r>
      <w:r>
        <w:rPr>
          <w:rFonts w:ascii="Helvetica" w:hAnsi="Helvetica"/>
          <w:rtl w:val="0"/>
        </w:rPr>
        <w:t>. BMC Bioinformatics 13:134.</w:t>
      </w:r>
      <w:bookmarkEnd w:id="84"/>
    </w:p>
    <w:p>
      <w:pPr>
        <w:pStyle w:val="Body A"/>
        <w:spacing w:line="480" w:lineRule="auto"/>
        <w:ind w:left="720" w:hanging="720"/>
        <w:rPr>
          <w:rFonts w:ascii="Helvetica" w:cs="Helvetica" w:hAnsi="Helvetica" w:eastAsia="Helvetica"/>
        </w:rPr>
      </w:pPr>
      <w:bookmarkStart w:name="refYu2020" w:id="85"/>
      <w:r>
        <w:rPr>
          <w:rFonts w:ascii="Helvetica" w:hAnsi="Helvetica"/>
          <w:rtl w:val="0"/>
        </w:rPr>
        <w:t xml:space="preserve">Yu, G. 2020.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"https://doi.org/10.1002/cpbi.96"</w:instrText>
      </w:r>
      <w:r>
        <w:rPr>
          <w:rStyle w:val="Hyperlink.1"/>
          <w:rFonts w:ascii="Helvetica" w:cs="Helvetica" w:hAnsi="Helvetica" w:eastAsia="Helvetica"/>
        </w:rPr>
        <w:fldChar w:fldCharType="separate" w:fldLock="0"/>
      </w:r>
      <w:r>
        <w:rPr>
          <w:rStyle w:val="Hyperlink.1"/>
          <w:rFonts w:ascii="Helvetica" w:hAnsi="Helvetica"/>
          <w:rtl w:val="0"/>
          <w:lang w:val="en-US"/>
        </w:rPr>
        <w:t>Using ggtree to visualize data on tree-like structures</w:t>
      </w:r>
      <w:r>
        <w:rPr>
          <w:rFonts w:ascii="Helvetica" w:cs="Helvetica" w:hAnsi="Helvetica" w:eastAsia="Helvetica"/>
        </w:rPr>
        <w:fldChar w:fldCharType="end" w:fldLock="0"/>
      </w:r>
      <w:r>
        <w:rPr>
          <w:rStyle w:val="None"/>
          <w:rFonts w:ascii="Helvetica" w:hAnsi="Helvetica"/>
          <w:rtl w:val="0"/>
          <w:lang w:val="en-US"/>
        </w:rPr>
        <w:t>. Current Protocols in Bioinformatics 69:e96.</w:t>
      </w:r>
      <w:bookmarkEnd w:id="85"/>
    </w:p>
    <w:p>
      <w:pPr>
        <w:pStyle w:val="Body A"/>
        <w:spacing w:line="480" w:lineRule="auto"/>
        <w:ind w:left="720" w:hanging="720"/>
        <w:rPr>
          <w:rFonts w:ascii="Helvetica" w:cs="Helvetica" w:hAnsi="Helvetica" w:eastAsia="Helvetica"/>
        </w:rPr>
      </w:pPr>
      <w:bookmarkStart w:name="refYu2017" w:id="86"/>
      <w:r>
        <w:rPr>
          <w:rStyle w:val="None"/>
          <w:rFonts w:ascii="Helvetica" w:hAnsi="Helvetica"/>
          <w:rtl w:val="0"/>
          <w:lang w:val="en-US"/>
        </w:rPr>
        <w:t xml:space="preserve">Yu, G., D. Smith, H. Zhu, Y. Guan, and T. T.-Y. Lam. 2017.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"https://doi.org/10.1111/2041-210X.12628"</w:instrText>
      </w:r>
      <w:r>
        <w:rPr>
          <w:rStyle w:val="Hyperlink.1"/>
          <w:rFonts w:ascii="Helvetica" w:cs="Helvetica" w:hAnsi="Helvetica" w:eastAsia="Helvetica"/>
        </w:rPr>
        <w:fldChar w:fldCharType="separate" w:fldLock="0"/>
      </w:r>
      <w:r>
        <w:rPr>
          <w:rStyle w:val="Hyperlink.1"/>
          <w:rFonts w:ascii="Helvetica" w:hAnsi="Helvetica"/>
          <w:rtl w:val="0"/>
          <w:lang w:val="en-US"/>
        </w:rPr>
        <w:t>Ggtree: An r package for visualization and annotation of phylogenetic trees with their covariates and other associated data.</w:t>
      </w:r>
      <w:r>
        <w:rPr>
          <w:rFonts w:ascii="Helvetica" w:cs="Helvetica" w:hAnsi="Helvetica" w:eastAsia="Helvetica"/>
        </w:rPr>
        <w:fldChar w:fldCharType="end" w:fldLock="0"/>
      </w:r>
      <w:r>
        <w:rPr>
          <w:rStyle w:val="None"/>
          <w:rFonts w:ascii="Helvetica" w:hAnsi="Helvetica"/>
          <w:rtl w:val="0"/>
          <w:lang w:val="en-US"/>
        </w:rPr>
        <w:t xml:space="preserve"> Methods in Ecology and Evolution 8:28</w:t>
      </w:r>
      <w:r>
        <w:rPr>
          <w:rFonts w:ascii="Helvetica" w:hAnsi="Helvetica" w:hint="default"/>
          <w:rtl w:val="0"/>
        </w:rPr>
        <w:t>–</w:t>
      </w:r>
      <w:r>
        <w:rPr>
          <w:rFonts w:ascii="Helvetica" w:hAnsi="Helvetica"/>
          <w:rtl w:val="0"/>
        </w:rPr>
        <w:t>36.</w:t>
      </w:r>
      <w:bookmarkEnd w:id="86"/>
    </w:p>
    <w:p>
      <w:pPr>
        <w:pStyle w:val="Body A"/>
        <w:spacing w:line="480" w:lineRule="auto"/>
        <w:ind w:left="720" w:hanging="720"/>
        <w:rPr>
          <w:rFonts w:ascii="Helvetica" w:cs="Helvetica" w:hAnsi="Helvetica" w:eastAsia="Helvetica"/>
        </w:rPr>
      </w:pPr>
      <w:bookmarkStart w:name="refICZN1999" w:id="87"/>
      <w:r>
        <w:rPr>
          <w:rStyle w:val="None"/>
          <w:rFonts w:ascii="Helvetica" w:hAnsi="Helvetica"/>
          <w:rtl w:val="0"/>
          <w:lang w:val="en-US"/>
        </w:rPr>
        <w:t xml:space="preserve">Zoological Nomenclature, I. C. on, W. D. L. Ride, I. T. for Zoological Nomenclature., I. U. of Biological Sciences. General Assembly, and E. Natural History Museum (London. 1999. </w:t>
      </w:r>
      <w:r>
        <w:rPr>
          <w:rStyle w:val="Hyperlink.3"/>
          <w:rFonts w:ascii="Helvetica" w:cs="Helvetica" w:hAnsi="Helvetica" w:eastAsia="Helvetica"/>
        </w:rPr>
        <w:fldChar w:fldCharType="begin" w:fldLock="0"/>
      </w:r>
      <w:r>
        <w:rPr>
          <w:rStyle w:val="Hyperlink.3"/>
          <w:rFonts w:ascii="Helvetica" w:cs="Helvetica" w:hAnsi="Helvetica" w:eastAsia="Helvetica"/>
        </w:rPr>
        <w:instrText xml:space="preserve"> HYPERLINK "https://www.biodiversitylibrary.org/item/107142"</w:instrText>
      </w:r>
      <w:r>
        <w:rPr>
          <w:rStyle w:val="Hyperlink.3"/>
          <w:rFonts w:ascii="Helvetica" w:cs="Helvetica" w:hAnsi="Helvetica" w:eastAsia="Helvetica"/>
        </w:rPr>
        <w:fldChar w:fldCharType="separate" w:fldLock="0"/>
      </w:r>
      <w:r>
        <w:rPr>
          <w:rStyle w:val="Hyperlink.3"/>
          <w:rFonts w:ascii="Helvetica" w:hAnsi="Helvetica"/>
          <w:rtl w:val="0"/>
          <w:lang w:val="fr-FR"/>
        </w:rPr>
        <w:t>International code of zoological nomenclature = code international de nomenclature zoologique</w:t>
      </w:r>
      <w:r>
        <w:rPr>
          <w:rFonts w:ascii="Helvetica" w:cs="Helvetica" w:hAnsi="Helvetica" w:eastAsia="Helvetica"/>
        </w:rPr>
        <w:fldChar w:fldCharType="end" w:fldLock="0"/>
      </w:r>
      <w:r>
        <w:rPr>
          <w:rStyle w:val="None"/>
          <w:rFonts w:ascii="Helvetica" w:hAnsi="Helvetica"/>
          <w:rtl w:val="0"/>
          <w:lang w:val="en-US"/>
        </w:rPr>
        <w:t>. London, International Trust for Zoological Nomenclature, c/o Natural History Museum, 1999.</w:t>
      </w:r>
      <w:bookmarkEnd w:id="87"/>
    </w:p>
    <w:p>
      <w:pPr>
        <w:pStyle w:val="Body A"/>
        <w:spacing w:line="480" w:lineRule="auto"/>
        <w:ind w:left="720" w:hanging="720"/>
        <w:rPr>
          <w:rFonts w:ascii="Helvetica" w:cs="Helvetica" w:hAnsi="Helvetica" w:eastAsia="Helvetica"/>
        </w:rPr>
      </w:pPr>
      <w:bookmarkStart w:name="refZweifel2003" w:id="88"/>
      <w:r>
        <w:rPr>
          <w:rStyle w:val="None"/>
          <w:rFonts w:ascii="Helvetica" w:hAnsi="Helvetica"/>
          <w:rtl w:val="0"/>
          <w:lang w:val="en-US"/>
        </w:rPr>
        <w:t>Zweifel, R. G. 2003. A new species of microhylid frog, genus oreophryne, from papua new guinea. American Museum Novitates 1</w:t>
      </w:r>
      <w:r>
        <w:rPr>
          <w:rFonts w:ascii="Helvetica" w:hAnsi="Helvetica" w:hint="default"/>
          <w:rtl w:val="0"/>
        </w:rPr>
        <w:t>–</w:t>
      </w:r>
      <w:r>
        <w:rPr>
          <w:rFonts w:ascii="Helvetica" w:hAnsi="Helvetica"/>
          <w:rtl w:val="0"/>
        </w:rPr>
        <w:t>8.</w:t>
      </w:r>
      <w:bookmarkEnd w:id="88"/>
    </w:p>
    <w:p>
      <w:pPr>
        <w:pStyle w:val="Body A"/>
        <w:spacing w:line="480" w:lineRule="auto"/>
        <w:ind w:left="720" w:hanging="720"/>
        <w:rPr>
          <w:rFonts w:ascii="Helvetica" w:cs="Helvetica" w:hAnsi="Helvetica" w:eastAsia="Helvetica"/>
        </w:rPr>
      </w:pPr>
      <w:bookmarkStart w:name="refZweifel1956" w:id="89"/>
      <w:r>
        <w:rPr>
          <w:rStyle w:val="None"/>
          <w:rFonts w:ascii="Helvetica" w:hAnsi="Helvetica"/>
          <w:rtl w:val="0"/>
          <w:lang w:val="en-US"/>
        </w:rPr>
        <w:t>Zweifel, R. G. 1956. Microhylid frogs from new guinea, with descriptions of new species. American Museum Novitates 1</w:t>
      </w:r>
      <w:r>
        <w:rPr>
          <w:rFonts w:ascii="Helvetica" w:hAnsi="Helvetica" w:hint="default"/>
          <w:rtl w:val="0"/>
        </w:rPr>
        <w:t>–</w:t>
      </w:r>
      <w:r>
        <w:rPr>
          <w:rFonts w:ascii="Helvetica" w:hAnsi="Helvetica"/>
          <w:rtl w:val="0"/>
        </w:rPr>
        <w:t>49.</w:t>
      </w:r>
      <w:bookmarkEnd w:id="89"/>
    </w:p>
    <w:p>
      <w:pPr>
        <w:pStyle w:val="Body A"/>
        <w:spacing w:line="480" w:lineRule="auto"/>
        <w:ind w:left="720" w:hanging="720"/>
        <w:rPr>
          <w:rFonts w:ascii="Helvetica" w:cs="Helvetica" w:hAnsi="Helvetica" w:eastAsia="Helvetica"/>
        </w:rPr>
      </w:pPr>
      <w:bookmarkStart w:name="refZweifel2005" w:id="90"/>
      <w:r>
        <w:rPr>
          <w:rStyle w:val="None"/>
          <w:rFonts w:ascii="Helvetica" w:hAnsi="Helvetica"/>
          <w:rtl w:val="0"/>
          <w:lang w:val="de-DE"/>
        </w:rPr>
        <w:t xml:space="preserve">Zweifel, R. G., H. Cogger, and S. Richards. 2005.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"https://doi.org/10.1206/0003-0082(2005)495%25255B0001:SOMFGO%25255D2.0.CO;2"</w:instrText>
      </w:r>
      <w:r>
        <w:rPr>
          <w:rStyle w:val="Hyperlink.1"/>
          <w:rFonts w:ascii="Helvetica" w:cs="Helvetica" w:hAnsi="Helvetica" w:eastAsia="Helvetica"/>
        </w:rPr>
        <w:fldChar w:fldCharType="separate" w:fldLock="0"/>
      </w:r>
      <w:r>
        <w:rPr>
          <w:rStyle w:val="Hyperlink.1"/>
          <w:rFonts w:ascii="Helvetica" w:hAnsi="Helvetica"/>
          <w:rtl w:val="0"/>
          <w:lang w:val="en-US"/>
        </w:rPr>
        <w:t>Systematics of Microhylid Frogs, Genus Oreophryne, Living at High Elevations in New Guinea</w:t>
      </w:r>
      <w:r>
        <w:rPr>
          <w:rFonts w:ascii="Helvetica" w:cs="Helvetica" w:hAnsi="Helvetica" w:eastAsia="Helvetica"/>
        </w:rPr>
        <w:fldChar w:fldCharType="end" w:fldLock="0"/>
      </w:r>
      <w:r>
        <w:rPr>
          <w:rStyle w:val="None"/>
          <w:rFonts w:ascii="Helvetica" w:hAnsi="Helvetica"/>
          <w:rtl w:val="0"/>
          <w:lang w:val="en-US"/>
        </w:rPr>
        <w:t>. American Museum Novitates 3495:1</w:t>
      </w:r>
      <w:r>
        <w:rPr>
          <w:rFonts w:ascii="Helvetica" w:hAnsi="Helvetica" w:hint="default"/>
          <w:rtl w:val="0"/>
        </w:rPr>
        <w:t>–</w:t>
      </w:r>
      <w:r>
        <w:rPr>
          <w:rFonts w:ascii="Helvetica" w:hAnsi="Helvetica"/>
          <w:rtl w:val="0"/>
        </w:rPr>
        <w:t>25.</w:t>
      </w:r>
      <w:bookmarkEnd w:id="90"/>
    </w:p>
    <w:p>
      <w:pPr>
        <w:pStyle w:val="Body A"/>
        <w:spacing w:line="480" w:lineRule="auto"/>
        <w:ind w:left="720" w:hanging="720"/>
        <w:rPr>
          <w:rFonts w:ascii="Helvetica" w:cs="Helvetica" w:hAnsi="Helvetica" w:eastAsia="Helvetica"/>
        </w:rPr>
      </w:pPr>
      <w:bookmarkStart w:name="refZweifel2003a" w:id="91"/>
      <w:r>
        <w:rPr>
          <w:rStyle w:val="None"/>
          <w:rFonts w:ascii="Helvetica" w:hAnsi="Helvetica"/>
          <w:rtl w:val="0"/>
          <w:lang w:val="de-DE"/>
        </w:rPr>
        <w:t xml:space="preserve">Zweifel, R., J. Menzies, and D. Price. 2003.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"https://doi.org/10.1206/0003-0082(2003)415%25253C0001:SOMFGO%25253E2.0.CO;2"</w:instrText>
      </w:r>
      <w:r>
        <w:rPr>
          <w:rStyle w:val="Hyperlink.1"/>
          <w:rFonts w:ascii="Helvetica" w:cs="Helvetica" w:hAnsi="Helvetica" w:eastAsia="Helvetica"/>
        </w:rPr>
        <w:fldChar w:fldCharType="separate" w:fldLock="0"/>
      </w:r>
      <w:r>
        <w:rPr>
          <w:rStyle w:val="Hyperlink.1"/>
          <w:rFonts w:ascii="Helvetica" w:hAnsi="Helvetica"/>
          <w:rtl w:val="0"/>
          <w:lang w:val="en-US"/>
        </w:rPr>
        <w:t>Systematics of microhylid frogs, genus oreophryne, from the north coast region of new guinea</w:t>
      </w:r>
      <w:r>
        <w:rPr>
          <w:rFonts w:ascii="Helvetica" w:cs="Helvetica" w:hAnsi="Helvetica" w:eastAsia="Helvetica"/>
        </w:rPr>
        <w:fldChar w:fldCharType="end" w:fldLock="0"/>
      </w:r>
      <w:r>
        <w:rPr>
          <w:rStyle w:val="None"/>
          <w:rFonts w:ascii="Helvetica" w:hAnsi="Helvetica"/>
          <w:rtl w:val="0"/>
          <w:lang w:val="en-US"/>
        </w:rPr>
        <w:t>. AMERICAN MUSEUM NOVITATES 1</w:t>
      </w:r>
      <w:r>
        <w:rPr>
          <w:rFonts w:ascii="Helvetica" w:hAnsi="Helvetica" w:hint="default"/>
          <w:rtl w:val="0"/>
        </w:rPr>
        <w:t>–</w:t>
      </w:r>
      <w:r>
        <w:rPr>
          <w:rFonts w:ascii="Helvetica" w:hAnsi="Helvetica"/>
          <w:rtl w:val="0"/>
        </w:rPr>
        <w:t>31.</w:t>
      </w:r>
      <w:bookmarkEnd w:id="91"/>
    </w:p>
    <w:p>
      <w:pPr>
        <w:pStyle w:val="Body A"/>
        <w:spacing w:line="480" w:lineRule="auto"/>
        <w:ind w:left="720" w:hanging="720"/>
        <w:rPr>
          <w:rFonts w:ascii="Helvetica" w:cs="Helvetica" w:hAnsi="Helvetica" w:eastAsia="Helvetica"/>
        </w:rPr>
      </w:pPr>
    </w:p>
    <w:p>
      <w:pPr>
        <w:pStyle w:val="Body A"/>
        <w:spacing w:line="480" w:lineRule="auto"/>
        <w:ind w:left="720" w:hanging="720"/>
      </w:pPr>
      <w:r>
        <w:rPr>
          <w:rFonts w:ascii="Arial Unicode MS" w:cs="Arial Unicode MS" w:hAnsi="Arial Unicode MS" w:eastAsia="Arial Unicode MS"/>
          <w:b w:val="0"/>
          <w:bCs w:val="0"/>
          <w:i w:val="0"/>
          <w:iCs w:val="0"/>
        </w:rPr>
        <w:br w:type="page"/>
      </w:r>
    </w:p>
    <w:p>
      <w:pPr>
        <w:pStyle w:val="Heading 1"/>
        <w:spacing w:before="0" w:after="0"/>
        <w:jc w:val="center"/>
        <w:rPr>
          <w:rStyle w:val="None"/>
          <w:smallCaps w:val="1"/>
        </w:rPr>
      </w:pPr>
      <w:r>
        <w:rPr>
          <w:rStyle w:val="None"/>
          <w:smallCaps w:val="1"/>
          <w:rtl w:val="0"/>
          <w:lang w:val="de-DE"/>
        </w:rPr>
        <w:t>Figure Captions</w:t>
      </w:r>
    </w:p>
    <w:p>
      <w:pPr>
        <w:pStyle w:val="Body Text"/>
        <w:spacing w:before="0" w:after="0"/>
        <w:rPr>
          <w:rFonts w:ascii="Helvetica" w:cs="Helvetica" w:hAnsi="Helvetica" w:eastAsia="Helvetica"/>
          <w14:textOutline w14:w="12700" w14:cap="flat">
            <w14:noFill/>
            <w14:miter w14:lim="400000"/>
          </w14:textOutline>
        </w:rPr>
      </w:pPr>
    </w:p>
    <w:p>
      <w:pPr>
        <w:pStyle w:val="Default"/>
        <w:spacing w:before="0" w:line="480" w:lineRule="auto"/>
        <w:rPr>
          <w:rStyle w:val="None"/>
          <w:rFonts w:ascii="Helvetica" w:cs="Helvetica" w:hAnsi="Helvetica" w:eastAsia="Helvetica"/>
          <w:outline w:val="0"/>
          <w:color w:val="5a6570"/>
          <w:u w:color="5a6570"/>
          <w14:textFill>
            <w14:solidFill>
              <w14:srgbClr w14:val="5A6570"/>
            </w14:solidFill>
          </w14:textFill>
        </w:rPr>
      </w:pPr>
      <w:r>
        <w:rPr>
          <w:rStyle w:val="None"/>
          <w:rFonts w:ascii="Helvetica" w:hAnsi="Helvetica"/>
          <w:smallCaps w:val="1"/>
          <w:rtl w:val="0"/>
          <w:lang w:val="it-IT"/>
        </w:rPr>
        <w:t>Fig</w:t>
      </w:r>
      <w:r>
        <w:rPr>
          <w:rStyle w:val="None"/>
          <w:rFonts w:ascii="Helvetica" w:hAnsi="Helvetica"/>
          <w:smallCaps w:val="1"/>
          <w:rtl w:val="0"/>
          <w:lang w:val="en-US"/>
        </w:rPr>
        <w:t>.</w:t>
      </w:r>
      <w:r>
        <w:rPr>
          <w:rStyle w:val="None"/>
          <w:rFonts w:ascii="Helvetica" w:hAnsi="Helvetica" w:hint="default"/>
          <w:smallCaps w:val="1"/>
          <w:rtl w:val="0"/>
          <w:lang w:val="en-US"/>
        </w:rPr>
        <w:t> </w:t>
      </w:r>
      <w:r>
        <w:rPr>
          <w:rStyle w:val="None"/>
          <w:rFonts w:ascii="Helvetica" w:hAnsi="Helvetica"/>
          <w:smallCaps w:val="1"/>
          <w:rtl w:val="0"/>
          <w:lang w:val="en-US"/>
        </w:rPr>
        <w:t>1.</w:t>
      </w:r>
      <w:r>
        <w:rPr>
          <w:rStyle w:val="None"/>
          <w:rFonts w:ascii="Helvetica" w:hAnsi="Helvetica" w:hint="default"/>
          <w:outline w:val="0"/>
          <w:color w:val="5a6570"/>
          <w:u w:color="5a6570"/>
          <w:rtl w:val="0"/>
          <w:lang w:val="en-US"/>
          <w14:textFill>
            <w14:solidFill>
              <w14:srgbClr w14:val="5A6570"/>
            </w14:solidFill>
          </w14:textFill>
        </w:rPr>
        <w:t>—</w:t>
      </w:r>
      <w:r>
        <w:rPr>
          <w:rStyle w:val="None"/>
          <w:rFonts w:ascii="Helvetica" w:hAnsi="Helvetica"/>
          <w:outline w:val="0"/>
          <w:color w:val="5a6570"/>
          <w:u w:color="5a6570"/>
          <w:rtl w:val="0"/>
          <w:lang w:val="en-US"/>
          <w14:textFill>
            <w14:solidFill>
              <w14:srgbClr w14:val="5A6570"/>
            </w14:solidFill>
          </w14:textFill>
        </w:rPr>
        <w:t xml:space="preserve">Portraits in life of arboreal frogs in Asterophryinae. </w:t>
      </w:r>
      <w:r>
        <w:rPr>
          <w:rStyle w:val="None"/>
          <w:rFonts w:ascii="Helvetica" w:hAnsi="Helvetica"/>
          <w:i w:val="1"/>
          <w:iCs w:val="1"/>
          <w:outline w:val="0"/>
          <w:color w:val="5a6570"/>
          <w:u w:color="5a6570"/>
          <w:rtl w:val="0"/>
          <w:lang w:val="en-US"/>
          <w14:textFill>
            <w14:solidFill>
              <w14:srgbClr w14:val="5A6570"/>
            </w14:solidFill>
          </w14:textFill>
        </w:rPr>
        <w:t>Oreophryne</w:t>
      </w:r>
      <w:r>
        <w:rPr>
          <w:rStyle w:val="None"/>
          <w:rFonts w:ascii="Helvetica" w:hAnsi="Helvetica"/>
          <w:outline w:val="0"/>
          <w:color w:val="5a6570"/>
          <w:u w:color="5a6570"/>
          <w:rtl w:val="0"/>
          <w:lang w:val="en-US"/>
          <w14:textFill>
            <w14:solidFill>
              <w14:srgbClr w14:val="5A6570"/>
            </w14:solidFill>
          </w14:textFill>
        </w:rPr>
        <w:t xml:space="preserve"> species on the left, </w:t>
      </w:r>
      <w:r>
        <w:rPr>
          <w:rStyle w:val="None"/>
          <w:rFonts w:ascii="Helvetica" w:hAnsi="Helvetica"/>
          <w:i w:val="1"/>
          <w:iCs w:val="1"/>
          <w:outline w:val="0"/>
          <w:color w:val="5a6570"/>
          <w:u w:color="5a6570"/>
          <w:rtl w:val="0"/>
          <w:lang w:val="nl-NL"/>
          <w14:textFill>
            <w14:solidFill>
              <w14:srgbClr w14:val="5A6570"/>
            </w14:solidFill>
          </w14:textFill>
        </w:rPr>
        <w:t>Auparoparo</w:t>
      </w:r>
      <w:r>
        <w:rPr>
          <w:rStyle w:val="None"/>
          <w:rFonts w:ascii="Helvetica" w:hAnsi="Helvetica"/>
          <w:outline w:val="0"/>
          <w:color w:val="5a6570"/>
          <w:u w:color="5a6570"/>
          <w:rtl w:val="0"/>
          <w:lang w:val="en-US"/>
          <w14:textFill>
            <w14:solidFill>
              <w14:srgbClr w14:val="5A6570"/>
            </w14:solidFill>
          </w14:textFill>
        </w:rPr>
        <w:t xml:space="preserve"> on the right, species names as labeled. Comparison of finger and toe pad sizes in </w:t>
      </w:r>
      <w:r>
        <w:rPr>
          <w:rStyle w:val="None"/>
          <w:rFonts w:ascii="Helvetica" w:hAnsi="Helvetica"/>
          <w:i w:val="1"/>
          <w:iCs w:val="1"/>
          <w:outline w:val="0"/>
          <w:color w:val="5a6570"/>
          <w:u w:color="5a6570"/>
          <w:rtl w:val="0"/>
          <w:lang w:val="it-IT"/>
          <w14:textFill>
            <w14:solidFill>
              <w14:srgbClr w14:val="5A6570"/>
            </w14:solidFill>
          </w14:textFill>
        </w:rPr>
        <w:t>Oreophryne inornata</w:t>
      </w:r>
      <w:r>
        <w:rPr>
          <w:rStyle w:val="None"/>
          <w:rFonts w:ascii="Helvetica" w:hAnsi="Helvetica"/>
          <w:outline w:val="0"/>
          <w:color w:val="5a6570"/>
          <w:u w:color="5a6570"/>
          <w:rtl w:val="0"/>
          <w:lang w:val="pt-PT"/>
          <w14:textFill>
            <w14:solidFill>
              <w14:srgbClr w14:val="5A6570"/>
            </w14:solidFill>
          </w14:textFill>
        </w:rPr>
        <w:t xml:space="preserve"> BPBM16217 vs.</w:t>
      </w:r>
      <w:r>
        <w:rPr>
          <w:rStyle w:val="None"/>
          <w:rFonts w:ascii="Helvetica" w:hAnsi="Helvetica" w:hint="default"/>
          <w:outline w:val="0"/>
          <w:color w:val="5a6570"/>
          <w:u w:color="5a6570"/>
          <w:rtl w:val="0"/>
          <w:lang w:val="en-US"/>
          <w14:textFill>
            <w14:solidFill>
              <w14:srgbClr w14:val="5A6570"/>
            </w14:solidFill>
          </w14:textFill>
        </w:rPr>
        <w:t> </w:t>
      </w:r>
      <w:r>
        <w:rPr>
          <w:rStyle w:val="None"/>
          <w:rFonts w:ascii="Helvetica" w:hAnsi="Helvetica"/>
          <w:i w:val="1"/>
          <w:iCs w:val="1"/>
          <w:outline w:val="0"/>
          <w:color w:val="5a6570"/>
          <w:u w:color="5a6570"/>
          <w:rtl w:val="0"/>
          <w:lang w:val="pt-PT"/>
          <w14:textFill>
            <w14:solidFill>
              <w14:srgbClr w14:val="5A6570"/>
            </w14:solidFill>
          </w14:textFill>
        </w:rPr>
        <w:t>Auparoparo equus</w:t>
      </w:r>
      <w:r>
        <w:rPr>
          <w:rStyle w:val="None"/>
          <w:rFonts w:ascii="Helvetica" w:hAnsi="Helvetica"/>
          <w:outline w:val="0"/>
          <w:color w:val="5a6570"/>
          <w:u w:color="5a6570"/>
          <w:rtl w:val="0"/>
          <w:lang w:val="en-US"/>
          <w14:textFill>
            <w14:solidFill>
              <w14:srgbClr w14:val="5A6570"/>
            </w14:solidFill>
          </w14:textFill>
        </w:rPr>
        <w:t xml:space="preserve"> BPBM15775, bottom row.</w:t>
      </w:r>
    </w:p>
    <w:p>
      <w:pPr>
        <w:pStyle w:val="Default"/>
        <w:spacing w:before="0" w:line="480" w:lineRule="auto"/>
        <w:rPr>
          <w:rFonts w:ascii="Helvetica" w:cs="Helvetica" w:hAnsi="Helvetica" w:eastAsia="Helvetica"/>
          <w:outline w:val="0"/>
          <w:color w:val="5a6570"/>
          <w:u w:color="5a6570"/>
          <w14:textFill>
            <w14:solidFill>
              <w14:srgbClr w14:val="5A6570"/>
            </w14:solidFill>
          </w14:textFill>
        </w:rPr>
      </w:pPr>
    </w:p>
    <w:p>
      <w:pPr>
        <w:pStyle w:val="Default"/>
        <w:spacing w:before="0" w:line="480" w:lineRule="auto"/>
        <w:rPr>
          <w:rStyle w:val="None"/>
          <w:rFonts w:ascii="Helvetica" w:cs="Helvetica" w:hAnsi="Helvetica" w:eastAsia="Helvetica"/>
          <w:outline w:val="0"/>
          <w:color w:val="5a6570"/>
          <w:u w:color="5a6570"/>
          <w14:textFill>
            <w14:solidFill>
              <w14:srgbClr w14:val="5A6570"/>
            </w14:solidFill>
          </w14:textFill>
        </w:rPr>
      </w:pPr>
      <w:r>
        <w:rPr>
          <w:rStyle w:val="None"/>
          <w:rFonts w:ascii="Helvetica" w:hAnsi="Helvetica"/>
          <w:smallCaps w:val="1"/>
          <w:rtl w:val="0"/>
          <w:lang w:val="it-IT"/>
        </w:rPr>
        <w:t>Fig</w:t>
      </w:r>
      <w:r>
        <w:rPr>
          <w:rStyle w:val="None"/>
          <w:rFonts w:ascii="Helvetica" w:hAnsi="Helvetica"/>
          <w:smallCaps w:val="1"/>
          <w:rtl w:val="0"/>
          <w:lang w:val="en-US"/>
        </w:rPr>
        <w:t>. 2.</w:t>
      </w:r>
      <w:r>
        <w:rPr>
          <w:rStyle w:val="None"/>
          <w:rFonts w:ascii="Helvetica" w:hAnsi="Helvetica" w:hint="default"/>
          <w:outline w:val="0"/>
          <w:color w:val="5a6570"/>
          <w:u w:color="5a6570"/>
          <w:rtl w:val="0"/>
          <w:lang w:val="en-US"/>
          <w14:textFill>
            <w14:solidFill>
              <w14:srgbClr w14:val="5A6570"/>
            </w14:solidFill>
          </w14:textFill>
        </w:rPr>
        <w:t>—</w:t>
      </w:r>
      <w:r>
        <w:rPr>
          <w:rStyle w:val="None"/>
          <w:rFonts w:ascii="Helvetica" w:hAnsi="Helvetica"/>
          <w:outline w:val="0"/>
          <w:color w:val="5a6570"/>
          <w:u w:color="5a6570"/>
          <w:rtl w:val="0"/>
          <w:lang w:val="en-US"/>
          <w14:textFill>
            <w14:solidFill>
              <w14:srgbClr w14:val="5A6570"/>
            </w14:solidFill>
          </w14:textFill>
        </w:rPr>
        <w:t xml:space="preserve">Molecular phyogenetic hypothesis of Asterophrinae showing polyphyly of </w:t>
      </w:r>
      <w:r>
        <w:rPr>
          <w:rStyle w:val="None"/>
          <w:rFonts w:ascii="Helvetica" w:hAnsi="Helvetica"/>
          <w:i w:val="1"/>
          <w:iCs w:val="1"/>
          <w:outline w:val="0"/>
          <w:color w:val="5a6570"/>
          <w:u w:color="5a6570"/>
          <w:rtl w:val="0"/>
          <w:lang w:val="en-US"/>
          <w14:textFill>
            <w14:solidFill>
              <w14:srgbClr w14:val="5A6570"/>
            </w14:solidFill>
          </w14:textFill>
        </w:rPr>
        <w:t>Oreophryne</w:t>
      </w:r>
      <w:r>
        <w:rPr>
          <w:rStyle w:val="None"/>
          <w:rFonts w:ascii="Helvetica" w:hAnsi="Helvetica"/>
          <w:outline w:val="0"/>
          <w:color w:val="5a6570"/>
          <w:u w:color="5a6570"/>
          <w:rtl w:val="0"/>
          <w:lang w:val="en-US"/>
          <w14:textFill>
            <w14:solidFill>
              <w14:srgbClr w14:val="5A6570"/>
            </w14:solidFill>
          </w14:textFill>
        </w:rPr>
        <w:t xml:space="preserve"> sensu lato, into two reciprocally monophyletic clades, node A is </w:t>
      </w:r>
      <w:r>
        <w:rPr>
          <w:rStyle w:val="None"/>
          <w:rFonts w:ascii="Helvetica" w:hAnsi="Helvetica"/>
          <w:i w:val="1"/>
          <w:iCs w:val="1"/>
          <w:outline w:val="0"/>
          <w:color w:val="5a6570"/>
          <w:u w:color="5a6570"/>
          <w:rtl w:val="0"/>
          <w:lang w:val="en-US"/>
          <w14:textFill>
            <w14:solidFill>
              <w14:srgbClr w14:val="5A6570"/>
            </w14:solidFill>
          </w14:textFill>
        </w:rPr>
        <w:t>Oreophryne</w:t>
      </w:r>
      <w:r>
        <w:rPr>
          <w:rStyle w:val="None"/>
          <w:rFonts w:ascii="Helvetica" w:hAnsi="Helvetica"/>
          <w:outline w:val="0"/>
          <w:color w:val="5a6570"/>
          <w:u w:color="5a6570"/>
          <w:rtl w:val="0"/>
          <w:lang w:val="en-US"/>
          <w14:textFill>
            <w14:solidFill>
              <w14:srgbClr w14:val="5A6570"/>
            </w14:solidFill>
          </w14:textFill>
        </w:rPr>
        <w:t xml:space="preserve"> (blue clade) and node B is </w:t>
      </w:r>
      <w:r>
        <w:rPr>
          <w:rStyle w:val="None"/>
          <w:rFonts w:ascii="Helvetica" w:hAnsi="Helvetica"/>
          <w:i w:val="1"/>
          <w:iCs w:val="1"/>
          <w:outline w:val="0"/>
          <w:color w:val="5a6570"/>
          <w:u w:color="5a6570"/>
          <w:rtl w:val="0"/>
          <w:lang w:val="nl-NL"/>
          <w14:textFill>
            <w14:solidFill>
              <w14:srgbClr w14:val="5A6570"/>
            </w14:solidFill>
          </w14:textFill>
        </w:rPr>
        <w:t>Auparoparo</w:t>
      </w:r>
      <w:r>
        <w:rPr>
          <w:rStyle w:val="None"/>
          <w:rFonts w:ascii="Helvetica" w:hAnsi="Helvetica"/>
          <w:outline w:val="0"/>
          <w:color w:val="5a6570"/>
          <w:u w:color="5a6570"/>
          <w:rtl w:val="0"/>
          <w:lang w:val="en-US"/>
          <w14:textFill>
            <w14:solidFill>
              <w14:srgbClr w14:val="5A6570"/>
            </w14:solidFill>
          </w14:textFill>
        </w:rPr>
        <w:t xml:space="preserve"> (red clade) based on the position of the type species </w:t>
      </w:r>
      <w:r>
        <w:rPr>
          <w:rStyle w:val="None"/>
          <w:rFonts w:ascii="Helvetica" w:hAnsi="Helvetica"/>
          <w:i w:val="1"/>
          <w:iCs w:val="1"/>
          <w:outline w:val="0"/>
          <w:color w:val="5a6570"/>
          <w:u w:color="5a6570"/>
          <w:rtl w:val="0"/>
          <w:lang w:val="en-US"/>
          <w14:textFill>
            <w14:solidFill>
              <w14:srgbClr w14:val="5A6570"/>
            </w14:solidFill>
          </w14:textFill>
        </w:rPr>
        <w:t>Oreophryne senkenbergiana</w:t>
      </w:r>
      <w:r>
        <w:rPr>
          <w:rStyle w:val="None"/>
          <w:rFonts w:ascii="Helvetica" w:hAnsi="Helvetica"/>
          <w:outline w:val="0"/>
          <w:color w:val="5a6570"/>
          <w:u w:color="5a6570"/>
          <w:rtl w:val="0"/>
          <w:lang w:val="en-US"/>
          <w14:textFill>
            <w14:solidFill>
              <w14:srgbClr w14:val="5A6570"/>
            </w14:solidFill>
          </w14:textFill>
        </w:rPr>
        <w:t>. Molecular evidence includes two mitochondrial and three nuclear markers analyzed using Maximum Likelihood following Rivera et al. (</w:t>
      </w:r>
      <w:r>
        <w:rPr>
          <w:rStyle w:val="None"/>
          <w:rFonts w:ascii="Helvetica" w:hAnsi="Helvetica"/>
          <w:outline w:val="0"/>
          <w:color w:val="0d6efd"/>
          <w:u w:color="0d6efd"/>
          <w:rtl w:val="0"/>
          <w:lang w:val="en-US"/>
          <w14:textFill>
            <w14:solidFill>
              <w14:srgbClr w14:val="0D6EFD"/>
            </w14:solidFill>
          </w14:textFill>
        </w:rPr>
        <w:t>2017</w:t>
      </w:r>
      <w:r>
        <w:rPr>
          <w:rStyle w:val="None"/>
          <w:rFonts w:ascii="Helvetica" w:hAnsi="Helvetica"/>
          <w:outline w:val="0"/>
          <w:color w:val="5a6570"/>
          <w:u w:color="5a6570"/>
          <w:rtl w:val="0"/>
          <w:lang w:val="en-US"/>
          <w14:textFill>
            <w14:solidFill>
              <w14:srgbClr w14:val="5A6570"/>
            </w14:solidFill>
          </w14:textFill>
        </w:rPr>
        <w:t>); Hill et al. (</w:t>
      </w:r>
      <w:r>
        <w:rPr>
          <w:rStyle w:val="None"/>
          <w:rFonts w:ascii="Helvetica" w:hAnsi="Helvetica"/>
          <w:outline w:val="0"/>
          <w:color w:val="0d6efd"/>
          <w:u w:color="0d6efd"/>
          <w:rtl w:val="0"/>
          <w:lang w:val="en-US"/>
          <w14:textFill>
            <w14:solidFill>
              <w14:srgbClr w14:val="0D6EFD"/>
            </w14:solidFill>
          </w14:textFill>
        </w:rPr>
        <w:t>2022</w:t>
      </w:r>
      <w:r>
        <w:rPr>
          <w:rStyle w:val="None"/>
          <w:rFonts w:ascii="Helvetica" w:hAnsi="Helvetica"/>
          <w:outline w:val="0"/>
          <w:color w:val="5a6570"/>
          <w:u w:color="5a6570"/>
          <w:rtl w:val="0"/>
          <w:lang w:val="en-US"/>
          <w14:textFill>
            <w14:solidFill>
              <w14:srgbClr w14:val="5A6570"/>
            </w14:solidFill>
          </w14:textFill>
        </w:rPr>
        <w:t>). Nodal support: black dots indicate ML boostrap support &gt;= 95%, grey dots &gt;= 75%, numeric values given for nodes below 75% support. Outgroup taxa excluded.</w:t>
      </w:r>
    </w:p>
    <w:p>
      <w:pPr>
        <w:pStyle w:val="Default"/>
        <w:spacing w:before="0" w:line="480" w:lineRule="auto"/>
        <w:rPr>
          <w:rFonts w:ascii="Helvetica" w:cs="Helvetica" w:hAnsi="Helvetica" w:eastAsia="Helvetica"/>
          <w:outline w:val="0"/>
          <w:color w:val="5a6570"/>
          <w:u w:color="5a6570"/>
          <w14:textFill>
            <w14:solidFill>
              <w14:srgbClr w14:val="5A6570"/>
            </w14:solidFill>
          </w14:textFill>
        </w:rPr>
      </w:pPr>
    </w:p>
    <w:p>
      <w:pPr>
        <w:pStyle w:val="Default"/>
        <w:spacing w:before="0" w:line="480" w:lineRule="auto"/>
      </w:pPr>
      <w:r>
        <w:rPr>
          <w:rStyle w:val="None"/>
          <w:rFonts w:ascii="Helvetica" w:hAnsi="Helvetica"/>
          <w:smallCaps w:val="1"/>
          <w:rtl w:val="0"/>
          <w:lang w:val="it-IT"/>
        </w:rPr>
        <w:t>Fig</w:t>
      </w:r>
      <w:r>
        <w:rPr>
          <w:rStyle w:val="None"/>
          <w:rFonts w:ascii="Helvetica" w:hAnsi="Helvetica"/>
          <w:smallCaps w:val="1"/>
          <w:rtl w:val="0"/>
          <w:lang w:val="en-US"/>
        </w:rPr>
        <w:t>.</w:t>
      </w:r>
      <w:r>
        <w:rPr>
          <w:rStyle w:val="None"/>
          <w:rFonts w:ascii="Helvetica" w:hAnsi="Helvetica" w:hint="default"/>
          <w:smallCaps w:val="1"/>
          <w:rtl w:val="0"/>
          <w:lang w:val="en-US"/>
        </w:rPr>
        <w:t> </w:t>
      </w:r>
      <w:r>
        <w:rPr>
          <w:rStyle w:val="None"/>
          <w:rFonts w:ascii="Helvetica" w:hAnsi="Helvetica"/>
          <w:smallCaps w:val="1"/>
          <w:rtl w:val="0"/>
          <w:lang w:val="en-US"/>
        </w:rPr>
        <w:t>3.</w:t>
      </w:r>
      <w:r>
        <w:rPr>
          <w:rStyle w:val="None"/>
          <w:rFonts w:ascii="Helvetica" w:hAnsi="Helvetica" w:hint="default"/>
          <w:outline w:val="0"/>
          <w:color w:val="5a6570"/>
          <w:u w:color="5a6570"/>
          <w:rtl w:val="0"/>
          <w:lang w:val="en-US"/>
          <w14:textFill>
            <w14:solidFill>
              <w14:srgbClr w14:val="5A6570"/>
            </w14:solidFill>
          </w14:textFill>
        </w:rPr>
        <w:t>—</w:t>
      </w:r>
      <w:r>
        <w:rPr>
          <w:rStyle w:val="None"/>
          <w:rFonts w:ascii="Helvetica" w:hAnsi="Helvetica"/>
          <w:outline w:val="0"/>
          <w:color w:val="5a6570"/>
          <w:u w:color="5a6570"/>
          <w:rtl w:val="0"/>
          <w:lang w:val="en-US"/>
          <w14:textFill>
            <w14:solidFill>
              <w14:srgbClr w14:val="5A6570"/>
            </w14:solidFill>
          </w14:textFill>
        </w:rPr>
        <w:t xml:space="preserve">The known distribution of </w:t>
      </w:r>
      <w:r>
        <w:rPr>
          <w:rStyle w:val="None"/>
          <w:rFonts w:ascii="Helvetica" w:hAnsi="Helvetica"/>
          <w:i w:val="1"/>
          <w:iCs w:val="1"/>
          <w:outline w:val="0"/>
          <w:color w:val="5a6570"/>
          <w:u w:color="5a6570"/>
          <w:rtl w:val="0"/>
          <w:lang w:val="en-US"/>
          <w14:textFill>
            <w14:solidFill>
              <w14:srgbClr w14:val="5A6570"/>
            </w14:solidFill>
          </w14:textFill>
        </w:rPr>
        <w:t>Oreophryne sensu lato</w:t>
      </w:r>
      <w:r>
        <w:rPr>
          <w:rStyle w:val="None"/>
          <w:rFonts w:ascii="Helvetica" w:hAnsi="Helvetica"/>
          <w:outline w:val="0"/>
          <w:color w:val="5a6570"/>
          <w:u w:color="5a6570"/>
          <w:rtl w:val="0"/>
          <w:lang w:val="en-US"/>
          <w14:textFill>
            <w14:solidFill>
              <w14:srgbClr w14:val="5A6570"/>
            </w14:solidFill>
          </w14:textFill>
        </w:rPr>
        <w:t xml:space="preserve"> is plotted in grey polygons (data source </w:t>
      </w:r>
      <w:r>
        <w:rPr>
          <w:rStyle w:val="None"/>
          <w:rFonts w:ascii="Helvetica" w:hAnsi="Helvetica"/>
          <w:outline w:val="0"/>
          <w:color w:val="0d6efd"/>
          <w:u w:color="0d6efd"/>
          <w:rtl w:val="0"/>
          <w:lang w:val="en-US"/>
          <w14:textFill>
            <w14:solidFill>
              <w14:srgbClr w14:val="0D6EFD"/>
            </w14:solidFill>
          </w14:textFill>
        </w:rPr>
        <w:t>IUCN 2025</w:t>
      </w:r>
      <w:r>
        <w:rPr>
          <w:rStyle w:val="None"/>
          <w:rFonts w:ascii="Helvetica" w:hAnsi="Helvetica"/>
          <w:outline w:val="0"/>
          <w:color w:val="5a6570"/>
          <w:u w:color="5a6570"/>
          <w:rtl w:val="0"/>
          <w:lang w:val="en-US"/>
          <w14:textFill>
            <w14:solidFill>
              <w14:srgbClr w14:val="5A6570"/>
            </w14:solidFill>
          </w14:textFill>
        </w:rPr>
        <w:t xml:space="preserve">), with points indicating </w:t>
      </w:r>
      <w:r>
        <w:rPr>
          <w:rStyle w:val="None"/>
          <w:rFonts w:ascii="Helvetica" w:hAnsi="Helvetica"/>
          <w:i w:val="1"/>
          <w:iCs w:val="1"/>
          <w:outline w:val="0"/>
          <w:color w:val="5a6570"/>
          <w:u w:color="5a6570"/>
          <w:rtl w:val="0"/>
          <w:lang w:val="nl-NL"/>
          <w14:textFill>
            <w14:solidFill>
              <w14:srgbClr w14:val="5A6570"/>
            </w14:solidFill>
          </w14:textFill>
        </w:rPr>
        <w:t>Auparoparo</w:t>
      </w:r>
      <w:r>
        <w:rPr>
          <w:rStyle w:val="None"/>
          <w:rFonts w:ascii="Helvetica" w:hAnsi="Helvetica"/>
          <w:outline w:val="0"/>
          <w:color w:val="5a6570"/>
          <w:u w:color="5a6570"/>
          <w:rtl w:val="0"/>
          <w:lang w:val="en-US"/>
          <w14:textFill>
            <w14:solidFill>
              <w14:srgbClr w14:val="5A6570"/>
            </w14:solidFill>
          </w14:textFill>
        </w:rPr>
        <w:t xml:space="preserve"> (red) and </w:t>
      </w:r>
      <w:r>
        <w:rPr>
          <w:rStyle w:val="None"/>
          <w:rFonts w:ascii="Helvetica" w:hAnsi="Helvetica"/>
          <w:i w:val="1"/>
          <w:iCs w:val="1"/>
          <w:outline w:val="0"/>
          <w:color w:val="5a6570"/>
          <w:u w:color="5a6570"/>
          <w:rtl w:val="0"/>
          <w:lang w:val="en-US"/>
          <w14:textFill>
            <w14:solidFill>
              <w14:srgbClr w14:val="5A6570"/>
            </w14:solidFill>
          </w14:textFill>
        </w:rPr>
        <w:t>Oreophryne</w:t>
      </w:r>
      <w:r>
        <w:rPr>
          <w:rStyle w:val="None"/>
          <w:rFonts w:ascii="Helvetica" w:hAnsi="Helvetica"/>
          <w:outline w:val="0"/>
          <w:color w:val="5a6570"/>
          <w:u w:color="5a6570"/>
          <w:rtl w:val="0"/>
          <w:lang w:val="en-US"/>
          <w14:textFill>
            <w14:solidFill>
              <w14:srgbClr w14:val="5A6570"/>
            </w14:solidFill>
          </w14:textFill>
        </w:rPr>
        <w:t xml:space="preserve"> (blue) as identified by our phylogeny </w:t>
      </w:r>
      <w:r>
        <w:rPr>
          <w:rStyle w:val="None"/>
          <w:rFonts w:ascii="Helvetica" w:hAnsi="Helvetica"/>
          <w:outline w:val="0"/>
          <w:color w:val="0d6efd"/>
          <w:u w:val="single" w:color="0c6dfd"/>
          <w:rtl w:val="0"/>
          <w:lang w:val="de-DE"/>
          <w14:textFill>
            <w14:solidFill>
              <w14:srgbClr w14:val="0D6EFD"/>
            </w14:solidFill>
          </w14:textFill>
        </w:rPr>
        <w:t>Figure</w:t>
      </w:r>
      <w:r>
        <w:rPr>
          <w:rStyle w:val="None"/>
          <w:rFonts w:ascii="Helvetica" w:hAnsi="Helvetica" w:hint="default"/>
          <w:outline w:val="0"/>
          <w:color w:val="0d6efd"/>
          <w:u w:val="single" w:color="0c6dfd"/>
          <w:rtl w:val="0"/>
          <w:lang w:val="en-US"/>
          <w14:textFill>
            <w14:solidFill>
              <w14:srgbClr w14:val="0D6EFD"/>
            </w14:solidFill>
          </w14:textFill>
        </w:rPr>
        <w:t> </w:t>
      </w:r>
      <w:r>
        <w:rPr>
          <w:rStyle w:val="None"/>
          <w:rFonts w:ascii="Helvetica" w:hAnsi="Helvetica"/>
          <w:outline w:val="0"/>
          <w:color w:val="0d6efd"/>
          <w:u w:val="single" w:color="0c6dfd"/>
          <w:rtl w:val="0"/>
          <w:lang w:val="en-US"/>
          <w14:textFill>
            <w14:solidFill>
              <w14:srgbClr w14:val="0D6EFD"/>
            </w14:solidFill>
          </w14:textFill>
        </w:rPr>
        <w:t>2</w:t>
      </w:r>
      <w:r>
        <w:rPr>
          <w:rStyle w:val="None"/>
          <w:rFonts w:ascii="Helvetica" w:hAnsi="Helvetica"/>
          <w:outline w:val="0"/>
          <w:color w:val="5a6570"/>
          <w:u w:color="0c6dfd"/>
          <w:rtl w:val="0"/>
          <w:lang w:val="en-US"/>
          <w14:textFill>
            <w14:solidFill>
              <w14:srgbClr w14:val="5A6570"/>
            </w14:solidFill>
          </w14:textFill>
        </w:rPr>
        <w:t>. Note that there is overlap among points</w:t>
      </w:r>
    </w:p>
    <w:sectPr>
      <w:headerReference w:type="default" r:id="rId6"/>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Aptos Display">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607218</wp:posOffset>
              </wp:positionH>
              <wp:positionV relativeFrom="page">
                <wp:posOffset>914399</wp:posOffset>
              </wp:positionV>
              <wp:extent cx="307182" cy="7385169"/>
              <wp:effectExtent l="0" t="0" r="0" b="0"/>
              <wp:wrapNone/>
              <wp:docPr id="1073741825" name="officeArt object" descr="1…"/>
              <wp:cNvGraphicFramePr/>
              <a:graphic xmlns:a="http://schemas.openxmlformats.org/drawingml/2006/main">
                <a:graphicData uri="http://schemas.microsoft.com/office/word/2010/wordprocessingShape">
                  <wps:wsp>
                    <wps:cNvSpPr txBox="1"/>
                    <wps:spPr>
                      <a:xfrm>
                        <a:off x="0" y="0"/>
                        <a:ext cx="307182" cy="7385169"/>
                      </a:xfrm>
                      <a:prstGeom prst="rect">
                        <a:avLst/>
                      </a:prstGeom>
                      <a:noFill/>
                      <a:ln w="12700" cap="flat">
                        <a:noFill/>
                        <a:miter lim="400000"/>
                      </a:ln>
                      <a:effectLst/>
                    </wps:spPr>
                    <wps:txbx>
                      <w:txbxContent>
                        <w:p>
                          <w:pPr>
                            <w:pStyle w:val="Body Text"/>
                            <w:spacing w:before="0" w:after="0"/>
                            <w:rPr>
                              <w:rFonts w:ascii="Helvetica" w:cs="Helvetica" w:hAnsi="Helvetica" w:eastAsia="Helvetica"/>
                            </w:rPr>
                          </w:pPr>
                          <w:r>
                            <w:rPr>
                              <w:rFonts w:ascii="Helvetica" w:hAnsi="Helvetica"/>
                              <w:rtl w:val="0"/>
                            </w:rPr>
                            <w:t>1</w:t>
                          </w:r>
                        </w:p>
                        <w:p>
                          <w:pPr>
                            <w:pStyle w:val="Body Text"/>
                            <w:spacing w:before="0" w:after="0"/>
                            <w:rPr>
                              <w:rFonts w:ascii="Helvetica" w:cs="Helvetica" w:hAnsi="Helvetica" w:eastAsia="Helvetica"/>
                            </w:rPr>
                          </w:pPr>
                          <w:r>
                            <w:rPr>
                              <w:rFonts w:ascii="Helvetica" w:hAnsi="Helvetica"/>
                              <w:rtl w:val="0"/>
                            </w:rPr>
                            <w:t>2</w:t>
                          </w:r>
                        </w:p>
                        <w:p>
                          <w:pPr>
                            <w:pStyle w:val="Body Text"/>
                            <w:spacing w:before="0" w:after="0"/>
                            <w:rPr>
                              <w:rFonts w:ascii="Helvetica" w:cs="Helvetica" w:hAnsi="Helvetica" w:eastAsia="Helvetica"/>
                            </w:rPr>
                          </w:pPr>
                          <w:r>
                            <w:rPr>
                              <w:rFonts w:ascii="Helvetica" w:hAnsi="Helvetica"/>
                              <w:rtl w:val="0"/>
                            </w:rPr>
                            <w:t>3</w:t>
                          </w:r>
                        </w:p>
                        <w:p>
                          <w:pPr>
                            <w:pStyle w:val="Body Text"/>
                            <w:spacing w:before="0" w:after="0"/>
                            <w:rPr>
                              <w:rFonts w:ascii="Helvetica" w:cs="Helvetica" w:hAnsi="Helvetica" w:eastAsia="Helvetica"/>
                            </w:rPr>
                          </w:pPr>
                          <w:r>
                            <w:rPr>
                              <w:rFonts w:ascii="Helvetica" w:hAnsi="Helvetica"/>
                              <w:rtl w:val="0"/>
                            </w:rPr>
                            <w:t>4</w:t>
                          </w:r>
                        </w:p>
                        <w:p>
                          <w:pPr>
                            <w:pStyle w:val="Body Text"/>
                            <w:spacing w:before="0" w:after="0"/>
                            <w:rPr>
                              <w:rFonts w:ascii="Helvetica" w:cs="Helvetica" w:hAnsi="Helvetica" w:eastAsia="Helvetica"/>
                            </w:rPr>
                          </w:pPr>
                          <w:r>
                            <w:rPr>
                              <w:rFonts w:ascii="Helvetica" w:hAnsi="Helvetica"/>
                              <w:rtl w:val="0"/>
                            </w:rPr>
                            <w:t>5</w:t>
                          </w:r>
                        </w:p>
                        <w:p>
                          <w:pPr>
                            <w:pStyle w:val="Body Text"/>
                            <w:spacing w:before="0" w:after="0"/>
                            <w:rPr>
                              <w:rFonts w:ascii="Helvetica" w:cs="Helvetica" w:hAnsi="Helvetica" w:eastAsia="Helvetica"/>
                            </w:rPr>
                          </w:pPr>
                          <w:r>
                            <w:rPr>
                              <w:rFonts w:ascii="Helvetica" w:hAnsi="Helvetica"/>
                              <w:rtl w:val="0"/>
                            </w:rPr>
                            <w:t>6</w:t>
                          </w:r>
                        </w:p>
                        <w:p>
                          <w:pPr>
                            <w:pStyle w:val="Body Text"/>
                            <w:spacing w:before="0" w:after="0"/>
                            <w:rPr>
                              <w:rFonts w:ascii="Helvetica" w:cs="Helvetica" w:hAnsi="Helvetica" w:eastAsia="Helvetica"/>
                            </w:rPr>
                          </w:pPr>
                          <w:r>
                            <w:rPr>
                              <w:rFonts w:ascii="Helvetica" w:hAnsi="Helvetica"/>
                              <w:rtl w:val="0"/>
                            </w:rPr>
                            <w:t>7</w:t>
                          </w:r>
                        </w:p>
                        <w:p>
                          <w:pPr>
                            <w:pStyle w:val="Body Text"/>
                            <w:spacing w:before="0" w:after="0"/>
                            <w:rPr>
                              <w:rFonts w:ascii="Helvetica" w:cs="Helvetica" w:hAnsi="Helvetica" w:eastAsia="Helvetica"/>
                            </w:rPr>
                          </w:pPr>
                          <w:r>
                            <w:rPr>
                              <w:rFonts w:ascii="Helvetica" w:hAnsi="Helvetica"/>
                              <w:rtl w:val="0"/>
                            </w:rPr>
                            <w:t>8</w:t>
                          </w:r>
                        </w:p>
                        <w:p>
                          <w:pPr>
                            <w:pStyle w:val="Body Text"/>
                            <w:spacing w:before="0" w:after="0"/>
                            <w:rPr>
                              <w:rFonts w:ascii="Helvetica" w:cs="Helvetica" w:hAnsi="Helvetica" w:eastAsia="Helvetica"/>
                            </w:rPr>
                          </w:pPr>
                          <w:r>
                            <w:rPr>
                              <w:rFonts w:ascii="Helvetica" w:hAnsi="Helvetica"/>
                              <w:rtl w:val="0"/>
                            </w:rPr>
                            <w:t>9</w:t>
                          </w:r>
                        </w:p>
                        <w:p>
                          <w:pPr>
                            <w:pStyle w:val="Body Text"/>
                            <w:spacing w:before="0" w:after="0"/>
                            <w:rPr>
                              <w:rFonts w:ascii="Helvetica" w:cs="Helvetica" w:hAnsi="Helvetica" w:eastAsia="Helvetica"/>
                            </w:rPr>
                          </w:pPr>
                          <w:r>
                            <w:rPr>
                              <w:rFonts w:ascii="Helvetica" w:hAnsi="Helvetica"/>
                              <w:rtl w:val="0"/>
                            </w:rPr>
                            <w:t>10</w:t>
                          </w:r>
                        </w:p>
                        <w:p>
                          <w:pPr>
                            <w:pStyle w:val="Body Text"/>
                            <w:spacing w:before="0" w:after="0"/>
                            <w:rPr>
                              <w:rFonts w:ascii="Helvetica" w:cs="Helvetica" w:hAnsi="Helvetica" w:eastAsia="Helvetica"/>
                            </w:rPr>
                          </w:pPr>
                          <w:r>
                            <w:rPr>
                              <w:rFonts w:ascii="Helvetica" w:hAnsi="Helvetica"/>
                              <w:rtl w:val="0"/>
                            </w:rPr>
                            <w:t>11</w:t>
                          </w:r>
                        </w:p>
                        <w:p>
                          <w:pPr>
                            <w:pStyle w:val="Body Text"/>
                            <w:spacing w:before="0" w:after="0"/>
                            <w:rPr>
                              <w:rFonts w:ascii="Helvetica" w:cs="Helvetica" w:hAnsi="Helvetica" w:eastAsia="Helvetica"/>
                            </w:rPr>
                          </w:pPr>
                          <w:r>
                            <w:rPr>
                              <w:rFonts w:ascii="Helvetica" w:hAnsi="Helvetica"/>
                              <w:rtl w:val="0"/>
                            </w:rPr>
                            <w:t>12</w:t>
                          </w:r>
                        </w:p>
                        <w:p>
                          <w:pPr>
                            <w:pStyle w:val="Body Text"/>
                            <w:spacing w:before="0" w:after="0"/>
                            <w:rPr>
                              <w:rFonts w:ascii="Helvetica" w:cs="Helvetica" w:hAnsi="Helvetica" w:eastAsia="Helvetica"/>
                            </w:rPr>
                          </w:pPr>
                          <w:r>
                            <w:rPr>
                              <w:rFonts w:ascii="Helvetica" w:hAnsi="Helvetica"/>
                              <w:rtl w:val="0"/>
                            </w:rPr>
                            <w:t>13</w:t>
                          </w:r>
                        </w:p>
                        <w:p>
                          <w:pPr>
                            <w:pStyle w:val="Body Text"/>
                            <w:spacing w:before="0" w:after="0"/>
                            <w:rPr>
                              <w:rFonts w:ascii="Helvetica" w:cs="Helvetica" w:hAnsi="Helvetica" w:eastAsia="Helvetica"/>
                            </w:rPr>
                          </w:pPr>
                          <w:r>
                            <w:rPr>
                              <w:rFonts w:ascii="Helvetica" w:hAnsi="Helvetica"/>
                              <w:rtl w:val="0"/>
                            </w:rPr>
                            <w:t>14</w:t>
                          </w:r>
                        </w:p>
                        <w:p>
                          <w:pPr>
                            <w:pStyle w:val="Body Text"/>
                            <w:spacing w:before="0" w:after="0"/>
                            <w:rPr>
                              <w:rFonts w:ascii="Helvetica" w:cs="Helvetica" w:hAnsi="Helvetica" w:eastAsia="Helvetica"/>
                            </w:rPr>
                          </w:pPr>
                          <w:r>
                            <w:rPr>
                              <w:rFonts w:ascii="Helvetica" w:hAnsi="Helvetica"/>
                              <w:rtl w:val="0"/>
                            </w:rPr>
                            <w:t>15</w:t>
                          </w:r>
                        </w:p>
                        <w:p>
                          <w:pPr>
                            <w:pStyle w:val="Body Text"/>
                            <w:spacing w:before="0" w:after="0"/>
                            <w:rPr>
                              <w:rFonts w:ascii="Helvetica" w:cs="Helvetica" w:hAnsi="Helvetica" w:eastAsia="Helvetica"/>
                            </w:rPr>
                          </w:pPr>
                          <w:r>
                            <w:rPr>
                              <w:rFonts w:ascii="Helvetica" w:hAnsi="Helvetica"/>
                              <w:rtl w:val="0"/>
                            </w:rPr>
                            <w:t>16</w:t>
                          </w:r>
                        </w:p>
                        <w:p>
                          <w:pPr>
                            <w:pStyle w:val="Body Text"/>
                            <w:spacing w:before="0" w:after="0"/>
                            <w:rPr>
                              <w:rFonts w:ascii="Helvetica" w:cs="Helvetica" w:hAnsi="Helvetica" w:eastAsia="Helvetica"/>
                            </w:rPr>
                          </w:pPr>
                          <w:r>
                            <w:rPr>
                              <w:rFonts w:ascii="Helvetica" w:hAnsi="Helvetica"/>
                              <w:rtl w:val="0"/>
                            </w:rPr>
                            <w:t>17</w:t>
                          </w:r>
                        </w:p>
                        <w:p>
                          <w:pPr>
                            <w:pStyle w:val="Body Text"/>
                            <w:spacing w:before="0" w:after="0"/>
                            <w:rPr>
                              <w:rFonts w:ascii="Helvetica" w:cs="Helvetica" w:hAnsi="Helvetica" w:eastAsia="Helvetica"/>
                            </w:rPr>
                          </w:pPr>
                          <w:r>
                            <w:rPr>
                              <w:rFonts w:ascii="Helvetica" w:hAnsi="Helvetica"/>
                              <w:rtl w:val="0"/>
                            </w:rPr>
                            <w:t>18</w:t>
                          </w:r>
                        </w:p>
                        <w:p>
                          <w:pPr>
                            <w:pStyle w:val="Body Text"/>
                            <w:spacing w:before="0" w:after="0"/>
                            <w:rPr>
                              <w:rFonts w:ascii="Helvetica" w:cs="Helvetica" w:hAnsi="Helvetica" w:eastAsia="Helvetica"/>
                            </w:rPr>
                          </w:pPr>
                          <w:r>
                            <w:rPr>
                              <w:rFonts w:ascii="Helvetica" w:hAnsi="Helvetica"/>
                              <w:rtl w:val="0"/>
                            </w:rPr>
                            <w:t>19</w:t>
                          </w:r>
                        </w:p>
                        <w:p>
                          <w:pPr>
                            <w:pStyle w:val="Body Text"/>
                            <w:spacing w:before="0" w:after="0"/>
                            <w:rPr>
                              <w:rFonts w:ascii="Helvetica" w:cs="Helvetica" w:hAnsi="Helvetica" w:eastAsia="Helvetica"/>
                            </w:rPr>
                          </w:pPr>
                          <w:r>
                            <w:rPr>
                              <w:rFonts w:ascii="Helvetica" w:hAnsi="Helvetica"/>
                              <w:rtl w:val="0"/>
                            </w:rPr>
                            <w:t>20</w:t>
                          </w:r>
                        </w:p>
                        <w:p>
                          <w:pPr>
                            <w:pStyle w:val="Body Text"/>
                            <w:spacing w:before="0" w:after="0"/>
                          </w:pPr>
                          <w:r>
                            <w:rPr>
                              <w:rFonts w:ascii="Helvetica" w:hAnsi="Helvetica"/>
                              <w:rtl w:val="0"/>
                            </w:rPr>
                            <w:t>21</w:t>
                          </w:r>
                        </w:p>
                      </w:txbxContent>
                    </wps:txbx>
                    <wps:bodyPr wrap="square" lIns="45718" tIns="45718" rIns="45718" bIns="45718" numCol="1" anchor="t">
                      <a:noAutofit/>
                    </wps:bodyPr>
                  </wps:wsp>
                </a:graphicData>
              </a:graphic>
            </wp:anchor>
          </w:drawing>
        </mc:Choice>
        <mc:Fallback>
          <w:pict>
            <v:shape id="_x0000_s1026" type="#_x0000_t202" style="visibility:visible;position:absolute;margin-left:47.8pt;margin-top:72.0pt;width:24.2pt;height:581.5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0" w:after="0"/>
                      <w:rPr>
                        <w:rFonts w:ascii="Helvetica" w:cs="Helvetica" w:hAnsi="Helvetica" w:eastAsia="Helvetica"/>
                      </w:rPr>
                    </w:pPr>
                    <w:r>
                      <w:rPr>
                        <w:rFonts w:ascii="Helvetica" w:hAnsi="Helvetica"/>
                        <w:rtl w:val="0"/>
                      </w:rPr>
                      <w:t>1</w:t>
                    </w:r>
                  </w:p>
                  <w:p>
                    <w:pPr>
                      <w:pStyle w:val="Body Text"/>
                      <w:spacing w:before="0" w:after="0"/>
                      <w:rPr>
                        <w:rFonts w:ascii="Helvetica" w:cs="Helvetica" w:hAnsi="Helvetica" w:eastAsia="Helvetica"/>
                      </w:rPr>
                    </w:pPr>
                    <w:r>
                      <w:rPr>
                        <w:rFonts w:ascii="Helvetica" w:hAnsi="Helvetica"/>
                        <w:rtl w:val="0"/>
                      </w:rPr>
                      <w:t>2</w:t>
                    </w:r>
                  </w:p>
                  <w:p>
                    <w:pPr>
                      <w:pStyle w:val="Body Text"/>
                      <w:spacing w:before="0" w:after="0"/>
                      <w:rPr>
                        <w:rFonts w:ascii="Helvetica" w:cs="Helvetica" w:hAnsi="Helvetica" w:eastAsia="Helvetica"/>
                      </w:rPr>
                    </w:pPr>
                    <w:r>
                      <w:rPr>
                        <w:rFonts w:ascii="Helvetica" w:hAnsi="Helvetica"/>
                        <w:rtl w:val="0"/>
                      </w:rPr>
                      <w:t>3</w:t>
                    </w:r>
                  </w:p>
                  <w:p>
                    <w:pPr>
                      <w:pStyle w:val="Body Text"/>
                      <w:spacing w:before="0" w:after="0"/>
                      <w:rPr>
                        <w:rFonts w:ascii="Helvetica" w:cs="Helvetica" w:hAnsi="Helvetica" w:eastAsia="Helvetica"/>
                      </w:rPr>
                    </w:pPr>
                    <w:r>
                      <w:rPr>
                        <w:rFonts w:ascii="Helvetica" w:hAnsi="Helvetica"/>
                        <w:rtl w:val="0"/>
                      </w:rPr>
                      <w:t>4</w:t>
                    </w:r>
                  </w:p>
                  <w:p>
                    <w:pPr>
                      <w:pStyle w:val="Body Text"/>
                      <w:spacing w:before="0" w:after="0"/>
                      <w:rPr>
                        <w:rFonts w:ascii="Helvetica" w:cs="Helvetica" w:hAnsi="Helvetica" w:eastAsia="Helvetica"/>
                      </w:rPr>
                    </w:pPr>
                    <w:r>
                      <w:rPr>
                        <w:rFonts w:ascii="Helvetica" w:hAnsi="Helvetica"/>
                        <w:rtl w:val="0"/>
                      </w:rPr>
                      <w:t>5</w:t>
                    </w:r>
                  </w:p>
                  <w:p>
                    <w:pPr>
                      <w:pStyle w:val="Body Text"/>
                      <w:spacing w:before="0" w:after="0"/>
                      <w:rPr>
                        <w:rFonts w:ascii="Helvetica" w:cs="Helvetica" w:hAnsi="Helvetica" w:eastAsia="Helvetica"/>
                      </w:rPr>
                    </w:pPr>
                    <w:r>
                      <w:rPr>
                        <w:rFonts w:ascii="Helvetica" w:hAnsi="Helvetica"/>
                        <w:rtl w:val="0"/>
                      </w:rPr>
                      <w:t>6</w:t>
                    </w:r>
                  </w:p>
                  <w:p>
                    <w:pPr>
                      <w:pStyle w:val="Body Text"/>
                      <w:spacing w:before="0" w:after="0"/>
                      <w:rPr>
                        <w:rFonts w:ascii="Helvetica" w:cs="Helvetica" w:hAnsi="Helvetica" w:eastAsia="Helvetica"/>
                      </w:rPr>
                    </w:pPr>
                    <w:r>
                      <w:rPr>
                        <w:rFonts w:ascii="Helvetica" w:hAnsi="Helvetica"/>
                        <w:rtl w:val="0"/>
                      </w:rPr>
                      <w:t>7</w:t>
                    </w:r>
                  </w:p>
                  <w:p>
                    <w:pPr>
                      <w:pStyle w:val="Body Text"/>
                      <w:spacing w:before="0" w:after="0"/>
                      <w:rPr>
                        <w:rFonts w:ascii="Helvetica" w:cs="Helvetica" w:hAnsi="Helvetica" w:eastAsia="Helvetica"/>
                      </w:rPr>
                    </w:pPr>
                    <w:r>
                      <w:rPr>
                        <w:rFonts w:ascii="Helvetica" w:hAnsi="Helvetica"/>
                        <w:rtl w:val="0"/>
                      </w:rPr>
                      <w:t>8</w:t>
                    </w:r>
                  </w:p>
                  <w:p>
                    <w:pPr>
                      <w:pStyle w:val="Body Text"/>
                      <w:spacing w:before="0" w:after="0"/>
                      <w:rPr>
                        <w:rFonts w:ascii="Helvetica" w:cs="Helvetica" w:hAnsi="Helvetica" w:eastAsia="Helvetica"/>
                      </w:rPr>
                    </w:pPr>
                    <w:r>
                      <w:rPr>
                        <w:rFonts w:ascii="Helvetica" w:hAnsi="Helvetica"/>
                        <w:rtl w:val="0"/>
                      </w:rPr>
                      <w:t>9</w:t>
                    </w:r>
                  </w:p>
                  <w:p>
                    <w:pPr>
                      <w:pStyle w:val="Body Text"/>
                      <w:spacing w:before="0" w:after="0"/>
                      <w:rPr>
                        <w:rFonts w:ascii="Helvetica" w:cs="Helvetica" w:hAnsi="Helvetica" w:eastAsia="Helvetica"/>
                      </w:rPr>
                    </w:pPr>
                    <w:r>
                      <w:rPr>
                        <w:rFonts w:ascii="Helvetica" w:hAnsi="Helvetica"/>
                        <w:rtl w:val="0"/>
                      </w:rPr>
                      <w:t>10</w:t>
                    </w:r>
                  </w:p>
                  <w:p>
                    <w:pPr>
                      <w:pStyle w:val="Body Text"/>
                      <w:spacing w:before="0" w:after="0"/>
                      <w:rPr>
                        <w:rFonts w:ascii="Helvetica" w:cs="Helvetica" w:hAnsi="Helvetica" w:eastAsia="Helvetica"/>
                      </w:rPr>
                    </w:pPr>
                    <w:r>
                      <w:rPr>
                        <w:rFonts w:ascii="Helvetica" w:hAnsi="Helvetica"/>
                        <w:rtl w:val="0"/>
                      </w:rPr>
                      <w:t>11</w:t>
                    </w:r>
                  </w:p>
                  <w:p>
                    <w:pPr>
                      <w:pStyle w:val="Body Text"/>
                      <w:spacing w:before="0" w:after="0"/>
                      <w:rPr>
                        <w:rFonts w:ascii="Helvetica" w:cs="Helvetica" w:hAnsi="Helvetica" w:eastAsia="Helvetica"/>
                      </w:rPr>
                    </w:pPr>
                    <w:r>
                      <w:rPr>
                        <w:rFonts w:ascii="Helvetica" w:hAnsi="Helvetica"/>
                        <w:rtl w:val="0"/>
                      </w:rPr>
                      <w:t>12</w:t>
                    </w:r>
                  </w:p>
                  <w:p>
                    <w:pPr>
                      <w:pStyle w:val="Body Text"/>
                      <w:spacing w:before="0" w:after="0"/>
                      <w:rPr>
                        <w:rFonts w:ascii="Helvetica" w:cs="Helvetica" w:hAnsi="Helvetica" w:eastAsia="Helvetica"/>
                      </w:rPr>
                    </w:pPr>
                    <w:r>
                      <w:rPr>
                        <w:rFonts w:ascii="Helvetica" w:hAnsi="Helvetica"/>
                        <w:rtl w:val="0"/>
                      </w:rPr>
                      <w:t>13</w:t>
                    </w:r>
                  </w:p>
                  <w:p>
                    <w:pPr>
                      <w:pStyle w:val="Body Text"/>
                      <w:spacing w:before="0" w:after="0"/>
                      <w:rPr>
                        <w:rFonts w:ascii="Helvetica" w:cs="Helvetica" w:hAnsi="Helvetica" w:eastAsia="Helvetica"/>
                      </w:rPr>
                    </w:pPr>
                    <w:r>
                      <w:rPr>
                        <w:rFonts w:ascii="Helvetica" w:hAnsi="Helvetica"/>
                        <w:rtl w:val="0"/>
                      </w:rPr>
                      <w:t>14</w:t>
                    </w:r>
                  </w:p>
                  <w:p>
                    <w:pPr>
                      <w:pStyle w:val="Body Text"/>
                      <w:spacing w:before="0" w:after="0"/>
                      <w:rPr>
                        <w:rFonts w:ascii="Helvetica" w:cs="Helvetica" w:hAnsi="Helvetica" w:eastAsia="Helvetica"/>
                      </w:rPr>
                    </w:pPr>
                    <w:r>
                      <w:rPr>
                        <w:rFonts w:ascii="Helvetica" w:hAnsi="Helvetica"/>
                        <w:rtl w:val="0"/>
                      </w:rPr>
                      <w:t>15</w:t>
                    </w:r>
                  </w:p>
                  <w:p>
                    <w:pPr>
                      <w:pStyle w:val="Body Text"/>
                      <w:spacing w:before="0" w:after="0"/>
                      <w:rPr>
                        <w:rFonts w:ascii="Helvetica" w:cs="Helvetica" w:hAnsi="Helvetica" w:eastAsia="Helvetica"/>
                      </w:rPr>
                    </w:pPr>
                    <w:r>
                      <w:rPr>
                        <w:rFonts w:ascii="Helvetica" w:hAnsi="Helvetica"/>
                        <w:rtl w:val="0"/>
                      </w:rPr>
                      <w:t>16</w:t>
                    </w:r>
                  </w:p>
                  <w:p>
                    <w:pPr>
                      <w:pStyle w:val="Body Text"/>
                      <w:spacing w:before="0" w:after="0"/>
                      <w:rPr>
                        <w:rFonts w:ascii="Helvetica" w:cs="Helvetica" w:hAnsi="Helvetica" w:eastAsia="Helvetica"/>
                      </w:rPr>
                    </w:pPr>
                    <w:r>
                      <w:rPr>
                        <w:rFonts w:ascii="Helvetica" w:hAnsi="Helvetica"/>
                        <w:rtl w:val="0"/>
                      </w:rPr>
                      <w:t>17</w:t>
                    </w:r>
                  </w:p>
                  <w:p>
                    <w:pPr>
                      <w:pStyle w:val="Body Text"/>
                      <w:spacing w:before="0" w:after="0"/>
                      <w:rPr>
                        <w:rFonts w:ascii="Helvetica" w:cs="Helvetica" w:hAnsi="Helvetica" w:eastAsia="Helvetica"/>
                      </w:rPr>
                    </w:pPr>
                    <w:r>
                      <w:rPr>
                        <w:rFonts w:ascii="Helvetica" w:hAnsi="Helvetica"/>
                        <w:rtl w:val="0"/>
                      </w:rPr>
                      <w:t>18</w:t>
                    </w:r>
                  </w:p>
                  <w:p>
                    <w:pPr>
                      <w:pStyle w:val="Body Text"/>
                      <w:spacing w:before="0" w:after="0"/>
                      <w:rPr>
                        <w:rFonts w:ascii="Helvetica" w:cs="Helvetica" w:hAnsi="Helvetica" w:eastAsia="Helvetica"/>
                      </w:rPr>
                    </w:pPr>
                    <w:r>
                      <w:rPr>
                        <w:rFonts w:ascii="Helvetica" w:hAnsi="Helvetica"/>
                        <w:rtl w:val="0"/>
                      </w:rPr>
                      <w:t>19</w:t>
                    </w:r>
                  </w:p>
                  <w:p>
                    <w:pPr>
                      <w:pStyle w:val="Body Text"/>
                      <w:spacing w:before="0" w:after="0"/>
                      <w:rPr>
                        <w:rFonts w:ascii="Helvetica" w:cs="Helvetica" w:hAnsi="Helvetica" w:eastAsia="Helvetica"/>
                      </w:rPr>
                    </w:pPr>
                    <w:r>
                      <w:rPr>
                        <w:rFonts w:ascii="Helvetica" w:hAnsi="Helvetica"/>
                        <w:rtl w:val="0"/>
                      </w:rPr>
                      <w:t>20</w:t>
                    </w:r>
                  </w:p>
                  <w:p>
                    <w:pPr>
                      <w:pStyle w:val="Body Text"/>
                      <w:spacing w:before="0" w:after="0"/>
                    </w:pPr>
                    <w:r>
                      <w:rPr>
                        <w:rFonts w:ascii="Helvetica" w:hAnsi="Helvetica"/>
                        <w:rtl w:val="0"/>
                      </w:rPr>
                      <w:t>21</w:t>
                    </w:r>
                  </w:p>
                </w:txbxContent>
              </v:textbox>
              <w10:wrap type="none" side="bothSides" anchorx="page" anchory="page"/>
            </v:shape>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594518</wp:posOffset>
              </wp:positionH>
              <wp:positionV relativeFrom="page">
                <wp:posOffset>863599</wp:posOffset>
              </wp:positionV>
              <wp:extent cx="307182" cy="7385169"/>
              <wp:effectExtent l="0" t="0" r="0" b="0"/>
              <wp:wrapNone/>
              <wp:docPr id="1073741826" name="officeArt object" descr="1…"/>
              <wp:cNvGraphicFramePr/>
              <a:graphic xmlns:a="http://schemas.openxmlformats.org/drawingml/2006/main">
                <a:graphicData uri="http://schemas.microsoft.com/office/word/2010/wordprocessingShape">
                  <wps:wsp>
                    <wps:cNvSpPr txBox="1"/>
                    <wps:spPr>
                      <a:xfrm>
                        <a:off x="0" y="0"/>
                        <a:ext cx="307182" cy="7385169"/>
                      </a:xfrm>
                      <a:prstGeom prst="rect">
                        <a:avLst/>
                      </a:prstGeom>
                      <a:noFill/>
                      <a:ln w="12700" cap="flat">
                        <a:noFill/>
                        <a:miter lim="400000"/>
                      </a:ln>
                      <a:effectLst/>
                    </wps:spPr>
                    <wps:txbx>
                      <w:txbxContent>
                        <w:p>
                          <w:pPr>
                            <w:pStyle w:val="Body Text"/>
                            <w:spacing w:before="0" w:after="0"/>
                            <w:rPr>
                              <w:rFonts w:ascii="Helvetica" w:cs="Helvetica" w:hAnsi="Helvetica" w:eastAsia="Helvetica"/>
                            </w:rPr>
                          </w:pPr>
                          <w:r>
                            <w:rPr>
                              <w:rFonts w:ascii="Helvetica" w:hAnsi="Helvetica"/>
                              <w:rtl w:val="0"/>
                            </w:rPr>
                            <w:t>1</w:t>
                          </w:r>
                        </w:p>
                        <w:p>
                          <w:pPr>
                            <w:pStyle w:val="Body Text"/>
                            <w:spacing w:before="0" w:after="0"/>
                            <w:rPr>
                              <w:rFonts w:ascii="Helvetica" w:cs="Helvetica" w:hAnsi="Helvetica" w:eastAsia="Helvetica"/>
                            </w:rPr>
                          </w:pPr>
                          <w:r>
                            <w:rPr>
                              <w:rFonts w:ascii="Helvetica" w:hAnsi="Helvetica"/>
                              <w:rtl w:val="0"/>
                            </w:rPr>
                            <w:t>2</w:t>
                          </w:r>
                        </w:p>
                        <w:p>
                          <w:pPr>
                            <w:pStyle w:val="Body Text"/>
                            <w:spacing w:before="0" w:after="0"/>
                            <w:rPr>
                              <w:rFonts w:ascii="Helvetica" w:cs="Helvetica" w:hAnsi="Helvetica" w:eastAsia="Helvetica"/>
                            </w:rPr>
                          </w:pPr>
                          <w:r>
                            <w:rPr>
                              <w:rFonts w:ascii="Helvetica" w:hAnsi="Helvetica"/>
                              <w:rtl w:val="0"/>
                            </w:rPr>
                            <w:t>3</w:t>
                          </w:r>
                        </w:p>
                        <w:p>
                          <w:pPr>
                            <w:pStyle w:val="Body Text"/>
                            <w:spacing w:before="0" w:after="0"/>
                            <w:rPr>
                              <w:rFonts w:ascii="Helvetica" w:cs="Helvetica" w:hAnsi="Helvetica" w:eastAsia="Helvetica"/>
                            </w:rPr>
                          </w:pPr>
                          <w:r>
                            <w:rPr>
                              <w:rFonts w:ascii="Helvetica" w:hAnsi="Helvetica"/>
                              <w:rtl w:val="0"/>
                            </w:rPr>
                            <w:t>4</w:t>
                          </w:r>
                        </w:p>
                        <w:p>
                          <w:pPr>
                            <w:pStyle w:val="Body Text"/>
                            <w:spacing w:before="0" w:after="0"/>
                            <w:rPr>
                              <w:rFonts w:ascii="Helvetica" w:cs="Helvetica" w:hAnsi="Helvetica" w:eastAsia="Helvetica"/>
                            </w:rPr>
                          </w:pPr>
                          <w:r>
                            <w:rPr>
                              <w:rFonts w:ascii="Helvetica" w:hAnsi="Helvetica"/>
                              <w:rtl w:val="0"/>
                            </w:rPr>
                            <w:t>5</w:t>
                          </w:r>
                        </w:p>
                        <w:p>
                          <w:pPr>
                            <w:pStyle w:val="Body Text"/>
                            <w:spacing w:before="0" w:after="0"/>
                            <w:rPr>
                              <w:rFonts w:ascii="Helvetica" w:cs="Helvetica" w:hAnsi="Helvetica" w:eastAsia="Helvetica"/>
                            </w:rPr>
                          </w:pPr>
                          <w:r>
                            <w:rPr>
                              <w:rFonts w:ascii="Helvetica" w:hAnsi="Helvetica"/>
                              <w:rtl w:val="0"/>
                            </w:rPr>
                            <w:t>6</w:t>
                          </w:r>
                        </w:p>
                        <w:p>
                          <w:pPr>
                            <w:pStyle w:val="Body Text"/>
                            <w:spacing w:before="0" w:after="0"/>
                            <w:rPr>
                              <w:rFonts w:ascii="Helvetica" w:cs="Helvetica" w:hAnsi="Helvetica" w:eastAsia="Helvetica"/>
                            </w:rPr>
                          </w:pPr>
                          <w:r>
                            <w:rPr>
                              <w:rFonts w:ascii="Helvetica" w:hAnsi="Helvetica"/>
                              <w:rtl w:val="0"/>
                            </w:rPr>
                            <w:t>7</w:t>
                          </w:r>
                        </w:p>
                        <w:p>
                          <w:pPr>
                            <w:pStyle w:val="Body Text"/>
                            <w:spacing w:before="0" w:after="0"/>
                            <w:rPr>
                              <w:rFonts w:ascii="Helvetica" w:cs="Helvetica" w:hAnsi="Helvetica" w:eastAsia="Helvetica"/>
                            </w:rPr>
                          </w:pPr>
                          <w:r>
                            <w:rPr>
                              <w:rFonts w:ascii="Helvetica" w:hAnsi="Helvetica"/>
                              <w:rtl w:val="0"/>
                            </w:rPr>
                            <w:t>8</w:t>
                          </w:r>
                        </w:p>
                        <w:p>
                          <w:pPr>
                            <w:pStyle w:val="Body Text"/>
                            <w:spacing w:before="0" w:after="0"/>
                            <w:rPr>
                              <w:rFonts w:ascii="Helvetica" w:cs="Helvetica" w:hAnsi="Helvetica" w:eastAsia="Helvetica"/>
                            </w:rPr>
                          </w:pPr>
                          <w:r>
                            <w:rPr>
                              <w:rFonts w:ascii="Helvetica" w:hAnsi="Helvetica"/>
                              <w:rtl w:val="0"/>
                            </w:rPr>
                            <w:t>9</w:t>
                          </w:r>
                        </w:p>
                        <w:p>
                          <w:pPr>
                            <w:pStyle w:val="Body Text"/>
                            <w:spacing w:before="0" w:after="0"/>
                            <w:rPr>
                              <w:rFonts w:ascii="Helvetica" w:cs="Helvetica" w:hAnsi="Helvetica" w:eastAsia="Helvetica"/>
                            </w:rPr>
                          </w:pPr>
                          <w:r>
                            <w:rPr>
                              <w:rFonts w:ascii="Helvetica" w:hAnsi="Helvetica"/>
                              <w:rtl w:val="0"/>
                            </w:rPr>
                            <w:t>10</w:t>
                          </w:r>
                        </w:p>
                        <w:p>
                          <w:pPr>
                            <w:pStyle w:val="Body Text"/>
                            <w:spacing w:before="0" w:after="0"/>
                            <w:rPr>
                              <w:rFonts w:ascii="Helvetica" w:cs="Helvetica" w:hAnsi="Helvetica" w:eastAsia="Helvetica"/>
                            </w:rPr>
                          </w:pPr>
                          <w:r>
                            <w:rPr>
                              <w:rFonts w:ascii="Helvetica" w:hAnsi="Helvetica"/>
                              <w:rtl w:val="0"/>
                            </w:rPr>
                            <w:t>11</w:t>
                          </w:r>
                        </w:p>
                        <w:p>
                          <w:pPr>
                            <w:pStyle w:val="Body Text"/>
                            <w:spacing w:before="0" w:after="0"/>
                            <w:rPr>
                              <w:rFonts w:ascii="Helvetica" w:cs="Helvetica" w:hAnsi="Helvetica" w:eastAsia="Helvetica"/>
                            </w:rPr>
                          </w:pPr>
                          <w:r>
                            <w:rPr>
                              <w:rFonts w:ascii="Helvetica" w:hAnsi="Helvetica"/>
                              <w:rtl w:val="0"/>
                            </w:rPr>
                            <w:t>12</w:t>
                          </w:r>
                        </w:p>
                        <w:p>
                          <w:pPr>
                            <w:pStyle w:val="Body Text"/>
                            <w:spacing w:before="0" w:after="0"/>
                            <w:rPr>
                              <w:rFonts w:ascii="Helvetica" w:cs="Helvetica" w:hAnsi="Helvetica" w:eastAsia="Helvetica"/>
                            </w:rPr>
                          </w:pPr>
                          <w:r>
                            <w:rPr>
                              <w:rFonts w:ascii="Helvetica" w:hAnsi="Helvetica"/>
                              <w:rtl w:val="0"/>
                            </w:rPr>
                            <w:t>13</w:t>
                          </w:r>
                        </w:p>
                        <w:p>
                          <w:pPr>
                            <w:pStyle w:val="Body Text"/>
                            <w:spacing w:before="0" w:after="0"/>
                            <w:rPr>
                              <w:rFonts w:ascii="Helvetica" w:cs="Helvetica" w:hAnsi="Helvetica" w:eastAsia="Helvetica"/>
                            </w:rPr>
                          </w:pPr>
                          <w:r>
                            <w:rPr>
                              <w:rFonts w:ascii="Helvetica" w:hAnsi="Helvetica"/>
                              <w:rtl w:val="0"/>
                            </w:rPr>
                            <w:t>14</w:t>
                          </w:r>
                        </w:p>
                        <w:p>
                          <w:pPr>
                            <w:pStyle w:val="Body Text"/>
                            <w:spacing w:before="0" w:after="0"/>
                            <w:rPr>
                              <w:rFonts w:ascii="Helvetica" w:cs="Helvetica" w:hAnsi="Helvetica" w:eastAsia="Helvetica"/>
                            </w:rPr>
                          </w:pPr>
                          <w:r>
                            <w:rPr>
                              <w:rFonts w:ascii="Helvetica" w:hAnsi="Helvetica"/>
                              <w:rtl w:val="0"/>
                            </w:rPr>
                            <w:t>15</w:t>
                          </w:r>
                        </w:p>
                        <w:p>
                          <w:pPr>
                            <w:pStyle w:val="Body Text"/>
                            <w:spacing w:before="0" w:after="0"/>
                            <w:rPr>
                              <w:rFonts w:ascii="Helvetica" w:cs="Helvetica" w:hAnsi="Helvetica" w:eastAsia="Helvetica"/>
                            </w:rPr>
                          </w:pPr>
                          <w:r>
                            <w:rPr>
                              <w:rFonts w:ascii="Helvetica" w:hAnsi="Helvetica"/>
                              <w:rtl w:val="0"/>
                            </w:rPr>
                            <w:t>16</w:t>
                          </w:r>
                        </w:p>
                        <w:p>
                          <w:pPr>
                            <w:pStyle w:val="Body Text"/>
                            <w:spacing w:before="0" w:after="0"/>
                            <w:rPr>
                              <w:rFonts w:ascii="Helvetica" w:cs="Helvetica" w:hAnsi="Helvetica" w:eastAsia="Helvetica"/>
                            </w:rPr>
                          </w:pPr>
                          <w:r>
                            <w:rPr>
                              <w:rFonts w:ascii="Helvetica" w:hAnsi="Helvetica"/>
                              <w:rtl w:val="0"/>
                            </w:rPr>
                            <w:t>17</w:t>
                          </w:r>
                        </w:p>
                        <w:p>
                          <w:pPr>
                            <w:pStyle w:val="Body Text"/>
                            <w:spacing w:before="0" w:after="0"/>
                            <w:rPr>
                              <w:rFonts w:ascii="Helvetica" w:cs="Helvetica" w:hAnsi="Helvetica" w:eastAsia="Helvetica"/>
                            </w:rPr>
                          </w:pPr>
                          <w:r>
                            <w:rPr>
                              <w:rFonts w:ascii="Helvetica" w:hAnsi="Helvetica"/>
                              <w:rtl w:val="0"/>
                            </w:rPr>
                            <w:t>18</w:t>
                          </w:r>
                        </w:p>
                        <w:p>
                          <w:pPr>
                            <w:pStyle w:val="Body Text"/>
                            <w:spacing w:before="0" w:after="0"/>
                            <w:rPr>
                              <w:rFonts w:ascii="Helvetica" w:cs="Helvetica" w:hAnsi="Helvetica" w:eastAsia="Helvetica"/>
                            </w:rPr>
                          </w:pPr>
                          <w:r>
                            <w:rPr>
                              <w:rFonts w:ascii="Helvetica" w:hAnsi="Helvetica"/>
                              <w:rtl w:val="0"/>
                            </w:rPr>
                            <w:t>19</w:t>
                          </w:r>
                        </w:p>
                        <w:p>
                          <w:pPr>
                            <w:pStyle w:val="Body Text"/>
                            <w:spacing w:before="0" w:after="0"/>
                            <w:rPr>
                              <w:rFonts w:ascii="Helvetica" w:cs="Helvetica" w:hAnsi="Helvetica" w:eastAsia="Helvetica"/>
                            </w:rPr>
                          </w:pPr>
                          <w:r>
                            <w:rPr>
                              <w:rFonts w:ascii="Helvetica" w:hAnsi="Helvetica"/>
                              <w:rtl w:val="0"/>
                            </w:rPr>
                            <w:t>20</w:t>
                          </w:r>
                        </w:p>
                        <w:p>
                          <w:pPr>
                            <w:pStyle w:val="Body Text"/>
                            <w:spacing w:before="0" w:after="0"/>
                          </w:pPr>
                          <w:r>
                            <w:rPr>
                              <w:rFonts w:ascii="Helvetica" w:hAnsi="Helvetica"/>
                              <w:rtl w:val="0"/>
                            </w:rPr>
                            <w:t>21</w:t>
                          </w:r>
                        </w:p>
                      </w:txbxContent>
                    </wps:txbx>
                    <wps:bodyPr wrap="square" lIns="45718" tIns="45718" rIns="45718" bIns="45718" numCol="1" anchor="t">
                      <a:noAutofit/>
                    </wps:bodyPr>
                  </wps:wsp>
                </a:graphicData>
              </a:graphic>
            </wp:anchor>
          </w:drawing>
        </mc:Choice>
        <mc:Fallback>
          <w:pict>
            <v:shape id="_x0000_s1027" type="#_x0000_t202" style="visibility:visible;position:absolute;margin-left:46.8pt;margin-top:68.0pt;width:24.2pt;height:581.5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0" w:after="0"/>
                      <w:rPr>
                        <w:rFonts w:ascii="Helvetica" w:cs="Helvetica" w:hAnsi="Helvetica" w:eastAsia="Helvetica"/>
                      </w:rPr>
                    </w:pPr>
                    <w:r>
                      <w:rPr>
                        <w:rFonts w:ascii="Helvetica" w:hAnsi="Helvetica"/>
                        <w:rtl w:val="0"/>
                      </w:rPr>
                      <w:t>1</w:t>
                    </w:r>
                  </w:p>
                  <w:p>
                    <w:pPr>
                      <w:pStyle w:val="Body Text"/>
                      <w:spacing w:before="0" w:after="0"/>
                      <w:rPr>
                        <w:rFonts w:ascii="Helvetica" w:cs="Helvetica" w:hAnsi="Helvetica" w:eastAsia="Helvetica"/>
                      </w:rPr>
                    </w:pPr>
                    <w:r>
                      <w:rPr>
                        <w:rFonts w:ascii="Helvetica" w:hAnsi="Helvetica"/>
                        <w:rtl w:val="0"/>
                      </w:rPr>
                      <w:t>2</w:t>
                    </w:r>
                  </w:p>
                  <w:p>
                    <w:pPr>
                      <w:pStyle w:val="Body Text"/>
                      <w:spacing w:before="0" w:after="0"/>
                      <w:rPr>
                        <w:rFonts w:ascii="Helvetica" w:cs="Helvetica" w:hAnsi="Helvetica" w:eastAsia="Helvetica"/>
                      </w:rPr>
                    </w:pPr>
                    <w:r>
                      <w:rPr>
                        <w:rFonts w:ascii="Helvetica" w:hAnsi="Helvetica"/>
                        <w:rtl w:val="0"/>
                      </w:rPr>
                      <w:t>3</w:t>
                    </w:r>
                  </w:p>
                  <w:p>
                    <w:pPr>
                      <w:pStyle w:val="Body Text"/>
                      <w:spacing w:before="0" w:after="0"/>
                      <w:rPr>
                        <w:rFonts w:ascii="Helvetica" w:cs="Helvetica" w:hAnsi="Helvetica" w:eastAsia="Helvetica"/>
                      </w:rPr>
                    </w:pPr>
                    <w:r>
                      <w:rPr>
                        <w:rFonts w:ascii="Helvetica" w:hAnsi="Helvetica"/>
                        <w:rtl w:val="0"/>
                      </w:rPr>
                      <w:t>4</w:t>
                    </w:r>
                  </w:p>
                  <w:p>
                    <w:pPr>
                      <w:pStyle w:val="Body Text"/>
                      <w:spacing w:before="0" w:after="0"/>
                      <w:rPr>
                        <w:rFonts w:ascii="Helvetica" w:cs="Helvetica" w:hAnsi="Helvetica" w:eastAsia="Helvetica"/>
                      </w:rPr>
                    </w:pPr>
                    <w:r>
                      <w:rPr>
                        <w:rFonts w:ascii="Helvetica" w:hAnsi="Helvetica"/>
                        <w:rtl w:val="0"/>
                      </w:rPr>
                      <w:t>5</w:t>
                    </w:r>
                  </w:p>
                  <w:p>
                    <w:pPr>
                      <w:pStyle w:val="Body Text"/>
                      <w:spacing w:before="0" w:after="0"/>
                      <w:rPr>
                        <w:rFonts w:ascii="Helvetica" w:cs="Helvetica" w:hAnsi="Helvetica" w:eastAsia="Helvetica"/>
                      </w:rPr>
                    </w:pPr>
                    <w:r>
                      <w:rPr>
                        <w:rFonts w:ascii="Helvetica" w:hAnsi="Helvetica"/>
                        <w:rtl w:val="0"/>
                      </w:rPr>
                      <w:t>6</w:t>
                    </w:r>
                  </w:p>
                  <w:p>
                    <w:pPr>
                      <w:pStyle w:val="Body Text"/>
                      <w:spacing w:before="0" w:after="0"/>
                      <w:rPr>
                        <w:rFonts w:ascii="Helvetica" w:cs="Helvetica" w:hAnsi="Helvetica" w:eastAsia="Helvetica"/>
                      </w:rPr>
                    </w:pPr>
                    <w:r>
                      <w:rPr>
                        <w:rFonts w:ascii="Helvetica" w:hAnsi="Helvetica"/>
                        <w:rtl w:val="0"/>
                      </w:rPr>
                      <w:t>7</w:t>
                    </w:r>
                  </w:p>
                  <w:p>
                    <w:pPr>
                      <w:pStyle w:val="Body Text"/>
                      <w:spacing w:before="0" w:after="0"/>
                      <w:rPr>
                        <w:rFonts w:ascii="Helvetica" w:cs="Helvetica" w:hAnsi="Helvetica" w:eastAsia="Helvetica"/>
                      </w:rPr>
                    </w:pPr>
                    <w:r>
                      <w:rPr>
                        <w:rFonts w:ascii="Helvetica" w:hAnsi="Helvetica"/>
                        <w:rtl w:val="0"/>
                      </w:rPr>
                      <w:t>8</w:t>
                    </w:r>
                  </w:p>
                  <w:p>
                    <w:pPr>
                      <w:pStyle w:val="Body Text"/>
                      <w:spacing w:before="0" w:after="0"/>
                      <w:rPr>
                        <w:rFonts w:ascii="Helvetica" w:cs="Helvetica" w:hAnsi="Helvetica" w:eastAsia="Helvetica"/>
                      </w:rPr>
                    </w:pPr>
                    <w:r>
                      <w:rPr>
                        <w:rFonts w:ascii="Helvetica" w:hAnsi="Helvetica"/>
                        <w:rtl w:val="0"/>
                      </w:rPr>
                      <w:t>9</w:t>
                    </w:r>
                  </w:p>
                  <w:p>
                    <w:pPr>
                      <w:pStyle w:val="Body Text"/>
                      <w:spacing w:before="0" w:after="0"/>
                      <w:rPr>
                        <w:rFonts w:ascii="Helvetica" w:cs="Helvetica" w:hAnsi="Helvetica" w:eastAsia="Helvetica"/>
                      </w:rPr>
                    </w:pPr>
                    <w:r>
                      <w:rPr>
                        <w:rFonts w:ascii="Helvetica" w:hAnsi="Helvetica"/>
                        <w:rtl w:val="0"/>
                      </w:rPr>
                      <w:t>10</w:t>
                    </w:r>
                  </w:p>
                  <w:p>
                    <w:pPr>
                      <w:pStyle w:val="Body Text"/>
                      <w:spacing w:before="0" w:after="0"/>
                      <w:rPr>
                        <w:rFonts w:ascii="Helvetica" w:cs="Helvetica" w:hAnsi="Helvetica" w:eastAsia="Helvetica"/>
                      </w:rPr>
                    </w:pPr>
                    <w:r>
                      <w:rPr>
                        <w:rFonts w:ascii="Helvetica" w:hAnsi="Helvetica"/>
                        <w:rtl w:val="0"/>
                      </w:rPr>
                      <w:t>11</w:t>
                    </w:r>
                  </w:p>
                  <w:p>
                    <w:pPr>
                      <w:pStyle w:val="Body Text"/>
                      <w:spacing w:before="0" w:after="0"/>
                      <w:rPr>
                        <w:rFonts w:ascii="Helvetica" w:cs="Helvetica" w:hAnsi="Helvetica" w:eastAsia="Helvetica"/>
                      </w:rPr>
                    </w:pPr>
                    <w:r>
                      <w:rPr>
                        <w:rFonts w:ascii="Helvetica" w:hAnsi="Helvetica"/>
                        <w:rtl w:val="0"/>
                      </w:rPr>
                      <w:t>12</w:t>
                    </w:r>
                  </w:p>
                  <w:p>
                    <w:pPr>
                      <w:pStyle w:val="Body Text"/>
                      <w:spacing w:before="0" w:after="0"/>
                      <w:rPr>
                        <w:rFonts w:ascii="Helvetica" w:cs="Helvetica" w:hAnsi="Helvetica" w:eastAsia="Helvetica"/>
                      </w:rPr>
                    </w:pPr>
                    <w:r>
                      <w:rPr>
                        <w:rFonts w:ascii="Helvetica" w:hAnsi="Helvetica"/>
                        <w:rtl w:val="0"/>
                      </w:rPr>
                      <w:t>13</w:t>
                    </w:r>
                  </w:p>
                  <w:p>
                    <w:pPr>
                      <w:pStyle w:val="Body Text"/>
                      <w:spacing w:before="0" w:after="0"/>
                      <w:rPr>
                        <w:rFonts w:ascii="Helvetica" w:cs="Helvetica" w:hAnsi="Helvetica" w:eastAsia="Helvetica"/>
                      </w:rPr>
                    </w:pPr>
                    <w:r>
                      <w:rPr>
                        <w:rFonts w:ascii="Helvetica" w:hAnsi="Helvetica"/>
                        <w:rtl w:val="0"/>
                      </w:rPr>
                      <w:t>14</w:t>
                    </w:r>
                  </w:p>
                  <w:p>
                    <w:pPr>
                      <w:pStyle w:val="Body Text"/>
                      <w:spacing w:before="0" w:after="0"/>
                      <w:rPr>
                        <w:rFonts w:ascii="Helvetica" w:cs="Helvetica" w:hAnsi="Helvetica" w:eastAsia="Helvetica"/>
                      </w:rPr>
                    </w:pPr>
                    <w:r>
                      <w:rPr>
                        <w:rFonts w:ascii="Helvetica" w:hAnsi="Helvetica"/>
                        <w:rtl w:val="0"/>
                      </w:rPr>
                      <w:t>15</w:t>
                    </w:r>
                  </w:p>
                  <w:p>
                    <w:pPr>
                      <w:pStyle w:val="Body Text"/>
                      <w:spacing w:before="0" w:after="0"/>
                      <w:rPr>
                        <w:rFonts w:ascii="Helvetica" w:cs="Helvetica" w:hAnsi="Helvetica" w:eastAsia="Helvetica"/>
                      </w:rPr>
                    </w:pPr>
                    <w:r>
                      <w:rPr>
                        <w:rFonts w:ascii="Helvetica" w:hAnsi="Helvetica"/>
                        <w:rtl w:val="0"/>
                      </w:rPr>
                      <w:t>16</w:t>
                    </w:r>
                  </w:p>
                  <w:p>
                    <w:pPr>
                      <w:pStyle w:val="Body Text"/>
                      <w:spacing w:before="0" w:after="0"/>
                      <w:rPr>
                        <w:rFonts w:ascii="Helvetica" w:cs="Helvetica" w:hAnsi="Helvetica" w:eastAsia="Helvetica"/>
                      </w:rPr>
                    </w:pPr>
                    <w:r>
                      <w:rPr>
                        <w:rFonts w:ascii="Helvetica" w:hAnsi="Helvetica"/>
                        <w:rtl w:val="0"/>
                      </w:rPr>
                      <w:t>17</w:t>
                    </w:r>
                  </w:p>
                  <w:p>
                    <w:pPr>
                      <w:pStyle w:val="Body Text"/>
                      <w:spacing w:before="0" w:after="0"/>
                      <w:rPr>
                        <w:rFonts w:ascii="Helvetica" w:cs="Helvetica" w:hAnsi="Helvetica" w:eastAsia="Helvetica"/>
                      </w:rPr>
                    </w:pPr>
                    <w:r>
                      <w:rPr>
                        <w:rFonts w:ascii="Helvetica" w:hAnsi="Helvetica"/>
                        <w:rtl w:val="0"/>
                      </w:rPr>
                      <w:t>18</w:t>
                    </w:r>
                  </w:p>
                  <w:p>
                    <w:pPr>
                      <w:pStyle w:val="Body Text"/>
                      <w:spacing w:before="0" w:after="0"/>
                      <w:rPr>
                        <w:rFonts w:ascii="Helvetica" w:cs="Helvetica" w:hAnsi="Helvetica" w:eastAsia="Helvetica"/>
                      </w:rPr>
                    </w:pPr>
                    <w:r>
                      <w:rPr>
                        <w:rFonts w:ascii="Helvetica" w:hAnsi="Helvetica"/>
                        <w:rtl w:val="0"/>
                      </w:rPr>
                      <w:t>19</w:t>
                    </w:r>
                  </w:p>
                  <w:p>
                    <w:pPr>
                      <w:pStyle w:val="Body Text"/>
                      <w:spacing w:before="0" w:after="0"/>
                      <w:rPr>
                        <w:rFonts w:ascii="Helvetica" w:cs="Helvetica" w:hAnsi="Helvetica" w:eastAsia="Helvetica"/>
                      </w:rPr>
                    </w:pPr>
                    <w:r>
                      <w:rPr>
                        <w:rFonts w:ascii="Helvetica" w:hAnsi="Helvetica"/>
                        <w:rtl w:val="0"/>
                      </w:rPr>
                      <w:t>20</w:t>
                    </w:r>
                  </w:p>
                  <w:p>
                    <w:pPr>
                      <w:pStyle w:val="Body Text"/>
                      <w:spacing w:before="0" w:after="0"/>
                    </w:pPr>
                    <w:r>
                      <w:rPr>
                        <w:rFonts w:ascii="Helvetica" w:hAnsi="Helvetica"/>
                        <w:rtl w:val="0"/>
                      </w:rPr>
                      <w:t>21</w:t>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1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1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1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48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itle">
    <w:name w:val="Title"/>
    <w:next w:val="Body Text"/>
    <w:pPr>
      <w:keepNext w:val="0"/>
      <w:keepLines w:val="0"/>
      <w:pageBreakBefore w:val="0"/>
      <w:widowControl w:val="1"/>
      <w:shd w:val="clear" w:color="auto" w:fill="auto"/>
      <w:suppressAutoHyphens w:val="0"/>
      <w:bidi w:val="0"/>
      <w:spacing w:before="0" w:after="80" w:line="240" w:lineRule="auto"/>
      <w:ind w:left="0" w:right="0" w:firstLine="0"/>
      <w:jc w:val="center"/>
      <w:outlineLvl w:val="9"/>
    </w:pPr>
    <w:rPr>
      <w:rFonts w:ascii="Aptos Display" w:cs="Aptos Display" w:hAnsi="Aptos Display" w:eastAsia="Aptos Display"/>
      <w:b w:val="0"/>
      <w:bCs w:val="0"/>
      <w:i w:val="0"/>
      <w:iCs w:val="0"/>
      <w:caps w:val="0"/>
      <w:smallCaps w:val="0"/>
      <w:strike w:val="0"/>
      <w:dstrike w:val="0"/>
      <w:outline w:val="0"/>
      <w:color w:val="000000"/>
      <w:spacing w:val="-10"/>
      <w:kern w:val="28"/>
      <w:position w:val="0"/>
      <w:sz w:val="56"/>
      <w:szCs w:val="5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1">
    <w:name w:val="Heading 1"/>
    <w:next w:val="Body Text"/>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Helvetica" w:cs="Helvetica" w:hAnsi="Helvetica" w:eastAsia="Helvetica"/>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14:textOutline w14:w="12700" w14:cap="flat">
        <w14:noFill/>
        <w14:miter w14:lim="400000"/>
      </w14:textOutline>
      <w14:textFill>
        <w14:solidFill>
          <w14:srgbClr w14:val="0F4761"/>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48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4">
    <w:name w:val="heading 4"/>
    <w:next w:val="Body Text"/>
    <w:pPr>
      <w:keepNext w:val="1"/>
      <w:keepLines w:val="1"/>
      <w:pageBreakBefore w:val="0"/>
      <w:widowControl w:val="1"/>
      <w:shd w:val="clear" w:color="auto" w:fill="auto"/>
      <w:suppressAutoHyphens w:val="0"/>
      <w:bidi w:val="0"/>
      <w:spacing w:before="80" w:after="40" w:line="240" w:lineRule="auto"/>
      <w:ind w:left="0" w:right="0" w:firstLine="0"/>
      <w:jc w:val="left"/>
      <w:outlineLvl w:val="2"/>
    </w:pPr>
    <w:rPr>
      <w:rFonts w:ascii="Helvetica" w:cs="Helvetica" w:hAnsi="Helvetica" w:eastAsia="Helvetica"/>
      <w:b w:val="0"/>
      <w:bCs w:val="0"/>
      <w:i w:val="1"/>
      <w:iCs w:val="1"/>
      <w:caps w:val="0"/>
      <w:smallCaps w:val="0"/>
      <w:strike w:val="0"/>
      <w:dstrike w:val="0"/>
      <w:outline w:val="0"/>
      <w:color w:val="0f4761"/>
      <w:spacing w:val="0"/>
      <w:kern w:val="0"/>
      <w:position w:val="0"/>
      <w:sz w:val="24"/>
      <w:szCs w:val="24"/>
      <w:u w:val="none" w:color="0f4761"/>
      <w:shd w:val="nil" w:color="auto" w:fill="auto"/>
      <w:vertAlign w:val="baseline"/>
      <w:lang w:val="en-US"/>
      <w14:textFill>
        <w14:solidFill>
          <w14:srgbClr w14:val="0F4761"/>
        </w14:solidFill>
      </w14:textFill>
    </w:rPr>
  </w:style>
  <w:style w:type="character" w:styleId="None">
    <w:name w:val="None"/>
  </w:style>
  <w:style w:type="character" w:styleId="Hyperlink.0">
    <w:name w:val="Hyperlink.0"/>
    <w:basedOn w:val="None"/>
    <w:next w:val="Hyperlink.0"/>
    <w:rPr>
      <w:outline w:val="0"/>
      <w:color w:val="0000ff"/>
      <w:u w:val="single" w:color="0000ff"/>
      <w14:textFill>
        <w14:solidFill>
          <w14:srgbClr w14:val="0000FF"/>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lang w:val="en-US"/>
      <w14:textOutline w14:w="12700" w14:cap="flat">
        <w14:noFill/>
        <w14:miter w14:lim="400000"/>
      </w14:textOutline>
      <w14:textFill>
        <w14:solidFill>
          <w14:srgbClr w14:val="0F4761"/>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2"/>
    </w:pPr>
    <w:rPr>
      <w:rFonts w:ascii="Aptos" w:cs="Aptos" w:hAnsi="Aptos" w:eastAsia="Aptos"/>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14:textOutline w14:w="12700" w14:cap="flat">
        <w14:noFill/>
        <w14:miter w14:lim="400000"/>
      </w14:textOutline>
      <w14:textFill>
        <w14:solidFill>
          <w14:srgbClr w14:val="0F4761"/>
        </w14:solidFill>
      </w14:textFill>
    </w:rPr>
  </w:style>
  <w:style w:type="paragraph" w:styleId="Hanging Indent">
    <w:name w:val="Hanging Indent"/>
    <w:next w:val="Hanging Indent"/>
    <w:pPr>
      <w:keepNext w:val="0"/>
      <w:keepLines w:val="0"/>
      <w:pageBreakBefore w:val="0"/>
      <w:widowControl w:val="1"/>
      <w:shd w:val="clear" w:color="auto" w:fill="auto"/>
      <w:tabs>
        <w:tab w:val="left" w:pos="720"/>
      </w:tabs>
      <w:suppressAutoHyphens w:val="0"/>
      <w:bidi w:val="0"/>
      <w:spacing w:before="180" w:after="180" w:line="48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Hyperlink.1">
    <w:name w:val="Hyperlink.1"/>
    <w:basedOn w:val="None"/>
    <w:next w:val="Hyperlink.1"/>
    <w:rPr>
      <w:u w:val="single"/>
      <w:lang w:val="en-US"/>
    </w:rPr>
  </w:style>
  <w:style w:type="character" w:styleId="Hyperlink.2">
    <w:name w:val="Hyperlink.2"/>
    <w:basedOn w:val="None"/>
    <w:next w:val="Hyperlink.2"/>
    <w:rPr>
      <w:u w:val="single"/>
      <w:lang w:val="de-DE"/>
    </w:rPr>
  </w:style>
  <w:style w:type="character" w:styleId="Hyperlink.3">
    <w:name w:val="Hyperlink.3"/>
    <w:basedOn w:val="None"/>
    <w:next w:val="Hyperlink.3"/>
    <w:rPr>
      <w:u w:val="single"/>
      <w:lang w:val="fr-FR"/>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Aptos Display"/>
        <a:ea typeface="Aptos Display"/>
        <a:cs typeface="Aptos Display"/>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