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</w:p>
    <w:tbl>
      <w:tblPr>
        <w:tblW w:w="940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38"/>
        <w:gridCol w:w="2174"/>
        <w:gridCol w:w="6091"/>
      </w:tblGrid>
      <w:tr>
        <w:tblPrEx>
          <w:shd w:val="clear" w:color="auto" w:fill="4f81bd"/>
        </w:tblPrEx>
        <w:trPr>
          <w:trHeight w:val="1310" w:hRule="atLeast"/>
          <w:tblHeader/>
        </w:trPr>
        <w:tc>
          <w:tcPr>
            <w:tcW w:type="dxa" w:w="9403"/>
            <w:gridSpan w:val="3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smallCaps w:val="1"/>
                <w:outline w:val="0"/>
                <w:color w:val="666666"/>
                <w:sz w:val="22"/>
                <w:szCs w:val="22"/>
                <w:u w:color="666666"/>
                <w:rtl w:val="0"/>
                <w14:textFill>
                  <w14:solidFill>
                    <w14:srgbClr w14:val="666666"/>
                  </w14:solidFill>
                </w14:textFill>
              </w:rPr>
              <w:t>Table 2.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rtl w:val="0"/>
                <w14:textFill>
                  <w14:solidFill>
                    <w14:srgbClr w14:val="666666"/>
                  </w14:solidFill>
                </w14:textFill>
              </w:rPr>
              <w:t xml:space="preserve"> — 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Description of traits surveyed. Several traits are traditionally noted for Asterophryinae species: presence of two palatal folds, horizontal pupil, and lack of vomerine teeth (Boettger 1895; VanKampen 1923; Parker 1934).</w:t>
            </w:r>
          </w:p>
        </w:tc>
      </w:tr>
      <w:tr>
        <w:tblPrEx>
          <w:shd w:val="clear" w:color="auto" w:fill="4f81bd"/>
        </w:tblPrEx>
        <w:trPr>
          <w:trHeight w:val="285" w:hRule="atLeast"/>
          <w:tblHeader/>
        </w:trPr>
        <w:tc>
          <w:tcPr>
            <w:tcW w:type="dxa" w:w="1138"/>
            <w:tcBorders>
              <w:top w:val="single" w:color="000000" w:sz="8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Column*</w:t>
            </w:r>
          </w:p>
        </w:tc>
        <w:tc>
          <w:tcPr>
            <w:tcW w:type="dxa" w:w="2174"/>
            <w:tcBorders>
              <w:top w:val="single" w:color="000000" w:sz="8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Trait</w:t>
            </w:r>
          </w:p>
        </w:tc>
        <w:tc>
          <w:tcPr>
            <w:tcW w:type="dxa" w:w="6091"/>
            <w:tcBorders>
              <w:top w:val="single" w:color="000000" w:sz="8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Definition</w:t>
            </w:r>
          </w:p>
        </w:tc>
      </w:tr>
      <w:tr>
        <w:tblPrEx>
          <w:shd w:val="clear" w:color="auto" w:fill="ced7e7"/>
        </w:tblPrEx>
        <w:trPr>
          <w:trHeight w:val="795" w:hRule="atLeast"/>
        </w:trPr>
        <w:tc>
          <w:tcPr>
            <w:tcW w:type="dxa" w:w="1138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1</w:t>
            </w:r>
          </w:p>
        </w:tc>
        <w:tc>
          <w:tcPr>
            <w:tcW w:type="dxa" w:w="2174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Procoracoids</w:t>
            </w:r>
          </w:p>
        </w:tc>
        <w:tc>
          <w:tcPr>
            <w:tcW w:type="dxa" w:w="6091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Size and shape of the procoracoid cartilages, CR= curved, reduced</w:t>
            </w:r>
          </w:p>
        </w:tc>
      </w:tr>
      <w:tr>
        <w:tblPrEx>
          <w:shd w:val="clear" w:color="auto" w:fill="ced7e7"/>
        </w:tblPrEx>
        <w:trPr>
          <w:trHeight w:val="299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2</w:t>
            </w:r>
          </w:p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Clavicles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Size and shape of the clavicles, CR= curved, reduced</w:t>
            </w:r>
          </w:p>
        </w:tc>
      </w:tr>
      <w:tr>
        <w:tblPrEx>
          <w:shd w:val="clear" w:color="auto" w:fill="ced7e7"/>
        </w:tblPrEx>
        <w:trPr>
          <w:trHeight w:val="296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3</w:t>
            </w:r>
          </w:p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Omasternum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Presence (+) or absence (-) of the omasternum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4</w:t>
            </w:r>
          </w:p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Sternum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Cartilaginous sternum or sternal plate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5</w:t>
            </w:r>
          </w:p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Call type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Qualitative description of the call type</w:t>
            </w:r>
          </w:p>
        </w:tc>
      </w:tr>
      <w:tr>
        <w:tblPrEx>
          <w:shd w:val="clear" w:color="auto" w:fill="ced7e7"/>
        </w:tblPrEx>
        <w:trPr>
          <w:trHeight w:val="299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6</w:t>
            </w:r>
          </w:p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Finger:toe width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The ratio of finger pad width to toe pad width</w:t>
            </w:r>
          </w:p>
        </w:tc>
      </w:tr>
      <w:tr>
        <w:tblPrEx>
          <w:shd w:val="clear" w:color="auto" w:fill="ced7e7"/>
        </w:tblPrEx>
        <w:trPr>
          <w:trHeight w:val="780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7</w:t>
            </w:r>
          </w:p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Pectoral ligament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Cartilaginous or ligamentous connection between scapula and procoracoid</w:t>
            </w:r>
          </w:p>
        </w:tc>
      </w:tr>
      <w:tr>
        <w:tblPrEx>
          <w:shd w:val="clear" w:color="auto" w:fill="ced7e7"/>
        </w:tblPrEx>
        <w:trPr>
          <w:trHeight w:val="780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8</w:t>
            </w:r>
          </w:p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Rel toe length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Relative length of 5th toe compared to length of 3rd toe (5&lt;3, 5=3, 5&gt;3)</w:t>
            </w:r>
          </w:p>
        </w:tc>
      </w:tr>
      <w:tr>
        <w:tblPrEx>
          <w:shd w:val="clear" w:color="auto" w:fill="ced7e7"/>
        </w:tblPrEx>
        <w:trPr>
          <w:trHeight w:val="780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9</w:t>
            </w:r>
          </w:p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Toe webbing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Toe webbing assessed on 5th toe (absent (-), basally webbed, well webbed)</w:t>
            </w:r>
          </w:p>
        </w:tc>
      </w:tr>
      <w:tr>
        <w:tblPrEx>
          <w:shd w:val="clear" w:color="auto" w:fill="ced7e7"/>
        </w:tblPrEx>
        <w:trPr>
          <w:trHeight w:val="780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10</w:t>
            </w:r>
          </w:p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Tympanum:eye diameter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Tympanum diameter relative to eye diameter (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⅓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, or 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½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11</w:t>
            </w:r>
          </w:p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Reference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Citation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Pupil horizontal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Whether the pupil is horizontal 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Teeth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Whether teeth are present</w:t>
            </w:r>
          </w:p>
        </w:tc>
      </w:tr>
      <w:tr>
        <w:tblPrEx>
          <w:shd w:val="clear" w:color="auto" w:fill="ced7e7"/>
        </w:tblPrEx>
        <w:trPr>
          <w:trHeight w:val="795" w:hRule="atLeast"/>
        </w:trPr>
        <w:tc>
          <w:tcPr>
            <w:tcW w:type="dxa" w:w="1138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2174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Palatal folds</w:t>
            </w:r>
          </w:p>
        </w:tc>
        <w:tc>
          <w:tcPr>
            <w:tcW w:type="dxa" w:w="6091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Whether two horizontal palatal folds in front of the pharynx are present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9403"/>
            <w:gridSpan w:val="3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 w:line="480" w:lineRule="auto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*Corresponding column in Table 3.</w:t>
            </w:r>
          </w:p>
        </w:tc>
      </w:tr>
    </w:tbl>
    <w:p>
      <w:pPr>
        <w:pStyle w:val="Body"/>
        <w:widowControl w:val="0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