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tbl>
      <w:tblPr>
        <w:tblW w:w="140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01"/>
        <w:gridCol w:w="2725"/>
        <w:gridCol w:w="2385"/>
        <w:gridCol w:w="1635"/>
        <w:gridCol w:w="1635"/>
        <w:gridCol w:w="2724"/>
      </w:tblGrid>
      <w:tr>
        <w:tblPrEx>
          <w:shd w:val="clear" w:color="auto" w:fill="4f81bd"/>
        </w:tblPrEx>
        <w:trPr>
          <w:trHeight w:val="358" w:hRule="atLeast"/>
        </w:trPr>
        <w:tc>
          <w:tcPr>
            <w:tcW w:type="dxa" w:w="14005"/>
            <w:gridSpan w:val="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Table 5.</w:t>
            </w:r>
          </w:p>
        </w:tc>
      </w:tr>
      <w:tr>
        <w:tblPrEx>
          <w:shd w:val="clear" w:color="auto" w:fill="4f81bd"/>
        </w:tblPrEx>
        <w:trPr>
          <w:trHeight w:val="530" w:hRule="atLeast"/>
        </w:trPr>
        <w:tc>
          <w:tcPr>
            <w:tcW w:type="dxa" w:w="14005"/>
            <w:gridSpan w:val="6"/>
            <w:tcBorders>
              <w:top w:val="nil"/>
              <w:left w:val="nil"/>
              <w:bottom w:val="single" w:color="000000"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Classification of Auparoparo and Oreophryne based on phylogenetic evidence from two mitochondrial gene fragments (CytB, ND4) and three nuclear loci (BDNF, SIA, NXC). Incertae sedis taxa require molecular phylogenetic evidence for assignment.</w:t>
            </w:r>
          </w:p>
        </w:tc>
      </w:tr>
      <w:tr>
        <w:tblPrEx>
          <w:shd w:val="clear" w:color="auto" w:fill="4f81bd"/>
        </w:tblPrEx>
        <w:trPr>
          <w:trHeight w:val="805" w:hRule="atLeast"/>
        </w:trPr>
        <w:tc>
          <w:tcPr>
            <w:tcW w:type="dxa" w:w="2901"/>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Original designation</w:t>
            </w:r>
          </w:p>
        </w:tc>
        <w:tc>
          <w:tcPr>
            <w:tcW w:type="dxa" w:w="2724"/>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Citation</w:t>
            </w:r>
          </w:p>
        </w:tc>
        <w:tc>
          <w:tcPr>
            <w:tcW w:type="dxa" w:w="2384"/>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Previous generic placement</w:t>
            </w:r>
          </w:p>
        </w:tc>
        <w:tc>
          <w:tcPr>
            <w:tcW w:type="dxa" w:w="1634"/>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Current generic placement</w:t>
            </w:r>
          </w:p>
        </w:tc>
        <w:tc>
          <w:tcPr>
            <w:tcW w:type="dxa" w:w="1634"/>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Species</w:t>
            </w:r>
          </w:p>
        </w:tc>
        <w:tc>
          <w:tcPr>
            <w:tcW w:type="dxa" w:w="2724"/>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Notes</w:t>
            </w:r>
          </w:p>
        </w:tc>
      </w:tr>
      <w:tr>
        <w:tblPrEx>
          <w:shd w:val="clear" w:color="auto" w:fill="ced7e7"/>
        </w:tblPrEx>
        <w:trPr>
          <w:trHeight w:val="358" w:hRule="atLeast"/>
        </w:trPr>
        <w:tc>
          <w:tcPr>
            <w:tcW w:type="dxa" w:w="290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anamiatoi</w:t>
            </w:r>
          </w:p>
        </w:tc>
        <w:tc>
          <w:tcPr>
            <w:tcW w:type="dxa" w:w="272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&amp; Allison, 2009</w:t>
            </w:r>
          </w:p>
        </w:tc>
        <w:tc>
          <w:tcPr>
            <w:tcW w:type="dxa" w:w="238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anamiatoi</w:t>
            </w:r>
          </w:p>
        </w:tc>
        <w:tc>
          <w:tcPr>
            <w:tcW w:type="dxa" w:w="272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Phrynixalus anulatus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Stejneger, 1908</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anulata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aurora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aurora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biroi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M</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é</w:t>
            </w:r>
            <w:r>
              <w:rPr>
                <w:rFonts w:ascii="Helvetica" w:hAnsi="Helvetica"/>
                <w:outline w:val="0"/>
                <w:color w:val="666666"/>
                <w:sz w:val="22"/>
                <w:szCs w:val="22"/>
                <w:u w:color="666666"/>
                <w:shd w:val="nil" w:color="auto" w:fill="auto"/>
                <w:rtl w:val="0"/>
                <w:lang w:val="en-US"/>
                <w14:textFill>
                  <w14:solidFill>
                    <w14:srgbClr w14:val="666666"/>
                  </w14:solidFill>
                </w14:textFill>
              </w:rPr>
              <w:t>hely, 1897</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biroi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Hylella brachypus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Werner, 1898</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brachypus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cameroni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cameroni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Cophixalus geislerorum</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Boettger, 1892</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geislerorum</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graminis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&amp; Richards, 2012</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graminis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inornata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1956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inornata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lemur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lemur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loriae</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1898</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loriae</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Microhyla achatina var. moluccensis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Peters and Doria, 1878</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moluccensis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nana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Brown &amp; Alcala, 1967</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nana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notata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notata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parkeri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Loveridge, 1955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parkeri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parkopanorum</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parkopanorum</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530" w:hRule="atLeast"/>
        </w:trPr>
        <w:tc>
          <w:tcPr>
            <w:tcW w:type="dxa" w:w="290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philosylleptoris</w:t>
            </w:r>
          </w:p>
        </w:tc>
        <w:tc>
          <w:tcPr>
            <w:tcW w:type="dxa" w:w="272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philosylleptoris</w:t>
            </w:r>
          </w:p>
        </w:tc>
        <w:tc>
          <w:tcPr>
            <w:tcW w:type="dxa" w:w="272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Retained in Oreophryne</w:t>
            </w:r>
          </w:p>
        </w:tc>
      </w:tr>
      <w:tr>
        <w:tblPrEx>
          <w:shd w:val="clear" w:color="auto" w:fill="ced7e7"/>
        </w:tblPrEx>
        <w:trPr>
          <w:trHeight w:val="530" w:hRule="atLeast"/>
        </w:trPr>
        <w:tc>
          <w:tcPr>
            <w:tcW w:type="dxa" w:w="2901"/>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brunnea</w:t>
            </w:r>
          </w:p>
        </w:tc>
        <w:tc>
          <w:tcPr>
            <w:tcW w:type="dxa" w:w="272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c>
          <w:tcPr>
            <w:tcW w:type="dxa" w:w="238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brunnea</w:t>
            </w:r>
          </w:p>
        </w:tc>
        <w:tc>
          <w:tcPr>
            <w:tcW w:type="dxa" w:w="272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equus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equus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ezra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&amp; Allison, 2009</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ezra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gagneorum</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gagneorum</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insulana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1956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insulana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matawan</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matawan</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meliades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meliades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penelopeia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penelopeia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phoebe</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phoebe</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picticrus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picticrus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30" w:hRule="atLeast"/>
        </w:trPr>
        <w:tc>
          <w:tcPr>
            <w:tcW w:type="dxa" w:w="290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variabilis</w:t>
            </w:r>
          </w:p>
        </w:tc>
        <w:tc>
          <w:tcPr>
            <w:tcW w:type="dxa" w:w="272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1896</w:t>
            </w:r>
          </w:p>
        </w:tc>
        <w:tc>
          <w:tcPr>
            <w:tcW w:type="dxa" w:w="238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p>
        </w:tc>
        <w:tc>
          <w:tcPr>
            <w:tcW w:type="dxa" w:w="163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variabilis</w:t>
            </w:r>
          </w:p>
        </w:tc>
        <w:tc>
          <w:tcPr>
            <w:tcW w:type="dxa" w:w="272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Transferred to Auparoparo</w:t>
            </w:r>
          </w:p>
        </w:tc>
      </w:tr>
      <w:tr>
        <w:tblPrEx>
          <w:shd w:val="clear" w:color="auto" w:fill="ced7e7"/>
        </w:tblPrEx>
        <w:trPr>
          <w:trHeight w:val="530" w:hRule="atLeast"/>
        </w:trPr>
        <w:tc>
          <w:tcPr>
            <w:tcW w:type="dxa" w:w="2901"/>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albitympanum</w:t>
            </w:r>
          </w:p>
        </w:tc>
        <w:tc>
          <w:tcPr>
            <w:tcW w:type="dxa" w:w="272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and Tjaturadi, 2018</w:t>
            </w:r>
          </w:p>
        </w:tc>
        <w:tc>
          <w:tcPr>
            <w:tcW w:type="dxa" w:w="238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albitympanum</w:t>
            </w:r>
          </w:p>
        </w:tc>
        <w:tc>
          <w:tcPr>
            <w:tcW w:type="dxa" w:w="272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albomaculata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and Dahl, 2014</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albomaculata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albopunctata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Van Kampen, 1909</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albopunctata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alticola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Cogger, and Richards, 2005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alticola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ampelos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2011</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ampelos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anser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anser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anthonyi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1897</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anthonyi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asplenicola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asplenicola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atrigularis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and Iskandar, 2001</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atrigularis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banshee</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banshee</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brevicrus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1956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brevicrus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brevirostris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Cogger, and Richards, 2005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brevirostris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celebensis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M</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ller, 1894</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celebensis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choerophrynoides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2015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choerophrynoides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chlorops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Iskandar, and Richards, 2023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chlorops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clamata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clamata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Cophixalus crucifer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Van Kampen, 1913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crucifer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curator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and Dahl, 2014</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curator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flava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Parker, 1934</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flava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flavomaculata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and Richards,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flavomaculata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Callula frontifasciata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Horst, 1883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frontifasciata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78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furu</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Tjaturadi, and Iskandar, 2009</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furu</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geminus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Cogger, and Richards, 2005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geminus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habbemensis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Cogger, and Richards, 2005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habbemensis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hypsiops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Menzies, and Price,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hypsiops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idenburgensis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1956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idenburgensis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jeffersoniana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Dunn, 1928</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jeffersoniana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kampeni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Parker, 1934</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kampeni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kapisa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kapisa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mertoni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Roux, 1910</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mertoni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minuta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Richards and Iskandar, 2000</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minuta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Sphenophryne monticola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1897</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monticola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nicolasi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Richards and 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2019</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nicolasi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78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oviprotector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Bickford, and Johnston, 2012</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oviprotector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pseudasplenicola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pseudasplenicola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pseudunicolor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and Richards, 2016</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pseudunicolor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purari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Nagombi, and Richards, 2025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purari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roedeli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2015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roedeli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rookmaakeri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Mertens, 1927</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rookmaakeri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78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riyantoi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Putri, Trilaksono, Kurniati, Engilis, and Hamidy, 2023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riyantoi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sibilans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sibilans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streiffeleri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and Richards, 2012</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streiffeleri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terrestris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Cogger, and Richards, 2005</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terrestris</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unicolor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unicolor</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waira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2003</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waira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520"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wapoga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ü</w:t>
            </w:r>
            <w:r>
              <w:rPr>
                <w:rFonts w:ascii="Helvetica" w:hAnsi="Helvetica"/>
                <w:outline w:val="0"/>
                <w:color w:val="666666"/>
                <w:sz w:val="22"/>
                <w:szCs w:val="22"/>
                <w:u w:color="666666"/>
                <w:shd w:val="nil" w:color="auto" w:fill="auto"/>
                <w:rtl w:val="0"/>
                <w:lang w:val="en-US"/>
                <w14:textFill>
                  <w14:solidFill>
                    <w14:srgbClr w14:val="666666"/>
                  </w14:solidFill>
                </w14:textFill>
              </w:rPr>
              <w:t>nther, Richards, and Iskandar, 2001</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wapoga</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28" w:hRule="atLeast"/>
        </w:trPr>
        <w:tc>
          <w:tcPr>
            <w:tcW w:type="dxa" w:w="290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Hylella wolterstorffi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Werner, 1901</w:t>
            </w:r>
          </w:p>
        </w:tc>
        <w:tc>
          <w:tcPr>
            <w:tcW w:type="dxa" w:w="238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wolterstorffi</w:t>
            </w:r>
          </w:p>
        </w:tc>
        <w:tc>
          <w:tcPr>
            <w:tcW w:type="dxa" w:w="2724"/>
            <w:tcBorders>
              <w:top w:val="nil"/>
              <w:left w:val="nil"/>
              <w:bottom w:val="nil"/>
              <w:right w:val="nil"/>
            </w:tcBorders>
            <w:shd w:val="clear" w:color="auto" w:fill="ffffff"/>
            <w:tcMar>
              <w:top w:type="dxa" w:w="80"/>
              <w:left w:type="dxa" w:w="120"/>
              <w:bottom w:type="dxa" w:w="80"/>
              <w:right w:type="dxa" w:w="120"/>
            </w:tcMar>
            <w:vAlign w:val="center"/>
          </w:tcPr>
          <w:p/>
        </w:tc>
      </w:tr>
      <w:tr>
        <w:tblPrEx>
          <w:shd w:val="clear" w:color="auto" w:fill="ced7e7"/>
        </w:tblPrEx>
        <w:trPr>
          <w:trHeight w:val="343" w:hRule="atLeast"/>
        </w:trPr>
        <w:tc>
          <w:tcPr>
            <w:tcW w:type="dxa" w:w="2901"/>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 zimmeri</w:t>
            </w:r>
          </w:p>
        </w:tc>
        <w:tc>
          <w:tcPr>
            <w:tcW w:type="dxa" w:w="272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Ahl, 1933</w:t>
            </w:r>
          </w:p>
        </w:tc>
        <w:tc>
          <w:tcPr>
            <w:tcW w:type="dxa" w:w="238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163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incertae sedis</w:t>
            </w:r>
          </w:p>
        </w:tc>
        <w:tc>
          <w:tcPr>
            <w:tcW w:type="dxa" w:w="163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zimmeri</w:t>
            </w:r>
          </w:p>
        </w:tc>
        <w:tc>
          <w:tcPr>
            <w:tcW w:type="dxa" w:w="272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tc>
      </w:tr>
    </w:tbl>
    <w:p>
      <w:pPr>
        <w:pStyle w:val="Body"/>
        <w:widowControl w:val="0"/>
        <w:jc w:val="center"/>
      </w:pPr>
      <w:r/>
    </w:p>
    <w:sectPr>
      <w:headerReference w:type="default" r:id="rId4"/>
      <w:footerReference w:type="default" r:id="rId5"/>
      <w:pgSz w:w="16840" w:h="11960" w:orient="landscape"/>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