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p>
    <w:tbl>
      <w:tblPr>
        <w:tblW w:w="1389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83"/>
        <w:gridCol w:w="2045"/>
        <w:gridCol w:w="806"/>
        <w:gridCol w:w="763"/>
        <w:gridCol w:w="835"/>
        <w:gridCol w:w="749"/>
        <w:gridCol w:w="965"/>
        <w:gridCol w:w="965"/>
        <w:gridCol w:w="763"/>
        <w:gridCol w:w="792"/>
        <w:gridCol w:w="1066"/>
        <w:gridCol w:w="922"/>
        <w:gridCol w:w="1742"/>
      </w:tblGrid>
      <w:tr>
        <w:tblPrEx>
          <w:shd w:val="clear" w:color="auto" w:fill="4f81bd"/>
        </w:tblPrEx>
        <w:trPr>
          <w:trHeight w:val="358" w:hRule="atLeast"/>
        </w:trPr>
        <w:tc>
          <w:tcPr>
            <w:tcW w:type="dxa" w:w="13896"/>
            <w:gridSpan w:val="1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Table 3.</w:t>
            </w:r>
          </w:p>
        </w:tc>
      </w:tr>
      <w:tr>
        <w:tblPrEx>
          <w:shd w:val="clear" w:color="auto" w:fill="4f81bd"/>
        </w:tblPrEx>
        <w:trPr>
          <w:trHeight w:val="1310" w:hRule="atLeast"/>
        </w:trPr>
        <w:tc>
          <w:tcPr>
            <w:tcW w:type="dxa" w:w="13896"/>
            <w:gridSpan w:val="13"/>
            <w:tcBorders>
              <w:top w:val="nil"/>
              <w:left w:val="nil"/>
              <w:bottom w:val="single" w:color="000000"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Morphological character matrix. Columns: (1) Procoracoids and (2) Clavicles CR= curved reduced, (3) Omasternum , (4) Sternum, (5) Call Type, (6) Finger to Toe Ratio, (7) Pectoral Connector Type, (8) Relative Toe Length of the fifth to third toe, (9) Toe Webbing, (10) Typanum to Eye Diameter Ratio, (11) Reference. See Table 2 for character states. Three traits are invariable across all species and not tabulated: presence of two palatal folds, a horizontal pupil, and lack of vomerine teeth (Boettger 1895, VanKampen 1923, Parker 1934).</w:t>
            </w:r>
          </w:p>
        </w:tc>
      </w:tr>
      <w:tr>
        <w:tblPrEx>
          <w:shd w:val="clear" w:color="auto" w:fill="4f81bd"/>
        </w:tblPrEx>
        <w:trPr>
          <w:trHeight w:val="378" w:hRule="atLeast"/>
        </w:trPr>
        <w:tc>
          <w:tcPr>
            <w:tcW w:type="dxa" w:w="1483"/>
            <w:tcBorders>
              <w:top w:val="single" w:color="000000" w:sz="8" w:space="0" w:shadow="0" w:frame="0"/>
              <w:left w:val="nil"/>
              <w:bottom w:val="nil"/>
              <w:right w:val="nil"/>
            </w:tcBorders>
            <w:shd w:val="clear" w:color="auto" w:fill="ffffff"/>
            <w:tcMar>
              <w:top w:type="dxa" w:w="80"/>
              <w:left w:type="dxa" w:w="120"/>
              <w:bottom w:type="dxa" w:w="80"/>
              <w:right w:type="dxa" w:w="120"/>
            </w:tcMar>
            <w:vAlign w:val="center"/>
          </w:tcPr>
          <w:p/>
        </w:tc>
        <w:tc>
          <w:tcPr>
            <w:tcW w:type="dxa" w:w="2045"/>
            <w:tcBorders>
              <w:top w:val="single" w:color="000000" w:sz="8" w:space="0" w:shadow="0" w:frame="0"/>
              <w:left w:val="nil"/>
              <w:bottom w:val="nil"/>
              <w:right w:val="nil"/>
            </w:tcBorders>
            <w:shd w:val="clear" w:color="auto" w:fill="ffffff"/>
            <w:tcMar>
              <w:top w:type="dxa" w:w="80"/>
              <w:left w:type="dxa" w:w="120"/>
              <w:bottom w:type="dxa" w:w="80"/>
              <w:right w:type="dxa" w:w="120"/>
            </w:tcMar>
            <w:vAlign w:val="center"/>
          </w:tcPr>
          <w:p/>
        </w:tc>
        <w:tc>
          <w:tcPr>
            <w:tcW w:type="dxa" w:w="806"/>
            <w:tcBorders>
              <w:top w:val="single" w:color="000000"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(1)</w:t>
            </w:r>
          </w:p>
        </w:tc>
        <w:tc>
          <w:tcPr>
            <w:tcW w:type="dxa" w:w="763"/>
            <w:tcBorders>
              <w:top w:val="single" w:color="000000"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(2)</w:t>
            </w:r>
          </w:p>
        </w:tc>
        <w:tc>
          <w:tcPr>
            <w:tcW w:type="dxa" w:w="835"/>
            <w:tcBorders>
              <w:top w:val="single" w:color="000000"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(3)</w:t>
            </w:r>
          </w:p>
        </w:tc>
        <w:tc>
          <w:tcPr>
            <w:tcW w:type="dxa" w:w="749"/>
            <w:tcBorders>
              <w:top w:val="single" w:color="000000"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(4)</w:t>
            </w:r>
          </w:p>
        </w:tc>
        <w:tc>
          <w:tcPr>
            <w:tcW w:type="dxa" w:w="965"/>
            <w:tcBorders>
              <w:top w:val="single" w:color="000000"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(5)</w:t>
            </w:r>
          </w:p>
        </w:tc>
        <w:tc>
          <w:tcPr>
            <w:tcW w:type="dxa" w:w="964"/>
            <w:tcBorders>
              <w:top w:val="single" w:color="000000"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(6)</w:t>
            </w:r>
          </w:p>
        </w:tc>
        <w:tc>
          <w:tcPr>
            <w:tcW w:type="dxa" w:w="763"/>
            <w:tcBorders>
              <w:top w:val="single" w:color="000000"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(7)</w:t>
            </w:r>
          </w:p>
        </w:tc>
        <w:tc>
          <w:tcPr>
            <w:tcW w:type="dxa" w:w="792"/>
            <w:tcBorders>
              <w:top w:val="single" w:color="000000"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(8)</w:t>
            </w:r>
          </w:p>
        </w:tc>
        <w:tc>
          <w:tcPr>
            <w:tcW w:type="dxa" w:w="1066"/>
            <w:tcBorders>
              <w:top w:val="single" w:color="000000"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(9)</w:t>
            </w:r>
          </w:p>
        </w:tc>
        <w:tc>
          <w:tcPr>
            <w:tcW w:type="dxa" w:w="921"/>
            <w:tcBorders>
              <w:top w:val="single" w:color="000000"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(10)</w:t>
            </w:r>
          </w:p>
        </w:tc>
        <w:tc>
          <w:tcPr>
            <w:tcW w:type="dxa" w:w="1742"/>
            <w:tcBorders>
              <w:top w:val="single" w:color="000000"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(11)</w:t>
            </w:r>
          </w:p>
        </w:tc>
      </w:tr>
      <w:tr>
        <w:tblPrEx>
          <w:shd w:val="clear" w:color="auto" w:fill="4f81bd"/>
        </w:tblPrEx>
        <w:trPr>
          <w:trHeight w:val="795" w:hRule="atLeast"/>
        </w:trPr>
        <w:tc>
          <w:tcPr>
            <w:tcW w:type="dxa" w:w="1483"/>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Genus</w:t>
            </w:r>
          </w:p>
        </w:tc>
        <w:tc>
          <w:tcPr>
            <w:tcW w:type="dxa" w:w="2045"/>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species</w:t>
            </w:r>
          </w:p>
        </w:tc>
        <w:tc>
          <w:tcPr>
            <w:tcW w:type="dxa" w:w="806"/>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proc</w:t>
            </w:r>
          </w:p>
        </w:tc>
        <w:tc>
          <w:tcPr>
            <w:tcW w:type="dxa" w:w="763"/>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clav</w:t>
            </w:r>
          </w:p>
        </w:tc>
        <w:tc>
          <w:tcPr>
            <w:tcW w:type="dxa" w:w="835"/>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omo</w:t>
            </w:r>
          </w:p>
        </w:tc>
        <w:tc>
          <w:tcPr>
            <w:tcW w:type="dxa" w:w="749"/>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ster</w:t>
            </w:r>
          </w:p>
        </w:tc>
        <w:tc>
          <w:tcPr>
            <w:tcW w:type="dxa" w:w="965"/>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call type</w:t>
            </w:r>
          </w:p>
        </w:tc>
        <w:tc>
          <w:tcPr>
            <w:tcW w:type="dxa" w:w="964"/>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fing: toe width</w:t>
            </w:r>
          </w:p>
        </w:tc>
        <w:tc>
          <w:tcPr>
            <w:tcW w:type="dxa" w:w="763"/>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pec lig</w:t>
            </w:r>
          </w:p>
        </w:tc>
        <w:tc>
          <w:tcPr>
            <w:tcW w:type="dxa" w:w="792"/>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rel toe len</w:t>
            </w:r>
          </w:p>
        </w:tc>
        <w:tc>
          <w:tcPr>
            <w:tcW w:type="dxa" w:w="1066"/>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toe web</w:t>
            </w:r>
          </w:p>
        </w:tc>
        <w:tc>
          <w:tcPr>
            <w:tcW w:type="dxa" w:w="921"/>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tymp:eye diam</w:t>
            </w:r>
          </w:p>
        </w:tc>
        <w:tc>
          <w:tcPr>
            <w:tcW w:type="dxa" w:w="1742"/>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character data reference</w:t>
            </w:r>
          </w:p>
        </w:tc>
      </w:tr>
      <w:tr>
        <w:tblPrEx>
          <w:shd w:val="clear" w:color="auto" w:fill="ced7e7"/>
        </w:tblPrEx>
        <w:trPr>
          <w:trHeight w:val="1055" w:hRule="atLeast"/>
        </w:trPr>
        <w:tc>
          <w:tcPr>
            <w:tcW w:type="dxa" w:w="1483"/>
            <w:vMerge w:val="restart"/>
            <w:tcBorders>
              <w:top w:val="single" w:color="666666" w:sz="12" w:space="0" w:shadow="0" w:frame="0"/>
              <w:left w:val="nil"/>
              <w:bottom w:val="single" w:color="666666" w:sz="8" w:space="0" w:shadow="0" w:frame="0"/>
              <w:right w:val="nil"/>
            </w:tcBorders>
            <w:shd w:val="clear" w:color="auto" w:fill="ffffff"/>
            <w:tcMar>
              <w:top w:type="dxa" w:w="80"/>
              <w:left w:type="dxa" w:w="120"/>
              <w:bottom w:type="dxa" w:w="80"/>
              <w:right w:type="dxa" w:w="120"/>
            </w:tcMar>
            <w:vAlign w:val="top"/>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2045"/>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anamiatoi</w:t>
            </w:r>
          </w:p>
        </w:tc>
        <w:tc>
          <w:tcPr>
            <w:tcW w:type="dxa" w:w="806"/>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 xml:space="preserve"> chuckle or cackle</w:t>
            </w:r>
          </w:p>
        </w:tc>
        <w:tc>
          <w:tcPr>
            <w:tcW w:type="dxa" w:w="964"/>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1.2</w:t>
            </w:r>
          </w:p>
        </w:tc>
        <w:tc>
          <w:tcPr>
            <w:tcW w:type="dxa" w:w="763"/>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792"/>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921"/>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Allison 2009</w:t>
            </w:r>
          </w:p>
        </w:tc>
      </w:tr>
      <w:tr>
        <w:tblPrEx>
          <w:shd w:val="clear" w:color="auto" w:fill="ced7e7"/>
        </w:tblPrEx>
        <w:trPr>
          <w:trHeight w:val="52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anulata</w:t>
            </w:r>
            <w:r>
              <w:rPr>
                <w:rFonts w:ascii="Helvetica" w:hAnsi="Helvetica"/>
                <w:i w:val="1"/>
                <w:iCs w:val="1"/>
                <w:outline w:val="0"/>
                <w:color w:val="666666"/>
                <w:sz w:val="22"/>
                <w:szCs w:val="22"/>
                <w:u w:color="666666"/>
                <w:shd w:val="nil" w:color="auto" w:fill="auto"/>
                <w:vertAlign w:val="superscript"/>
                <w:rtl w:val="0"/>
                <w:lang w:val="en-US"/>
                <w14:textFill>
                  <w14:solidFill>
                    <w14:srgbClr w14:val="666666"/>
                  </w14:solidFill>
                </w14:textFill>
              </w:rPr>
              <w:t>1</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slightly larger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1/2</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Stejneger 1908</w:t>
            </w:r>
          </w:p>
        </w:tc>
      </w:tr>
      <w:tr>
        <w:tblPrEx>
          <w:shd w:val="clear" w:color="auto" w:fill="ced7e7"/>
        </w:tblPrEx>
        <w:trPr>
          <w:trHeight w:val="52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aurora</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harsh croaks</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webbed</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52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biroi</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rattle</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1.1</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webbed</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Zweifel et al. 2003</w:t>
            </w:r>
          </w:p>
        </w:tc>
      </w:tr>
      <w:tr>
        <w:tblPrEx>
          <w:shd w:val="clear" w:color="auto" w:fill="ced7e7"/>
        </w:tblPrEx>
        <w:trPr>
          <w:trHeight w:val="52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brachypus</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long squeak</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1.1</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webbed</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Zweifel et al. 2003</w:t>
            </w:r>
          </w:p>
        </w:tc>
      </w:tr>
      <w:tr>
        <w:tblPrEx>
          <w:shd w:val="clear" w:color="auto" w:fill="ced7e7"/>
        </w:tblPrEx>
        <w:trPr>
          <w:trHeight w:val="328"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cameroni</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peep</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2013</w:t>
            </w:r>
          </w:p>
        </w:tc>
      </w:tr>
      <w:tr>
        <w:tblPrEx>
          <w:shd w:val="clear" w:color="auto" w:fill="ced7e7"/>
        </w:tblPrEx>
        <w:trPr>
          <w:trHeight w:val="78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frontifasciata</w:t>
            </w:r>
            <w:r>
              <w:rPr>
                <w:rFonts w:ascii="Helvetica" w:hAnsi="Helvetica"/>
                <w:i w:val="1"/>
                <w:iCs w:val="1"/>
                <w:outline w:val="0"/>
                <w:color w:val="666666"/>
                <w:sz w:val="22"/>
                <w:szCs w:val="22"/>
                <w:u w:color="666666"/>
                <w:shd w:val="nil" w:color="auto" w:fill="auto"/>
                <w:vertAlign w:val="superscript"/>
                <w:rtl w:val="0"/>
                <w:lang w:val="en-US"/>
                <w14:textFill>
                  <w14:solidFill>
                    <w14:srgbClr w14:val="666666"/>
                  </w14:solidFill>
                </w14:textFill>
              </w:rPr>
              <w:t>1</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slightly larger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1/2</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Horst 1883, Brongersma 1948</w:t>
            </w:r>
          </w:p>
        </w:tc>
      </w:tr>
      <w:tr>
        <w:tblPrEx>
          <w:shd w:val="clear" w:color="auto" w:fill="ced7e7"/>
        </w:tblPrEx>
        <w:trPr>
          <w:trHeight w:val="52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geislerorum</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rattle</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webbed</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Zweifel et al. 2003</w:t>
            </w:r>
          </w:p>
        </w:tc>
      </w:tr>
      <w:tr>
        <w:tblPrEx>
          <w:shd w:val="clear" w:color="auto" w:fill="ced7e7"/>
        </w:tblPrEx>
        <w:trPr>
          <w:trHeight w:val="52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graminis</w:t>
            </w:r>
            <w:r>
              <w:rPr>
                <w:rFonts w:ascii="Helvetica" w:hAnsi="Helvetica"/>
                <w:i w:val="1"/>
                <w:iCs w:val="1"/>
                <w:outline w:val="0"/>
                <w:color w:val="666666"/>
                <w:sz w:val="22"/>
                <w:szCs w:val="22"/>
                <w:u w:color="666666"/>
                <w:shd w:val="nil" w:color="auto" w:fill="auto"/>
                <w:vertAlign w:val="superscript"/>
                <w:rtl w:val="0"/>
                <w:lang w:val="en-US"/>
                <w14:textFill>
                  <w14:solidFill>
                    <w14:srgbClr w14:val="666666"/>
                  </w14:solidFill>
                </w14:textFill>
              </w:rPr>
              <w:t>1</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peep</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approx equal</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Gunther Richards 2012</w:t>
            </w:r>
          </w:p>
        </w:tc>
      </w:tr>
      <w:tr>
        <w:tblPrEx>
          <w:shd w:val="clear" w:color="auto" w:fill="ced7e7"/>
        </w:tblPrEx>
        <w:trPr>
          <w:trHeight w:val="328"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inornata</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honk</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1.0</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328"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lemur</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honk</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328"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loriae</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honk</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webbed</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52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moluccensis</w:t>
            </w:r>
            <w:r>
              <w:rPr>
                <w:rFonts w:ascii="Helvetica" w:hAnsi="Helvetica"/>
                <w:i w:val="1"/>
                <w:iCs w:val="1"/>
                <w:outline w:val="0"/>
                <w:color w:val="666666"/>
                <w:sz w:val="22"/>
                <w:szCs w:val="22"/>
                <w:u w:color="666666"/>
                <w:shd w:val="nil" w:color="auto" w:fill="auto"/>
                <w:vertAlign w:val="superscript"/>
                <w:rtl w:val="0"/>
                <w:lang w:val="en-US"/>
                <w14:textFill>
                  <w14:solidFill>
                    <w14:srgbClr w14:val="666666"/>
                  </w14:solidFill>
                </w14:textFill>
              </w:rPr>
              <w:t>1</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slightly larger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Boettger 1895, Parker 1934</w:t>
            </w:r>
          </w:p>
        </w:tc>
      </w:tr>
      <w:tr>
        <w:tblPrEx>
          <w:shd w:val="clear" w:color="auto" w:fill="ced7e7"/>
        </w:tblPrEx>
        <w:trPr>
          <w:trHeight w:val="52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nana</w:t>
            </w:r>
            <w:r>
              <w:rPr>
                <w:rFonts w:ascii="Helvetica" w:hAnsi="Helvetica"/>
                <w:i w:val="1"/>
                <w:iCs w:val="1"/>
                <w:outline w:val="0"/>
                <w:color w:val="666666"/>
                <w:sz w:val="22"/>
                <w:szCs w:val="22"/>
                <w:u w:color="666666"/>
                <w:shd w:val="nil" w:color="auto" w:fill="auto"/>
                <w:vertAlign w:val="superscript"/>
                <w:rtl w:val="0"/>
                <w:lang w:val="en-US"/>
                <w14:textFill>
                  <w14:solidFill>
                    <w14:srgbClr w14:val="666666"/>
                  </w14:solidFill>
                </w14:textFill>
              </w:rPr>
              <w:t>1</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approx equal</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5&lt;3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1/2</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Brown Alcala, 1967</w:t>
            </w:r>
          </w:p>
        </w:tc>
      </w:tr>
      <w:tr>
        <w:tblPrEx>
          <w:shd w:val="clear" w:color="auto" w:fill="ced7e7"/>
        </w:tblPrEx>
        <w:trPr>
          <w:trHeight w:val="328"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notata</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peep</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Zweifel 2003</w:t>
            </w:r>
          </w:p>
        </w:tc>
      </w:tr>
      <w:tr>
        <w:tblPrEx>
          <w:shd w:val="clear" w:color="auto" w:fill="ced7e7"/>
        </w:tblPrEx>
        <w:trPr>
          <w:trHeight w:val="78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parkeri</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peep</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webbed</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2013, Zweifel et al. 2003</w:t>
            </w:r>
          </w:p>
        </w:tc>
      </w:tr>
      <w:tr>
        <w:tblPrEx>
          <w:shd w:val="clear" w:color="auto" w:fill="ced7e7"/>
        </w:tblPrEx>
        <w:trPr>
          <w:trHeight w:val="328"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parkopanorum</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5&lt;3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2013</w:t>
            </w:r>
          </w:p>
        </w:tc>
      </w:tr>
      <w:tr>
        <w:tblPrEx>
          <w:shd w:val="clear" w:color="auto" w:fill="ced7e7"/>
        </w:tblPrEx>
        <w:trPr>
          <w:trHeight w:val="328"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philosylleptoris</w:t>
            </w:r>
          </w:p>
        </w:tc>
        <w:tc>
          <w:tcPr>
            <w:tcW w:type="dxa" w:w="806"/>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honk</w:t>
            </w:r>
          </w:p>
        </w:tc>
        <w:tc>
          <w:tcPr>
            <w:tcW w:type="dxa" w:w="964"/>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1.0</w:t>
            </w:r>
          </w:p>
        </w:tc>
        <w:tc>
          <w:tcPr>
            <w:tcW w:type="dxa" w:w="763"/>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webbed</w:t>
            </w:r>
          </w:p>
        </w:tc>
        <w:tc>
          <w:tcPr>
            <w:tcW w:type="dxa" w:w="921"/>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1742"/>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348" w:hRule="atLeast"/>
        </w:trPr>
        <w:tc>
          <w:tcPr>
            <w:tcW w:type="dxa" w:w="1483"/>
            <w:vMerge w:val="restart"/>
            <w:tcBorders>
              <w:top w:val="single" w:color="666666" w:sz="8" w:space="0" w:shadow="0" w:frame="0"/>
              <w:left w:val="nil"/>
              <w:bottom w:val="single" w:color="666666" w:sz="8" w:space="0" w:shadow="0" w:frame="0"/>
              <w:right w:val="nil"/>
            </w:tcBorders>
            <w:shd w:val="clear" w:color="auto" w:fill="ffffff"/>
            <w:tcMar>
              <w:top w:type="dxa" w:w="80"/>
              <w:left w:type="dxa" w:w="120"/>
              <w:bottom w:type="dxa" w:w="80"/>
              <w:right w:type="dxa" w:w="120"/>
            </w:tcMar>
            <w:vAlign w:val="top"/>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Auparoparo</w:t>
            </w:r>
            <w:r>
              <w:rPr>
                <w:rFonts w:ascii="Helvetica" w:hAnsi="Helvetica"/>
                <w:i w:val="1"/>
                <w:iCs w:val="1"/>
                <w:outline w:val="0"/>
                <w:color w:val="666666"/>
                <w:sz w:val="22"/>
                <w:szCs w:val="22"/>
                <w:u w:color="666666"/>
                <w:shd w:val="nil" w:color="auto" w:fill="auto"/>
                <w:vertAlign w:val="superscript"/>
                <w:rtl w:val="0"/>
                <w:lang w:val="en-US"/>
                <w14:textFill>
                  <w14:solidFill>
                    <w14:srgbClr w14:val="666666"/>
                  </w14:solidFill>
                </w14:textFill>
              </w:rPr>
              <w:t>2</w:t>
            </w:r>
          </w:p>
        </w:tc>
        <w:tc>
          <w:tcPr>
            <w:tcW w:type="dxa" w:w="2045"/>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brunnea</w:t>
            </w:r>
            <w:r>
              <w:rPr>
                <w:rFonts w:ascii="Helvetica" w:hAnsi="Helvetica"/>
                <w:i w:val="1"/>
                <w:iCs w:val="1"/>
                <w:outline w:val="0"/>
                <w:color w:val="666666"/>
                <w:sz w:val="22"/>
                <w:szCs w:val="22"/>
                <w:u w:color="666666"/>
                <w:shd w:val="nil" w:color="auto" w:fill="auto"/>
                <w:vertAlign w:val="superscript"/>
                <w:rtl w:val="0"/>
                <w:lang w:val="en-US"/>
                <w14:textFill>
                  <w14:solidFill>
                    <w14:srgbClr w14:val="666666"/>
                  </w14:solidFill>
                </w14:textFill>
              </w:rPr>
              <w:t>1</w:t>
            </w:r>
          </w:p>
        </w:tc>
        <w:tc>
          <w:tcPr>
            <w:tcW w:type="dxa" w:w="806"/>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rattle</w:t>
            </w:r>
          </w:p>
        </w:tc>
        <w:tc>
          <w:tcPr>
            <w:tcW w:type="dxa" w:w="964"/>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larger</w:t>
            </w:r>
          </w:p>
        </w:tc>
        <w:tc>
          <w:tcPr>
            <w:tcW w:type="dxa" w:w="763"/>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5=3</w:t>
            </w:r>
          </w:p>
        </w:tc>
        <w:tc>
          <w:tcPr>
            <w:tcW w:type="dxa" w:w="1066"/>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1742"/>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2017</w:t>
            </w:r>
          </w:p>
        </w:tc>
      </w:tr>
      <w:tr>
        <w:tblPrEx>
          <w:shd w:val="clear" w:color="auto" w:fill="ced7e7"/>
        </w:tblPrEx>
        <w:trPr>
          <w:trHeight w:val="348" w:hRule="atLeast"/>
        </w:trPr>
        <w:tc>
          <w:tcPr>
            <w:tcW w:type="dxa" w:w="1483"/>
            <w:vMerge w:val="continue"/>
            <w:tcBorders>
              <w:top w:val="single" w:color="666666" w:sz="8"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equus</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whinny</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520" w:hRule="atLeast"/>
        </w:trPr>
        <w:tc>
          <w:tcPr>
            <w:tcW w:type="dxa" w:w="1483"/>
            <w:vMerge w:val="continue"/>
            <w:tcBorders>
              <w:top w:val="single" w:color="666666" w:sz="8"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ezra</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chatter</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Allison 2009</w:t>
            </w:r>
          </w:p>
        </w:tc>
      </w:tr>
      <w:tr>
        <w:tblPrEx>
          <w:shd w:val="clear" w:color="auto" w:fill="ced7e7"/>
        </w:tblPrEx>
        <w:trPr>
          <w:trHeight w:val="520" w:hRule="atLeast"/>
        </w:trPr>
        <w:tc>
          <w:tcPr>
            <w:tcW w:type="dxa" w:w="1483"/>
            <w:vMerge w:val="continue"/>
            <w:tcBorders>
              <w:top w:val="single" w:color="666666" w:sz="8"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insulana</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whinny</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 Zweifel 1956</w:t>
            </w:r>
          </w:p>
        </w:tc>
      </w:tr>
      <w:tr>
        <w:tblPrEx>
          <w:shd w:val="clear" w:color="auto" w:fill="ced7e7"/>
        </w:tblPrEx>
        <w:trPr>
          <w:trHeight w:val="328" w:hRule="atLeast"/>
        </w:trPr>
        <w:tc>
          <w:tcPr>
            <w:tcW w:type="dxa" w:w="1483"/>
            <w:vMerge w:val="continue"/>
            <w:tcBorders>
              <w:top w:val="single" w:color="666666" w:sz="8"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matawan</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rattle</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w:t>
            </w: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r>
              <w:rPr>
                <w:rFonts w:ascii="Helvetica" w:hAnsi="Helvetica"/>
                <w:outline w:val="0"/>
                <w:color w:val="666666"/>
                <w:sz w:val="22"/>
                <w:szCs w:val="22"/>
                <w:u w:color="666666"/>
                <w:shd w:val="nil" w:color="auto" w:fill="auto"/>
                <w:rtl w:val="0"/>
                <w:lang w:val="en-US"/>
                <w14:textFill>
                  <w14:solidFill>
                    <w14:srgbClr w14:val="666666"/>
                  </w14:solidFill>
                </w14:textFill>
              </w:rPr>
              <w: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328" w:hRule="atLeast"/>
        </w:trPr>
        <w:tc>
          <w:tcPr>
            <w:tcW w:type="dxa" w:w="1483"/>
            <w:vMerge w:val="continue"/>
            <w:tcBorders>
              <w:top w:val="single" w:color="666666" w:sz="8"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meliades</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whinny</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1.2</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328" w:hRule="atLeast"/>
        </w:trPr>
        <w:tc>
          <w:tcPr>
            <w:tcW w:type="dxa" w:w="1483"/>
            <w:vMerge w:val="continue"/>
            <w:tcBorders>
              <w:top w:val="single" w:color="666666" w:sz="8"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penelopeia</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whinny</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328" w:hRule="atLeast"/>
        </w:trPr>
        <w:tc>
          <w:tcPr>
            <w:tcW w:type="dxa" w:w="1483"/>
            <w:vMerge w:val="continue"/>
            <w:tcBorders>
              <w:top w:val="single" w:color="666666" w:sz="8"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phoebe</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whinny</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1.2</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webbed</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2017</w:t>
            </w:r>
          </w:p>
        </w:tc>
      </w:tr>
      <w:tr>
        <w:tblPrEx>
          <w:shd w:val="clear" w:color="auto" w:fill="ced7e7"/>
        </w:tblPrEx>
        <w:trPr>
          <w:trHeight w:val="328" w:hRule="atLeast"/>
        </w:trPr>
        <w:tc>
          <w:tcPr>
            <w:tcW w:type="dxa" w:w="1483"/>
            <w:vMerge w:val="continue"/>
            <w:tcBorders>
              <w:top w:val="single" w:color="666666" w:sz="8"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picticrus</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whinny</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530" w:hRule="atLeast"/>
        </w:trPr>
        <w:tc>
          <w:tcPr>
            <w:tcW w:type="dxa" w:w="1483"/>
            <w:vMerge w:val="continue"/>
            <w:tcBorders>
              <w:top w:val="single" w:color="666666" w:sz="8" w:space="0" w:shadow="0" w:frame="0"/>
              <w:left w:val="nil"/>
              <w:bottom w:val="single" w:color="666666" w:sz="8" w:space="0" w:shadow="0" w:frame="0"/>
              <w:right w:val="nil"/>
            </w:tcBorders>
            <w:shd w:val="clear" w:color="auto" w:fill="ffffff"/>
          </w:tcPr>
          <w:p/>
        </w:tc>
        <w:tc>
          <w:tcPr>
            <w:tcW w:type="dxa" w:w="2045"/>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variabilis</w:t>
            </w:r>
            <w:r>
              <w:rPr>
                <w:rFonts w:ascii="Helvetica" w:hAnsi="Helvetica"/>
                <w:i w:val="1"/>
                <w:iCs w:val="1"/>
                <w:outline w:val="0"/>
                <w:color w:val="666666"/>
                <w:sz w:val="22"/>
                <w:szCs w:val="22"/>
                <w:u w:color="666666"/>
                <w:shd w:val="nil" w:color="auto" w:fill="auto"/>
                <w:vertAlign w:val="superscript"/>
                <w:rtl w:val="0"/>
                <w:lang w:val="en-US"/>
                <w14:textFill>
                  <w14:solidFill>
                    <w14:srgbClr w14:val="666666"/>
                  </w14:solidFill>
                </w14:textFill>
              </w:rPr>
              <w:t>1</w:t>
            </w:r>
          </w:p>
        </w:tc>
        <w:tc>
          <w:tcPr>
            <w:tcW w:type="dxa" w:w="806"/>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tc>
        <w:tc>
          <w:tcPr>
            <w:tcW w:type="dxa" w:w="964"/>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much larger</w:t>
            </w:r>
          </w:p>
        </w:tc>
        <w:tc>
          <w:tcPr>
            <w:tcW w:type="dxa" w:w="763"/>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792"/>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tc>
        <w:tc>
          <w:tcPr>
            <w:tcW w:type="dxa" w:w="1066"/>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921"/>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&gt;2/3</w:t>
            </w:r>
          </w:p>
        </w:tc>
        <w:tc>
          <w:tcPr>
            <w:tcW w:type="dxa" w:w="1742"/>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Boulenger 1896</w:t>
            </w:r>
          </w:p>
        </w:tc>
      </w:tr>
      <w:tr>
        <w:tblPrEx>
          <w:shd w:val="clear" w:color="auto" w:fill="ced7e7"/>
        </w:tblPrEx>
        <w:trPr>
          <w:trHeight w:val="270" w:hRule="atLeast"/>
        </w:trPr>
        <w:tc>
          <w:tcPr>
            <w:tcW w:type="dxa" w:w="13896"/>
            <w:gridSpan w:val="13"/>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vertAlign w:val="superscript"/>
                <w:rtl w:val="0"/>
                <w:lang w:val="en-US"/>
                <w14:textFill>
                  <w14:solidFill>
                    <w14:srgbClr w14:val="666666"/>
                  </w14:solidFill>
                </w14:textFill>
              </w:rPr>
              <w:t>1</w:t>
            </w:r>
            <w:r>
              <w:rPr>
                <w:rFonts w:ascii="Helvetica" w:hAnsi="Helvetica"/>
                <w:outline w:val="0"/>
                <w:color w:val="666666"/>
                <w:sz w:val="22"/>
                <w:szCs w:val="22"/>
                <w:u w:color="666666"/>
                <w:shd w:val="nil" w:color="auto" w:fill="auto"/>
                <w:rtl w:val="0"/>
                <w:lang w:val="en-US"/>
                <w14:textFill>
                  <w14:solidFill>
                    <w14:srgbClr w14:val="666666"/>
                  </w14:solidFill>
                </w14:textFill>
              </w:rPr>
              <w:t>Character states obtained from the literature, specimens not available for examination in this study.</w:t>
            </w:r>
          </w:p>
        </w:tc>
      </w:tr>
      <w:tr>
        <w:tblPrEx>
          <w:shd w:val="clear" w:color="auto" w:fill="ced7e7"/>
        </w:tblPrEx>
        <w:trPr>
          <w:trHeight w:val="520" w:hRule="atLeast"/>
        </w:trPr>
        <w:tc>
          <w:tcPr>
            <w:tcW w:type="dxa" w:w="13896"/>
            <w:gridSpan w:val="1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vertAlign w:val="superscript"/>
                <w:rtl w:val="0"/>
                <w:lang w:val="en-US"/>
                <w14:textFill>
                  <w14:solidFill>
                    <w14:srgbClr w14:val="666666"/>
                  </w14:solidFill>
                </w14:textFill>
              </w:rPr>
              <w:t>2</w:t>
            </w:r>
            <w:r>
              <w:rPr>
                <w:rFonts w:ascii="Helvetica" w:hAnsi="Helvetica"/>
                <w:outline w:val="0"/>
                <w:color w:val="666666"/>
                <w:sz w:val="22"/>
                <w:szCs w:val="22"/>
                <w:u w:color="666666"/>
                <w:shd w:val="nil" w:color="auto" w:fill="auto"/>
                <w:rtl w:val="0"/>
                <w:lang w:val="en-US"/>
                <w14:textFill>
                  <w14:solidFill>
                    <w14:srgbClr w14:val="666666"/>
                  </w14:solidFill>
                </w14:textFill>
              </w:rPr>
              <w:t xml:space="preserve">Hill et al. 2022 places </w:t>
            </w: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Aphantophryne pansa</w:t>
            </w:r>
            <w:r>
              <w:rPr>
                <w:rFonts w:ascii="Helvetica" w:hAnsi="Helvetica"/>
                <w:outline w:val="0"/>
                <w:color w:val="666666"/>
                <w:sz w:val="22"/>
                <w:szCs w:val="22"/>
                <w:u w:color="666666"/>
                <w:shd w:val="nil" w:color="auto" w:fill="auto"/>
                <w:rtl w:val="0"/>
                <w:lang w:val="en-US"/>
                <w14:textFill>
                  <w14:solidFill>
                    <w14:srgbClr w14:val="666666"/>
                  </w14:solidFill>
                </w14:textFill>
              </w:rPr>
              <w:t xml:space="preserve"> within </w:t>
            </w: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Auparoparo</w:t>
            </w:r>
            <w:r>
              <w:rPr>
                <w:rFonts w:ascii="Helvetica" w:hAnsi="Helvetica"/>
                <w:outline w:val="0"/>
                <w:color w:val="666666"/>
                <w:sz w:val="22"/>
                <w:szCs w:val="22"/>
                <w:u w:color="666666"/>
                <w:shd w:val="nil" w:color="auto" w:fill="auto"/>
                <w:rtl w:val="0"/>
                <w:lang w:val="en-US"/>
                <w14:textFill>
                  <w14:solidFill>
                    <w14:srgbClr w14:val="666666"/>
                  </w14:solidFill>
                </w14:textFill>
              </w:rPr>
              <w:t xml:space="preserve">, but the status of </w:t>
            </w: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Aphantophryne</w:t>
            </w:r>
            <w:r>
              <w:rPr>
                <w:rFonts w:ascii="Helvetica" w:hAnsi="Helvetica"/>
                <w:outline w:val="0"/>
                <w:color w:val="666666"/>
                <w:sz w:val="22"/>
                <w:szCs w:val="22"/>
                <w:u w:color="666666"/>
                <w:shd w:val="nil" w:color="auto" w:fill="auto"/>
                <w:rtl w:val="0"/>
                <w:lang w:val="en-US"/>
                <w14:textFill>
                  <w14:solidFill>
                    <w14:srgbClr w14:val="666666"/>
                  </w14:solidFill>
                </w14:textFill>
              </w:rPr>
              <w:t xml:space="preserve"> requires further study with samples from additional species and localities.</w:t>
            </w:r>
          </w:p>
        </w:tc>
      </w:tr>
      <w:tr>
        <w:tblPrEx>
          <w:shd w:val="clear" w:color="auto" w:fill="ced7e7"/>
        </w:tblPrEx>
        <w:trPr>
          <w:trHeight w:val="260" w:hRule="atLeast"/>
        </w:trPr>
        <w:tc>
          <w:tcPr>
            <w:tcW w:type="dxa" w:w="13896"/>
            <w:gridSpan w:val="1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*External characters were examined from specimens, internal characters and pupil shape taken from the literature.</w:t>
            </w:r>
          </w:p>
        </w:tc>
      </w:tr>
    </w:tbl>
    <w:p>
      <w:pPr>
        <w:pStyle w:val="Body"/>
        <w:widowControl w:val="0"/>
        <w:jc w:val="center"/>
      </w:pPr>
      <w:r/>
    </w:p>
    <w:sectPr>
      <w:headerReference w:type="default" r:id="rId4"/>
      <w:footerReference w:type="default" r:id="rId5"/>
      <w:pgSz w:w="16840" w:h="11960" w:orient="landscape"/>
      <w:pgMar w:top="1417" w:right="1417" w:bottom="1417" w:left="1417"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hème Office">
  <a:themeElements>
    <a:clrScheme name="Thèm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hème Office">
      <a:majorFont>
        <a:latin typeface="Helvetica Neue"/>
        <a:ea typeface="Helvetica Neue"/>
        <a:cs typeface="Helvetica Neue"/>
      </a:majorFont>
      <a:minorFont>
        <a:latin typeface="Helvetica Neue"/>
        <a:ea typeface="Helvetica Neue"/>
        <a:cs typeface="Helvetica Neue"/>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