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296"/>
        <w:gridCol w:w="2736"/>
        <w:gridCol w:w="3456"/>
        <w:gridCol w:w="1296"/>
        <w:gridCol w:w="1296"/>
        <w:gridCol w:w="1296"/>
        <w:gridCol w:w="1296"/>
        <w:gridCol w:w="1296"/>
        <w:gridCol w:w="1296"/>
      </w:tblGrid>
      <w:tr>
        <w:trPr>
          <w:trHeight w:val="518" w:hRule="auto"/>
          <w:tblHeader/>
        </w:trPr>
        <w:tc>
          <w:tcPr>
            <w:gridSpan w:val="9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666666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666666"/>
              </w:rPr>
              <w:t xml:space="preserve">Table 1.</w:t>
            </w:r>
          </w:p>
        </w:tc>
      </w:tr>
      <w:tr>
        <w:trPr>
          <w:trHeight w:val="518" w:hRule="auto"/>
          <w:tblHeader/>
        </w:trPr>
        <w:tc>
          <w:tcPr>
            <w:gridSpan w:val="9"/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666666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666666"/>
              </w:rPr>
              <w:t xml:space="preserve">Locality information and GenBank sccession numbers for samples sequenced in this study. See Table 1 in Hill, et al., 2023 for additional metadata.</w:t>
            </w:r>
          </w:p>
        </w:tc>
      </w:tr>
      <w:tr>
        <w:trPr>
          <w:trHeight w:val="518" w:hRule="auto"/>
          <w:tblHeader/>
        </w:trPr>
        <w:tc>
          <w:tcPr>
            <w:tcBorders>
              <w:bottom w:val="single" w:sz="12" w:space="0" w:color="666666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666666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666666"/>
              </w:rPr>
              <w:t xml:space="preserve">ID</w:t>
            </w:r>
          </w:p>
        </w:tc>
        <w:tc>
          <w:tcPr>
            <w:tcBorders>
              <w:bottom w:val="single" w:sz="12" w:space="0" w:color="666666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666666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666666"/>
              </w:rPr>
              <w:t xml:space="preserve">Species</w:t>
            </w:r>
          </w:p>
        </w:tc>
        <w:tc>
          <w:tcPr>
            <w:tcBorders>
              <w:bottom w:val="single" w:sz="12" w:space="0" w:color="666666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666666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666666"/>
              </w:rPr>
              <w:t xml:space="preserve">Locality</w:t>
            </w:r>
          </w:p>
        </w:tc>
        <w:tc>
          <w:tcPr>
            <w:tcBorders>
              <w:bottom w:val="single" w:sz="12" w:space="0" w:color="666666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666666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666666"/>
              </w:rPr>
              <w:t xml:space="preserve">Latitude, Longitude</w:t>
            </w:r>
          </w:p>
        </w:tc>
        <w:tc>
          <w:tcPr>
            <w:tcBorders>
              <w:bottom w:val="single" w:sz="12" w:space="0" w:color="666666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666666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666666"/>
              </w:rPr>
              <w:t xml:space="preserve">SIA</w:t>
            </w:r>
          </w:p>
        </w:tc>
        <w:tc>
          <w:tcPr>
            <w:tcBorders>
              <w:bottom w:val="single" w:sz="12" w:space="0" w:color="666666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666666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666666"/>
              </w:rPr>
              <w:t xml:space="preserve">BDNF</w:t>
            </w:r>
          </w:p>
        </w:tc>
        <w:tc>
          <w:tcPr>
            <w:tcBorders>
              <w:bottom w:val="single" w:sz="12" w:space="0" w:color="666666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666666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666666"/>
              </w:rPr>
              <w:t xml:space="preserve">NXC1</w:t>
            </w:r>
          </w:p>
        </w:tc>
        <w:tc>
          <w:tcPr>
            <w:tcBorders>
              <w:bottom w:val="single" w:sz="12" w:space="0" w:color="666666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666666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666666"/>
              </w:rPr>
              <w:t xml:space="preserve">CYTB</w:t>
            </w:r>
          </w:p>
        </w:tc>
        <w:tc>
          <w:tcPr>
            <w:tcBorders>
              <w:bottom w:val="single" w:sz="12" w:space="0" w:color="666666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666666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666666"/>
              </w:rPr>
              <w:t xml:space="preserve">ND4</w:t>
            </w:r>
          </w:p>
        </w:tc>
      </w:tr>
      <w:tr>
        <w:trPr>
          <w:trHeight w:val="752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666666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666666"/>
              </w:rPr>
              <w:t xml:space="preserve">BJE01120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0"/>
                <w:szCs w:val="20"/>
                <w:color w:val="666666"/>
              </w:rPr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0"/>
                <w:szCs w:val="20"/>
                <w:color w:val="666666"/>
              </w:rPr>
              <w:t xml:space="preserve">Oreophryne moluccensis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666666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666666"/>
              </w:rPr>
              <w:t xml:space="preserve">Kabupaten Halmahera Utara,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666666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666666"/>
              </w:rPr>
              <w:t xml:space="preserve">Halmahera Island, North Maluku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666666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666666"/>
              </w:rPr>
              <w:t xml:space="preserve">1.8228, 127.8300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666666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666666"/>
              </w:rPr>
              <w:t xml:space="preserve">PV703775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666666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666666"/>
              </w:rPr>
              <w:t xml:space="preserve">PV703761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666666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666666"/>
              </w:rPr>
              <w:t xml:space="preserve">PV703771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666666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666666"/>
              </w:rPr>
              <w:t xml:space="preserve">PV703765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666666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666666"/>
              </w:rPr>
              <w:t xml:space="preserve">PV703768</w:t>
            </w:r>
          </w:p>
        </w:tc>
      </w:tr>
      <w:tr>
        <w:trPr>
          <w:trHeight w:val="75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666666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666666"/>
              </w:rPr>
              <w:t xml:space="preserve">BJE01143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0"/>
                <w:szCs w:val="20"/>
                <w:color w:val="666666"/>
              </w:rPr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0"/>
                <w:szCs w:val="20"/>
                <w:color w:val="666666"/>
              </w:rPr>
              <w:t xml:space="preserve">Oreophryne moluccensis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666666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666666"/>
              </w:rPr>
              <w:t xml:space="preserve">Kabupaten Halmahera Utara,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666666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666666"/>
              </w:rPr>
              <w:t xml:space="preserve">Halmahera Island, North Maluku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666666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666666"/>
              </w:rPr>
              <w:t xml:space="preserve">1.7899, 127.8910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666666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666666"/>
              </w:rPr>
              <w:t xml:space="preserve">PV703776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666666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666666"/>
              </w:rPr>
              <w:t xml:space="preserve">PV703762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666666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666666"/>
              </w:rPr>
              <w:t xml:space="preserve">PV703772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666666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666666"/>
              </w:rPr>
              <w:t xml:space="preserve">PV703766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666666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666666"/>
              </w:rPr>
              <w:t xml:space="preserve">PV703769</w:t>
            </w:r>
          </w:p>
        </w:tc>
      </w:tr>
      <w:tr>
        <w:trPr>
          <w:trHeight w:val="767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666666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666666"/>
              </w:rPr>
              <w:t xml:space="preserve">BJE01144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0"/>
                <w:szCs w:val="20"/>
                <w:color w:val="666666"/>
              </w:rPr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0"/>
                <w:szCs w:val="20"/>
                <w:color w:val="666666"/>
              </w:rPr>
              <w:t xml:space="preserve">Oreophryne moluccensis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666666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666666"/>
              </w:rPr>
              <w:t xml:space="preserve">Kabupaten Halmahera Utara,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666666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666666"/>
              </w:rPr>
              <w:t xml:space="preserve">Halmahera Island, North Maluku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666666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666666"/>
              </w:rPr>
              <w:t xml:space="preserve">1.7899, 127.8910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666666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666666"/>
              </w:rPr>
              <w:t xml:space="preserve">PV703777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666666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666666"/>
              </w:rPr>
              <w:t xml:space="preserve">PV703763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666666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666666"/>
              </w:rPr>
              <w:t xml:space="preserve">PV703773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666666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666666"/>
              </w:rPr>
              <w:t xml:space="preserve">PV703767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666666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666666"/>
              </w:rPr>
              <w:t xml:space="preserve">PV703770</w:t>
            </w:r>
          </w:p>
        </w:tc>
      </w:tr>
    </w:tbl>
    <w:sectPr>
      <w:pgMar w:header="708" w:bottom="1417" w:top="1417" w:right="1417" w:left="1417" w:footer="708" w:gutter="0"/>
      <w:pgSz w:h="11952" w:w="16848" w:orient="landscape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marguerite</cp:lastModifiedBy>
  <cp:revision>9</cp:revision>
  <dcterms:created xsi:type="dcterms:W3CDTF">2017-02-28T11:18:00Z</dcterms:created>
  <dcterms:modified xsi:type="dcterms:W3CDTF">2026-08-10T14:26:56Z</dcterms:modified>
  <cp:category/>
</cp:coreProperties>
</file>