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Revealing the new arboreal frog genus</w:t>
      </w:r>
      <w:r>
        <w:t xml:space="preserve"> </w:t>
      </w:r>
      <w:r>
        <w:rPr>
          <w:i/>
          <w:iCs/>
        </w:rPr>
        <w:t xml:space="preserve">Auparoparo</w:t>
      </w:r>
      <w:r>
        <w:t xml:space="preserve"> </w:t>
      </w:r>
      <w:r>
        <w:t xml:space="preserve">after 130 years of</w:t>
      </w:r>
      <w:r>
        <w:t xml:space="preserve"> </w:t>
      </w:r>
      <w:r>
        <w:rPr>
          <w:i/>
          <w:iCs/>
        </w:rPr>
        <w:t xml:space="preserve">Oreophryne</w:t>
      </w:r>
      <w:r>
        <w:t xml:space="preserve"> </w:t>
      </w:r>
      <w:r>
        <w:t xml:space="preserve">sensu lato, subfamily Asterophrinae</w:t>
      </w:r>
    </w:p>
    <w:p>
      <w:pPr>
        <w:pStyle w:val="Author"/>
      </w:pPr>
      <w:r>
        <w:t xml:space="preserve">Allison Fisher and Ke Cao, Allen Allison, Bulisa Iova, and Marguerite Butler</w:t>
      </w:r>
    </w:p>
    <w:p>
      <w:pPr>
        <w:pStyle w:val="Date"/>
      </w:pPr>
      <w:r>
        <w:t xml:space="preserve">2025-04-16</w:t>
      </w:r>
    </w:p>
    <w:p>
      <w:pPr>
        <w:pStyle w:val="FirstParagraph"/>
      </w:pPr>
      <w:r>
        <w:t xml:space="preserve">Google Docs Draft:</w:t>
      </w:r>
      <w:r>
        <w:t xml:space="preserve"> </w:t>
      </w:r>
      <w:hyperlink r:id="rId20">
        <w:r>
          <w:rPr>
            <w:rStyle w:val="Hyperlink"/>
          </w:rPr>
          <w:t xml:space="preserve">https://docs.google.com/document/d/1SoTnMGt7Atw3esXOYcC2Bnwzn14nprnsa7vY-j4pIu4/edit?tab=t.0</w:t>
        </w:r>
      </w:hyperlink>
    </w:p>
    <w:bookmarkStart w:id="21" w:name="abstract"/>
    <w:p>
      <w:pPr>
        <w:pStyle w:val="Heading1"/>
      </w:pPr>
      <w:r>
        <w:t xml:space="preserve">Abstract</w:t>
      </w:r>
    </w:p>
    <w:p>
      <w:pPr>
        <w:pStyle w:val="FirstParagraph"/>
      </w:pPr>
      <w:r>
        <w:rPr>
          <w:i/>
          <w:iCs/>
        </w:rPr>
        <w:t xml:space="preserve">Oreophryne</w:t>
      </w:r>
      <w:r>
        <w:t xml:space="preserve"> </w:t>
      </w:r>
      <w:r>
        <w:t xml:space="preserve">sensu lato</w:t>
      </w:r>
      <w:r>
        <w:t xml:space="preserve"> </w:t>
      </w:r>
      <w:r>
        <w:t xml:space="preserve">(Boettger 1895)</w:t>
      </w:r>
      <w:r>
        <w:t xml:space="preserve"> </w:t>
      </w:r>
      <w:r>
        <w:t xml:space="preserve">is the largest clade of the hyperdiverse microhylid frog subfamily Asterophryinae, and is of particular concern for revision.</w:t>
      </w:r>
      <w:r>
        <w:t xml:space="preserve"> </w:t>
      </w:r>
      <w:r>
        <w:rPr>
          <w:i/>
          <w:iCs/>
        </w:rPr>
        <w:t xml:space="preserve">Oreophryne</w:t>
      </w:r>
      <w:r>
        <w:t xml:space="preserve"> </w:t>
      </w:r>
      <w:r>
        <w:t xml:space="preserve">is a large genus (73 species) with a surprisingly expansive distribution across Papua New Guinea to Southeast Asia, representing nearly all of the arboreal species in Asterophryinae. A recent molecular phylogeny has demonstrated that Oreophryne as currently recognized is polyphyletic and consists of two reciprocally monophyletic genera, one of which is highly supported as being the most basal of the entire subfamily whereas the other unrelated genus is ~2M years younger. Our acquisition of four samples from North Maluku Island, Indonesia, including a specimen of the type species,</w:t>
      </w:r>
      <w:r>
        <w:t xml:space="preserve"> </w:t>
      </w:r>
      <w:r>
        <w:rPr>
          <w:i/>
          <w:iCs/>
        </w:rPr>
        <w:t xml:space="preserve">O. senckenbergiana</w:t>
      </w:r>
      <w:r>
        <w:t xml:space="preserve">, has now allowed for a decisive resolution as to which clade can bear the name</w:t>
      </w:r>
      <w:r>
        <w:t xml:space="preserve"> </w:t>
      </w:r>
      <w:r>
        <w:rPr>
          <w:i/>
          <w:iCs/>
        </w:rPr>
        <w:t xml:space="preserve">Oreophryne</w:t>
      </w:r>
      <w:r>
        <w:t xml:space="preserve">. We sequenced five loci (three nuclear: BDNF, SIA, NXC, and two mitochondrial: CytB, ND4), aligned them to the 236 tip Asterophryinae molecular dataset of</w:t>
      </w:r>
      <w:r>
        <w:t xml:space="preserve"> </w:t>
      </w:r>
      <w:r>
        <w:t xml:space="preserve">Hill et al. (2022)</w:t>
      </w:r>
      <w:r>
        <w:t xml:space="preserve"> </w:t>
      </w:r>
      <w:r>
        <w:t xml:space="preserve">and regenerated the phylogeny using Maximum Likelihood inference in IQTREE2. The type species fell into the more basal clade</w:t>
      </w:r>
      <w:r>
        <w:t xml:space="preserve"> </w:t>
      </w:r>
      <w:r>
        <w:t xml:space="preserve">(</w:t>
      </w:r>
      <w:r>
        <w:t xml:space="preserve">“Oreophryne A”</w:t>
      </w:r>
      <w:r>
        <w:t xml:space="preserve"> </w:t>
      </w:r>
      <w:r>
        <w:t xml:space="preserve">in Hill et al. 2022)</w:t>
      </w:r>
      <w:r>
        <w:t xml:space="preserve"> </w:t>
      </w:r>
      <w:r>
        <w:t xml:space="preserve">indicating that the true</w:t>
      </w:r>
      <w:r>
        <w:t xml:space="preserve"> </w:t>
      </w:r>
      <w:r>
        <w:rPr>
          <w:i/>
          <w:iCs/>
        </w:rPr>
        <w:t xml:space="preserve">Oreophryne</w:t>
      </w:r>
      <w:r>
        <w:t xml:space="preserve"> </w:t>
      </w:r>
      <w:r>
        <w:t xml:space="preserve">is the sister branch to the rest of Asterophryinae. All four North Maluku island specimens were closely related and formed a monophyletic clade, which diverged from sister taxa on New Guinea Island about 10 MYA. We propose the name</w:t>
      </w:r>
      <w:r>
        <w:t xml:space="preserve"> </w:t>
      </w:r>
      <w:r>
        <w:rPr>
          <w:i/>
          <w:iCs/>
        </w:rPr>
        <w:t xml:space="preserve">Auparoparo</w:t>
      </w:r>
      <w:r>
        <w:t xml:space="preserve"> </w:t>
      </w:r>
      <w:r>
        <w:t xml:space="preserve">for the new genus</w:t>
      </w:r>
      <w:r>
        <w:t xml:space="preserve"> </w:t>
      </w:r>
      <w:r>
        <w:t xml:space="preserve">(the younger clade Oreophryne B in Hill et al. 2022)</w:t>
      </w:r>
      <w:r>
        <w:t xml:space="preserve">. These genera remain morphologically similar and we provide an analysis of their morphological traits and distribution in addition to redefinition. Our findings clearly demonstrate that arboreality has evolved at least twice within Asterophryne, making these two clades strong candidates for convergent evolution. More complete sampling of additional species with greater range can help to further inform the dynamics of diversification of these ecologically diverse clades.</w:t>
      </w:r>
    </w:p>
    <w:bookmarkEnd w:id="21"/>
    <w:bookmarkStart w:id="29" w:name="introduction"/>
    <w:p>
      <w:pPr>
        <w:pStyle w:val="Heading1"/>
      </w:pPr>
      <w:r>
        <w:t xml:space="preserve">Introduction</w:t>
      </w:r>
    </w:p>
    <w:p>
      <w:pPr>
        <w:pStyle w:val="FirstParagraph"/>
      </w:pPr>
      <w:r>
        <w:t xml:space="preserve">The frog genus</w:t>
      </w:r>
      <w:r>
        <w:t xml:space="preserve"> </w:t>
      </w:r>
      <w:r>
        <w:rPr>
          <w:i/>
          <w:iCs/>
        </w:rPr>
        <w:t xml:space="preserve">Oreophryne</w:t>
      </w:r>
      <w:r>
        <w:t xml:space="preserve"> </w:t>
      </w:r>
      <w:r>
        <w:t xml:space="preserve">sensu lato</w:t>
      </w:r>
      <w:r>
        <w:t xml:space="preserve"> </w:t>
      </w:r>
      <w:r>
        <w:t xml:space="preserve">(Boettger 1895)</w:t>
      </w:r>
      <w:r>
        <w:t xml:space="preserve"> </w:t>
      </w:r>
      <w:r>
        <w:t xml:space="preserve">is the largest genus of the hyperdiverse Microhylidae:Asterophryinae, the largest subfamily of Microhylidae. With 75 diagnosed species,</w:t>
      </w:r>
      <w:r>
        <w:t xml:space="preserve"> </w:t>
      </w:r>
      <w:r>
        <w:rPr>
          <w:i/>
          <w:iCs/>
        </w:rPr>
        <w:t xml:space="preserve">Oreophryne</w:t>
      </w:r>
      <w:r>
        <w:t xml:space="preserve"> </w:t>
      </w:r>
      <w:r>
        <w:t xml:space="preserve">sensu lato makes up one fifth of the currently ~365 recognized species of Asterophryinae</w:t>
      </w:r>
      <w:r>
        <w:t xml:space="preserve"> </w:t>
      </w:r>
      <w:r>
        <w:t xml:space="preserve">(Hill et al. 2022; Frost 2024)</w:t>
      </w:r>
      <w:r>
        <w:t xml:space="preserve">, despite being only one of ~16 genera.</w:t>
      </w:r>
      <w:r>
        <w:t xml:space="preserve"> </w:t>
      </w:r>
      <w:r>
        <w:rPr>
          <w:i/>
          <w:iCs/>
        </w:rPr>
        <w:t xml:space="preserve">Oreophryne</w:t>
      </w:r>
      <w:r>
        <w:t xml:space="preserve"> </w:t>
      </w:r>
      <w:r>
        <w:t xml:space="preserve">sensu lato are conspicuously arboreal (or scansorial) and the genus accounts for nearly all arboreal species of Asterophryinae</w:t>
      </w:r>
      <w:r>
        <w:t xml:space="preserve"> </w:t>
      </w:r>
      <w:r>
        <w:t xml:space="preserve">(Günther et al. 2001; Menzies 2006)</w:t>
      </w:r>
      <w:r>
        <w:t xml:space="preserve">.</w:t>
      </w:r>
      <w:r>
        <w:t xml:space="preserve"> </w:t>
      </w:r>
      <w:r>
        <w:rPr>
          <w:i/>
          <w:iCs/>
        </w:rPr>
        <w:t xml:space="preserve">Oreophryne</w:t>
      </w:r>
      <w:r>
        <w:t xml:space="preserve"> </w:t>
      </w:r>
      <w:r>
        <w:t xml:space="preserve">sensu lato also has the largest geographic distribution of any genus in its subfamily, and is therefore an important group for understanding the biogeography of the region</w:t>
      </w:r>
      <w:r>
        <w:t xml:space="preserve"> </w:t>
      </w:r>
      <w:r>
        <w:t xml:space="preserve">(Hill et al. 2023a)</w:t>
      </w:r>
      <w:r>
        <w:t xml:space="preserve">.</w:t>
      </w:r>
      <w:r>
        <w:t xml:space="preserve"> </w:t>
      </w:r>
      <w:r>
        <w:rPr>
          <w:i/>
          <w:iCs/>
        </w:rPr>
        <w:t xml:space="preserve">Oreophryne</w:t>
      </w:r>
      <w:r>
        <w:t xml:space="preserve"> </w:t>
      </w:r>
      <w:r>
        <w:t xml:space="preserve">sensu lato occupy mostly low to mid-elevation ranges with species centered on mainland New Guinea</w:t>
      </w:r>
      <w:r>
        <w:t xml:space="preserve"> </w:t>
      </w:r>
      <w:r>
        <w:t xml:space="preserve">(Zweifel et al. 2003; Frost 2024)</w:t>
      </w:r>
      <w:r>
        <w:t xml:space="preserve"> </w:t>
      </w:r>
      <w:r>
        <w:t xml:space="preserve">and its offshore islands including the DʻEntrecasteaux and Louisiade Archipelagos</w:t>
      </w:r>
      <w:r>
        <w:t xml:space="preserve"> </w:t>
      </w:r>
      <w:r>
        <w:t xml:space="preserve">(Zweifel 1956; Kraus and Allison 2004; Kraus and Allison 2009; Kraus 2013)</w:t>
      </w:r>
      <w:r>
        <w:t xml:space="preserve">, New Britain Island</w:t>
      </w:r>
      <w:r>
        <w:t xml:space="preserve"> </w:t>
      </w:r>
      <w:r>
        <w:t xml:space="preserve">(Werner 1898; Zweifel et al. 2003)</w:t>
      </w:r>
      <w:r>
        <w:t xml:space="preserve">, but ranging westward to Sulawesi</w:t>
      </w:r>
      <w:r>
        <w:t xml:space="preserve"> </w:t>
      </w:r>
      <w:r>
        <w:t xml:space="preserve">(Müller 1894; Boulenger 1896; Ahl 1933; Putri et al. 2023)</w:t>
      </w:r>
      <w:r>
        <w:t xml:space="preserve">, northward to Indonesia</w:t>
      </w:r>
      <w:r>
        <w:t xml:space="preserve"> </w:t>
      </w:r>
      <w:r>
        <w:t xml:space="preserve">(Boettger 1895; Setiadi et al. 2010; Günther et al. 2023)</w:t>
      </w:r>
      <w:r>
        <w:t xml:space="preserve"> </w:t>
      </w:r>
      <w:r>
        <w:t xml:space="preserve">and the Southern Philippines Islands</w:t>
      </w:r>
      <w:r>
        <w:t xml:space="preserve"> </w:t>
      </w:r>
      <w:r>
        <w:t xml:space="preserve">(Alcala 1986; Balinton and Seña 2015)</w:t>
      </w:r>
      <w:r>
        <w:t xml:space="preserve">. Several species are also known at high elevation where they are no longer arboreal, and instead adopt a terrestrial lifestyle</w:t>
      </w:r>
      <w:r>
        <w:t xml:space="preserve"> </w:t>
      </w:r>
      <w:r>
        <w:t xml:space="preserve">(Zweifel et al. 2009; Günther and Richards 2011; Putri et al. 2023)</w:t>
      </w:r>
      <w:r>
        <w:t xml:space="preserve">.</w:t>
      </w:r>
    </w:p>
    <w:p>
      <w:pPr>
        <w:pStyle w:val="BodyText"/>
      </w:pPr>
      <w:r>
        <w:t xml:space="preserve">Although the generic taxonomy of Asterophryinae has had a turbulent history</w:t>
      </w:r>
      <w:r>
        <w:t xml:space="preserve"> </w:t>
      </w:r>
      <w:r>
        <w:t xml:space="preserve">(reviewed in Hill et al. 2022)</w:t>
      </w:r>
      <w:r>
        <w:t xml:space="preserve">, the taxonomy of the genus</w:t>
      </w:r>
      <w:r>
        <w:t xml:space="preserve"> </w:t>
      </w:r>
      <w:r>
        <w:rPr>
          <w:i/>
          <w:iCs/>
        </w:rPr>
        <w:t xml:space="preserve">Oreophryne</w:t>
      </w:r>
      <w:r>
        <w:t xml:space="preserve"> </w:t>
      </w:r>
      <w:r>
        <w:t xml:space="preserve">sensu lato has been comparatively stable until recently. Generic designation to</w:t>
      </w:r>
      <w:r>
        <w:t xml:space="preserve"> </w:t>
      </w:r>
      <w:r>
        <w:rPr>
          <w:i/>
          <w:iCs/>
        </w:rPr>
        <w:t xml:space="preserve">Oreophryne</w:t>
      </w:r>
      <w:r>
        <w:t xml:space="preserve"> </w:t>
      </w:r>
      <w:r>
        <w:t xml:space="preserve">sensu lato has traditionally relied on a pectoral anatomy that is distinct from all other genera, with highly reduced and distinctly curved clavicles</w:t>
      </w:r>
      <w:r>
        <w:t xml:space="preserve"> </w:t>
      </w:r>
      <w:r>
        <w:t xml:space="preserve">(Parker 1934; Zweifel 2003)</w:t>
      </w:r>
      <w:r>
        <w:t xml:space="preserve">. However, this trait has never been demonstrated to be a synapomorphy.</w:t>
      </w:r>
      <w:r>
        <w:t xml:space="preserve"> </w:t>
      </w:r>
      <w:hyperlink r:id="rId22">
        <w:r>
          <w:rPr>
            <w:rStyle w:val="Hyperlink"/>
          </w:rPr>
          <w:t xml:space="preserve">– Cut Aphantophryne text 1 –</w:t>
        </w:r>
      </w:hyperlink>
      <w:r>
        <w:t xml:space="preserve"> </w:t>
      </w:r>
      <w:r>
        <w:t xml:space="preserve">(Hill et al. 2022, 2023b)</w:t>
      </w:r>
      <w:r>
        <w:t xml:space="preserve"> </w:t>
      </w:r>
      <w:r>
        <w:t xml:space="preserve">established that Oreophryne sensu lato represents two reciprocally monophyletic groups, temporarily labeled</w:t>
      </w:r>
      <w:r>
        <w:t xml:space="preserve"> </w:t>
      </w:r>
      <w:r>
        <w:t xml:space="preserve">“Oreophryne A”</w:t>
      </w:r>
      <w:r>
        <w:t xml:space="preserve"> </w:t>
      </w:r>
      <w:r>
        <w:t xml:space="preserve">and</w:t>
      </w:r>
      <w:r>
        <w:t xml:space="preserve"> </w:t>
      </w:r>
      <w:r>
        <w:t xml:space="preserve">“Oreophryne B”</w:t>
      </w:r>
      <w:r>
        <w:t xml:space="preserve">. Because the type species</w:t>
      </w:r>
      <w:r>
        <w:t xml:space="preserve"> </w:t>
      </w:r>
      <w:r>
        <w:rPr>
          <w:i/>
          <w:iCs/>
        </w:rPr>
        <w:t xml:space="preserve">Oreophryne senckenbergiana</w:t>
      </w:r>
      <w:r>
        <w:t xml:space="preserve"> </w:t>
      </w:r>
      <w:r>
        <w:t xml:space="preserve">has not yet been included in large genus-level molecular phylogenies, it has not been possible to decipher which of the two groups can retain the genus name</w:t>
      </w:r>
      <w:r>
        <w:t xml:space="preserve"> </w:t>
      </w:r>
      <w:r>
        <w:rPr>
          <w:i/>
          <w:iCs/>
        </w:rPr>
        <w:t xml:space="preserve">Oreophryne</w:t>
      </w:r>
      <w:r>
        <w:t xml:space="preserve">.</w:t>
      </w:r>
    </w:p>
    <w:p>
      <w:pPr>
        <w:pStyle w:val="BodyText"/>
      </w:pPr>
      <w:r>
        <w:t xml:space="preserve">The aims of this study are to include the type species of</w:t>
      </w:r>
      <w:r>
        <w:t xml:space="preserve"> </w:t>
      </w:r>
      <w:r>
        <w:rPr>
          <w:i/>
          <w:iCs/>
        </w:rPr>
        <w:t xml:space="preserve">Oreophryne</w:t>
      </w:r>
      <w:r>
        <w:t xml:space="preserve"> </w:t>
      </w:r>
      <w:r>
        <w:t xml:space="preserve">(</w:t>
      </w:r>
      <w:r>
        <w:rPr>
          <w:i/>
          <w:iCs/>
        </w:rPr>
        <w:t xml:space="preserve">Oreophryne senkenbergiana</w:t>
      </w:r>
      <w:r>
        <w:t xml:space="preserve">) and its close sister taxon (</w:t>
      </w:r>
      <w:r>
        <w:rPr>
          <w:i/>
          <w:iCs/>
        </w:rPr>
        <w:t xml:space="preserve">Oreophryne frontifasciata</w:t>
      </w:r>
      <w:r>
        <w:t xml:space="preserve">) into a large Asterophrinae (subfamily-level) phylogeny, to develop a phylogenetic definition of</w:t>
      </w:r>
      <w:r>
        <w:t xml:space="preserve"> </w:t>
      </w:r>
      <w:r>
        <w:rPr>
          <w:i/>
          <w:iCs/>
        </w:rPr>
        <w:t xml:space="preserve">Oreophryne</w:t>
      </w:r>
      <w:r>
        <w:t xml:space="preserve"> </w:t>
      </w:r>
      <w:r>
        <w:t xml:space="preserve">and the new genus, and to name and describe the new genus. Furthermore, we analyze the morphological characteristics and distribution of these genera to assist collectors when identifying putative</w:t>
      </w:r>
      <w:r>
        <w:t xml:space="preserve"> </w:t>
      </w:r>
      <w:r>
        <w:rPr>
          <w:i/>
          <w:iCs/>
        </w:rPr>
        <w:t xml:space="preserve">Oreophryne</w:t>
      </w:r>
      <w:r>
        <w:t xml:space="preserve"> </w:t>
      </w:r>
      <w:r>
        <w:t xml:space="preserve">in the field, and discuss the evolutionary patterns and taxonomic utility of these morphological characters.</w:t>
      </w:r>
    </w:p>
    <w:bookmarkStart w:id="28" w:name="taxonomic-history"/>
    <w:p>
      <w:pPr>
        <w:pStyle w:val="Heading3"/>
      </w:pPr>
      <w:r>
        <w:t xml:space="preserve">Taxonomic History:</w:t>
      </w:r>
    </w:p>
    <w:p>
      <w:pPr>
        <w:pStyle w:val="FirstParagraph"/>
      </w:pPr>
      <w:r>
        <w:t xml:space="preserve">Boettger (1895)</w:t>
      </w:r>
      <w:r>
        <w:t xml:space="preserve"> </w:t>
      </w:r>
      <w:r>
        <w:t xml:space="preserve">described the genus</w:t>
      </w:r>
      <w:r>
        <w:t xml:space="preserve"> </w:t>
      </w:r>
      <w:r>
        <w:rPr>
          <w:i/>
          <w:iCs/>
        </w:rPr>
        <w:t xml:space="preserve">Oreoprhyne</w:t>
      </w:r>
      <w:r>
        <w:t xml:space="preserve"> </w:t>
      </w:r>
      <w:r>
        <w:t xml:space="preserve">sensu lato and the species</w:t>
      </w:r>
      <w:r>
        <w:t xml:space="preserve"> </w:t>
      </w:r>
      <w:r>
        <w:rPr>
          <w:i/>
          <w:iCs/>
        </w:rPr>
        <w:t xml:space="preserve">Oreophryne senckenbergiana</w:t>
      </w:r>
      <w:r>
        <w:t xml:space="preserve"> </w:t>
      </w:r>
      <w:r>
        <w:t xml:space="preserve">on the basis of two specimens from Halmahera Island, in the Maluku Archipelago west of New Guinea, that lacked procoracoids and had cartilaginous sterna. He also noted the presence of expanded finger pads and transverse folds of skin in the palate.</w:t>
      </w:r>
      <w:r>
        <w:t xml:space="preserve"> </w:t>
      </w:r>
      <w:r>
        <w:t xml:space="preserve">Parker (1934)</w:t>
      </w:r>
      <w:r>
        <w:t xml:space="preserve"> </w:t>
      </w:r>
      <w:r>
        <w:t xml:space="preserve">noted that procoracoids were present, but were reduced and re-diagnosed the genus on the basis of this feature together with the presence of reduced clavicles, no omosternum and a large cartilaginous sternum.</w:t>
      </w:r>
      <w:r>
        <w:t xml:space="preserve"> </w:t>
      </w:r>
      <w:r>
        <w:t xml:space="preserve">Zweifel (2003)</w:t>
      </w:r>
      <w:r>
        <w:t xml:space="preserve"> </w:t>
      </w:r>
      <w:r>
        <w:t xml:space="preserve">noted that</w:t>
      </w:r>
      <w:r>
        <w:t xml:space="preserve"> </w:t>
      </w:r>
      <w:r>
        <w:t xml:space="preserve">“the clavicles are tiny, slightly curved bones lying on (ventral to) the procoracoid cartilage and apart from the midline and the scapula.”</w:t>
      </w:r>
      <w:r>
        <w:t xml:space="preserve"> </w:t>
      </w:r>
      <w:r>
        <w:t xml:space="preserve">On the basis of these features there are now 75 recognized species in the genus</w:t>
      </w:r>
      <w:r>
        <w:t xml:space="preserve"> </w:t>
      </w:r>
      <w:r>
        <w:t xml:space="preserve">(Frost 2024)</w:t>
      </w:r>
      <w:r>
        <w:t xml:space="preserve">. Most of these are small, arboreal or scansorial frogs that inhabit lowland to montane rain forest, but there is a small group of diminutive species, some of which are terrestrial, that inhabit high elevation grasslands</w:t>
      </w:r>
      <w:r>
        <w:t xml:space="preserve"> </w:t>
      </w:r>
      <w:r>
        <w:t xml:space="preserve">(Zweifel et al. 2009)</w:t>
      </w:r>
      <w:r>
        <w:t xml:space="preserve">.</w:t>
      </w:r>
    </w:p>
    <w:p>
      <w:pPr>
        <w:pStyle w:val="BodyText"/>
      </w:pPr>
      <w:hyperlink r:id="rId23">
        <w:r>
          <w:rPr>
            <w:rStyle w:val="Hyperlink"/>
          </w:rPr>
          <w:t xml:space="preserve">– Cut Aphantophryne text 2 –</w:t>
        </w:r>
      </w:hyperlink>
    </w:p>
    <w:tbl>
      <w:tblPr>
        <w:tblStyle w:val="Table"/>
        <w:tblW w:type="pct" w:w="5000"/>
        <w:tblLayout w:type="fixed"/>
        <w:tblLook w:firstRow="0" w:lastRow="0" w:firstColumn="0" w:lastColumn="0" w:noHBand="0" w:noVBand="0" w:val="0000"/>
      </w:tblPr>
      <w:tblGrid>
        <w:gridCol w:w="7920"/>
      </w:tblGrid>
      <w:tr>
        <w:tc>
          <w:tcPr/>
          <w:bookmarkStart w:id="27" w:name="fig-morph"/>
          <w:p>
            <w:pPr>
              <w:pStyle w:val="Compact"/>
              <w:jc w:val="center"/>
            </w:pPr>
            <w:r>
              <w:drawing>
                <wp:inline>
                  <wp:extent cx="5334000" cy="4342140"/>
                  <wp:effectExtent b="0" l="0" r="0" t="0"/>
                  <wp:docPr descr="" title="" id="25" name="Picture"/>
                  <a:graphic>
                    <a:graphicData uri="http://schemas.openxmlformats.org/drawingml/2006/picture">
                      <pic:pic>
                        <pic:nvPicPr>
                          <pic:cNvPr descr="Figures/morphology_plate.png" id="26" name="Picture"/>
                          <pic:cNvPicPr>
                            <a:picLocks noChangeArrowheads="1" noChangeAspect="1"/>
                          </pic:cNvPicPr>
                        </pic:nvPicPr>
                        <pic:blipFill>
                          <a:blip r:embed="rId24"/>
                          <a:stretch>
                            <a:fillRect/>
                          </a:stretch>
                        </pic:blipFill>
                        <pic:spPr bwMode="auto">
                          <a:xfrm>
                            <a:off x="0" y="0"/>
                            <a:ext cx="5334000" cy="43421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morphology of</w:t>
            </w:r>
            <w:r>
              <w:t xml:space="preserve"> </w:t>
            </w:r>
            <w:r>
              <w:rPr>
                <w:i/>
                <w:iCs/>
              </w:rPr>
              <w:t xml:space="preserve">Oreophryne</w:t>
            </w:r>
            <w:r>
              <w:t xml:space="preserve"> </w:t>
            </w:r>
            <w:r>
              <w:t xml:space="preserve">and</w:t>
            </w:r>
            <w:r>
              <w:t xml:space="preserve"> </w:t>
            </w:r>
            <w:r>
              <w:rPr>
                <w:i/>
                <w:iCs/>
              </w:rPr>
              <w:t xml:space="preserve">Auparoparo</w:t>
            </w:r>
            <w:r>
              <w:t xml:space="preserve">. (A) the generalized pectoral girdle of anurans as exemplified by</w:t>
            </w:r>
            <w:r>
              <w:t xml:space="preserve"> </w:t>
            </w:r>
            <w:r>
              <w:rPr>
                <w:i/>
                <w:iCs/>
              </w:rPr>
              <w:t xml:space="preserve">Cornufer corrugatus</w:t>
            </w:r>
            <w:r>
              <w:t xml:space="preserve">, from</w:t>
            </w:r>
            <w:r>
              <w:t xml:space="preserve"> </w:t>
            </w:r>
            <w:r>
              <w:t xml:space="preserve">Méhely (1897)</w:t>
            </w:r>
            <w:r>
              <w:t xml:space="preserve">, (B) the pectoral girdle</w:t>
            </w:r>
            <w:r>
              <w:t xml:space="preserve"> </w:t>
            </w:r>
            <w:r>
              <w:rPr>
                <w:i/>
                <w:iCs/>
              </w:rPr>
              <w:t xml:space="preserve">Oreophryne biroi</w:t>
            </w:r>
            <w:r>
              <w:t xml:space="preserve">, as an example of</w:t>
            </w:r>
            <w:r>
              <w:t xml:space="preserve"> </w:t>
            </w:r>
            <w:r>
              <w:rPr>
                <w:i/>
                <w:iCs/>
              </w:rPr>
              <w:t xml:space="preserve">Oreophryne</w:t>
            </w:r>
            <w:r>
              <w:t xml:space="preserve"> </w:t>
            </w:r>
            <w:r>
              <w:t xml:space="preserve">and</w:t>
            </w:r>
            <w:r>
              <w:t xml:space="preserve"> </w:t>
            </w:r>
            <w:r>
              <w:rPr>
                <w:i/>
                <w:iCs/>
              </w:rPr>
              <w:t xml:space="preserve">Auparoparo</w:t>
            </w:r>
            <w:r>
              <w:t xml:space="preserve">, (C) photos of</w:t>
            </w:r>
            <w:r>
              <w:t xml:space="preserve"> </w:t>
            </w:r>
            <w:r>
              <w:rPr>
                <w:i/>
                <w:iCs/>
              </w:rPr>
              <w:t xml:space="preserve">Oreophryne inornata</w:t>
            </w:r>
            <w:r>
              <w:t xml:space="preserve"> </w:t>
            </w:r>
            <w:r>
              <w:t xml:space="preserve">and</w:t>
            </w:r>
            <w:r>
              <w:t xml:space="preserve"> </w:t>
            </w:r>
            <w:r>
              <w:rPr>
                <w:i/>
                <w:iCs/>
              </w:rPr>
              <w:t xml:space="preserve">Auparoparo equus</w:t>
            </w:r>
            <w:r>
              <w:t xml:space="preserve"> </w:t>
            </w:r>
            <w:r>
              <w:t xml:space="preserve">in life, and (D) toe pads of the fore and hind limbs.</w:t>
            </w:r>
          </w:p>
          <w:bookmarkEnd w:id="27"/>
        </w:tc>
      </w:tr>
    </w:tbl>
    <w:p>
      <w:pPr>
        <w:pStyle w:val="BodyText"/>
      </w:pPr>
      <w:r>
        <w:t xml:space="preserve">While</w:t>
      </w:r>
      <w:r>
        <w:t xml:space="preserve"> </w:t>
      </w:r>
      <w:r>
        <w:rPr>
          <w:i/>
          <w:iCs/>
        </w:rPr>
        <w:t xml:space="preserve">Oreophryne</w:t>
      </w:r>
      <w:r>
        <w:t xml:space="preserve"> </w:t>
      </w:r>
      <w:r>
        <w:t xml:space="preserve">sensu lato is united morphologically, large scale molecular phylogenetic analysis with many ingroup samples were required to clarify that this group contains two reciprocally monophyletic clades</w:t>
      </w:r>
      <w:r>
        <w:t xml:space="preserve"> </w:t>
      </w:r>
      <w:r>
        <w:t xml:space="preserve">(Hill et al. 2022, 2023b)</w:t>
      </w:r>
      <w:r>
        <w:t xml:space="preserve">. Early molecular phylogenetic studies suggested monophyly but only included few taxa within a larger-scale study</w:t>
      </w:r>
      <w:r>
        <w:t xml:space="preserve"> </w:t>
      </w:r>
      <w:r>
        <w:t xml:space="preserve">(Köhler and Günther 2008 included 9 Oreophryne taxa; de Sa et al. 2012 included 4)</w:t>
      </w:r>
      <w:r>
        <w:t xml:space="preserve">.</w:t>
      </w:r>
      <w:r>
        <w:t xml:space="preserve"> </w:t>
      </w:r>
      <w:r>
        <w:t xml:space="preserve">Rivera et al. (2017)</w:t>
      </w:r>
      <w:r>
        <w:t xml:space="preserve"> </w:t>
      </w:r>
      <w:r>
        <w:t xml:space="preserve">provided the first molecular evidence of a polyphyletic</w:t>
      </w:r>
      <w:r>
        <w:t xml:space="preserve"> </w:t>
      </w:r>
      <w:r>
        <w:rPr>
          <w:i/>
          <w:iCs/>
        </w:rPr>
        <w:t xml:space="preserve">Oreophryne</w:t>
      </w:r>
      <w:r>
        <w:t xml:space="preserve"> </w:t>
      </w:r>
      <w:r>
        <w:t xml:space="preserve">sensu lato with 36</w:t>
      </w:r>
      <w:r>
        <w:t xml:space="preserve"> </w:t>
      </w:r>
      <w:r>
        <w:rPr>
          <w:i/>
          <w:iCs/>
        </w:rPr>
        <w:t xml:space="preserve">Oreophryne</w:t>
      </w:r>
      <w:r>
        <w:t xml:space="preserve"> </w:t>
      </w:r>
      <w:r>
        <w:t xml:space="preserve">within a larger phylogeny Asterophryinae which included 155 samples, followed by</w:t>
      </w:r>
      <w:r>
        <w:t xml:space="preserve"> </w:t>
      </w:r>
      <w:r>
        <w:t xml:space="preserve">Tu et al. (2018)</w:t>
      </w:r>
      <w:r>
        <w:t xml:space="preserve">’s sparse supermatrix approach with 18 taxa of Oreophryne falling out in various places within a much larger phylogeny, but both of these lacked strong nodal support connecting the hypothesized clades to the backbone of the phylogeny. The polyphyletic nature of</w:t>
      </w:r>
      <w:r>
        <w:t xml:space="preserve"> </w:t>
      </w:r>
      <w:r>
        <w:rPr>
          <w:i/>
          <w:iCs/>
        </w:rPr>
        <w:t xml:space="preserve">Oreophryne</w:t>
      </w:r>
      <w:r>
        <w:t xml:space="preserve"> </w:t>
      </w:r>
      <w:r>
        <w:t xml:space="preserve">sensu lato was not clearly demonstrated until</w:t>
      </w:r>
      <w:r>
        <w:t xml:space="preserve"> </w:t>
      </w:r>
      <w:r>
        <w:t xml:space="preserve">Hill et al. (2022)</w:t>
      </w:r>
      <w:r>
        <w:t xml:space="preserve">,</w:t>
      </w:r>
      <w:r>
        <w:t xml:space="preserve">(2023b)</w:t>
      </w:r>
      <w:r>
        <w:t xml:space="preserve"> </w:t>
      </w:r>
      <w:r>
        <w:t xml:space="preserve">included 44 taxa of</w:t>
      </w:r>
      <w:r>
        <w:t xml:space="preserve"> </w:t>
      </w:r>
      <w:r>
        <w:rPr>
          <w:i/>
          <w:iCs/>
        </w:rPr>
        <w:t xml:space="preserve">Oreophryne</w:t>
      </w:r>
      <w:r>
        <w:t xml:space="preserve"> </w:t>
      </w:r>
      <w:r>
        <w:t xml:space="preserve">with complete data sampling within a 218 taxon phylogeny of Asterophryinae. This phylogeny is the most complete and robust phylogeny to date. The two clades, labeled</w:t>
      </w:r>
      <w:r>
        <w:t xml:space="preserve"> </w:t>
      </w:r>
      <w:r>
        <w:t xml:space="preserve">“Oreophryne A”</w:t>
      </w:r>
      <w:r>
        <w:t xml:space="preserve"> </w:t>
      </w:r>
      <w:r>
        <w:t xml:space="preserve">and</w:t>
      </w:r>
      <w:r>
        <w:t xml:space="preserve"> </w:t>
      </w:r>
      <w:r>
        <w:t xml:space="preserve">“Oreophryne B”</w:t>
      </w:r>
      <w:r>
        <w:t xml:space="preserve"> </w:t>
      </w:r>
      <w:r>
        <w:t xml:space="preserve">have deep histories of ~ 18MY and ~16MY, respectively, with</w:t>
      </w:r>
      <w:r>
        <w:t xml:space="preserve"> </w:t>
      </w:r>
      <w:r>
        <w:t xml:space="preserve">“Oreophryne A”</w:t>
      </w:r>
      <w:r>
        <w:t xml:space="preserve"> </w:t>
      </w:r>
      <w:r>
        <w:t xml:space="preserve">most basal to the rest of the subfamily.</w:t>
      </w:r>
    </w:p>
    <w:bookmarkEnd w:id="28"/>
    <w:bookmarkEnd w:id="29"/>
    <w:bookmarkStart w:id="40" w:name="materials-and-methods"/>
    <w:p>
      <w:pPr>
        <w:pStyle w:val="Heading1"/>
      </w:pPr>
      <w:r>
        <w:t xml:space="preserve">Materials and Methods</w:t>
      </w:r>
    </w:p>
    <w:p>
      <w:pPr>
        <w:pStyle w:val="FirstParagraph"/>
      </w:pPr>
      <w:r>
        <w:t xml:space="preserve">NOTE: M&amp;M IS FROM THE NEW OREOPHRYNE MANUSCRIPT - CHECK IF ANYTHING NEEDS TO BE BROUGHT OVER FROM THE GOOGLE DOC.</w:t>
      </w:r>
    </w:p>
    <w:bookmarkStart w:id="31" w:name="taxon-sampling"/>
    <w:p>
      <w:pPr>
        <w:pStyle w:val="Heading2"/>
      </w:pPr>
      <w:r>
        <w:t xml:space="preserve">Taxon Sampling</w:t>
      </w:r>
    </w:p>
    <w:p>
      <w:pPr>
        <w:pStyle w:val="FirstParagraph"/>
      </w:pPr>
      <w:r>
        <w:t xml:space="preserve">Asterophryinae is an adaptive radiation with short branch lengths along the backbone separating generic-level taxa</w:t>
      </w:r>
      <w:r>
        <w:t xml:space="preserve"> </w:t>
      </w:r>
      <w:r>
        <w:t xml:space="preserve">(Rivera et al. 2017; Hill et al. 2022, 2023b)</w:t>
      </w:r>
      <w:r>
        <w:t xml:space="preserve">, we reconstruct the phylogeny of</w:t>
      </w:r>
      <w:r>
        <w:t xml:space="preserve"> </w:t>
      </w:r>
      <w:r>
        <w:rPr>
          <w:i/>
          <w:iCs/>
        </w:rPr>
        <w:t xml:space="preserve">Oreophryne</w:t>
      </w:r>
      <w:r>
        <w:t xml:space="preserve"> </w:t>
      </w:r>
      <w:r>
        <w:t xml:space="preserve">sensu lato within the larger context of the subfamily. We include 30 species and 18 unnamed taxa of</w:t>
      </w:r>
      <w:r>
        <w:t xml:space="preserve"> </w:t>
      </w:r>
      <w:r>
        <w:rPr>
          <w:i/>
          <w:iCs/>
        </w:rPr>
        <w:t xml:space="preserve">Oreophryne</w:t>
      </w:r>
      <w:r>
        <w:t xml:space="preserve"> </w:t>
      </w:r>
      <w:r>
        <w:t xml:space="preserve">sensu lato within a larger dataset of 235 samples of 204 taxa of Asterophryinae collected across New Guinea, the Philippines, and Indonesia with three outgroup species to root the phylogeny (</w:t>
      </w:r>
      <w:r>
        <w:rPr>
          <w:i/>
          <w:iCs/>
        </w:rPr>
        <w:t xml:space="preserve">Dyscophus antongilii</w:t>
      </w:r>
      <w:r>
        <w:t xml:space="preserve">,</w:t>
      </w:r>
      <w:r>
        <w:t xml:space="preserve"> </w:t>
      </w:r>
      <w:r>
        <w:rPr>
          <w:i/>
          <w:iCs/>
        </w:rPr>
        <w:t xml:space="preserve">Scaphiophryne marmorata</w:t>
      </w:r>
      <w:r>
        <w:t xml:space="preserve">, and</w:t>
      </w:r>
      <w:r>
        <w:t xml:space="preserve"> </w:t>
      </w:r>
      <w:r>
        <w:rPr>
          <w:i/>
          <w:iCs/>
        </w:rPr>
        <w:t xml:space="preserve">Platypelis grandis</w:t>
      </w:r>
      <w:r>
        <w:t xml:space="preserve">). Importantly, we add the type species</w:t>
      </w:r>
      <w:r>
        <w:t xml:space="preserve"> </w:t>
      </w:r>
      <w:r>
        <w:rPr>
          <w:i/>
          <w:iCs/>
        </w:rPr>
        <w:t xml:space="preserve">Oreophryne senckenbergiana</w:t>
      </w:r>
      <w:r>
        <w:t xml:space="preserve"> </w:t>
      </w:r>
      <w:r>
        <w:t xml:space="preserve">(=</w:t>
      </w:r>
      <w:r>
        <w:t xml:space="preserve"> </w:t>
      </w:r>
      <w:r>
        <w:rPr>
          <w:i/>
          <w:iCs/>
        </w:rPr>
        <w:t xml:space="preserve">O. moluccensis</w:t>
      </w:r>
      <w:r>
        <w:t xml:space="preserve">, Peters and Doria 1878)</w:t>
      </w:r>
      <w:r>
        <w:t xml:space="preserve"> </w:t>
      </w:r>
      <w:r>
        <w:t xml:space="preserve">and the closely related</w:t>
      </w:r>
      <w:r>
        <w:t xml:space="preserve"> </w:t>
      </w:r>
      <w:r>
        <w:rPr>
          <w:i/>
          <w:iCs/>
        </w:rPr>
        <w:t xml:space="preserve">Oreophryne frontifasciata</w:t>
      </w:r>
      <w:r>
        <w:t xml:space="preserve">, in a molecular phylogeny for the first time. Both taxa were collected in Halmahera, North Maluku Province, Indonesia by Iqbal Setiadi , </w:t>
      </w:r>
      <w:hyperlink w:anchor="tbl-localities">
        <w:r>
          <w:rPr>
            <w:rStyle w:val="Hyperlink"/>
          </w:rPr>
          <w:t xml:space="preserve">Table 1</w:t>
        </w:r>
      </w:hyperlink>
      <w:r>
        <w:t xml:space="preserve">, near the type locality for Oreophryne</w:t>
      </w:r>
      <w:r>
        <w:t xml:space="preserve"> </w:t>
      </w:r>
      <w:r>
        <w:t xml:space="preserve">(Halmahera, Ternate, and Batjan Islands, Indonesia as documented by Peters and Doria 1878; Boettger 1895)</w:t>
      </w:r>
      <w:r>
        <w:t xml:space="preserve">.</w:t>
      </w:r>
    </w:p>
    <w:p>
      <w:pPr>
        <w:pStyle w:val="SourceCode"/>
      </w:pPr>
      <w:r>
        <w:rPr>
          <w:rStyle w:val="VerbatimChar"/>
        </w:rPr>
        <w:t xml:space="preserve">Warning in read.table(file = file, header = header, sep = sep, quote = quote, :</w:t>
      </w:r>
      <w:r>
        <w:br/>
      </w:r>
      <w:r>
        <w:rPr>
          <w:rStyle w:val="VerbatimChar"/>
        </w:rPr>
        <w:t xml:space="preserve">incomplete final line found by readTableHeader on '../Data/locality.csv'</w:t>
      </w:r>
    </w:p>
    <w:tbl>
      <w:tblPr>
        <w:tblStyle w:val="Table"/>
        <w:tblW w:type="pct" w:w="5000"/>
        <w:tblLayout w:type="fixed"/>
        <w:tblLook w:firstRow="0" w:lastRow="0" w:firstColumn="0" w:lastColumn="0" w:noHBand="0" w:noVBand="0" w:val="0000"/>
      </w:tblPr>
      <w:tblGrid>
        <w:gridCol w:w="7920"/>
      </w:tblGrid>
      <w:tr>
        <w:tc>
          <w:tcPr/>
          <w:bookmarkStart w:id="30" w:name="tbl-localities"/>
          <w:p>
            <w:pPr>
              <w:jc w:val="center"/>
            </w:pPr>
            <w:pPr>
              <w:jc w:val="start"/>
              <w:spacing w:before="200"/>
              <w:pStyle w:val="ImageCaption"/>
            </w:pPr>
            <w:r>
              <w:t xml:space="preserve">Table 1: Locality information for samples sequenced in this study. See Hill, et al., 2023, Table 1 for additional metadata.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6"/>
              <w:gridCol w:w="3309"/>
              <w:gridCol w:w="6488"/>
              <w:gridCol w:w="2123"/>
            </w:tblGrid>
            <w:tr>
              <w:trPr>
                <w:trHeight w:val="61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ID</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Locality</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Latitude</w:t>
                  </w:r>
                </w:p>
              </w:tc>
            </w:tr>
            <w:tr>
              <w:trPr>
                <w:trHeight w:val="618"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Longitude</w:t>
                  </w:r>
                </w:p>
              </w:tc>
            </w:tr>
            <w:tr>
              <w:trPr>
                <w:trHeight w:val="80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frontifasciata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Timur,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1.3667, 128.2330</w:t>
                  </w:r>
                </w:p>
              </w:tc>
            </w:tr>
            <w:tr>
              <w:trPr>
                <w:trHeight w:val="80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80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 Halmahera Island, North Maluku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1.8228, 127.8300</w:t>
                  </w:r>
                </w:p>
              </w:tc>
            </w:tr>
          </w:tbl>
          <w:bookmarkEnd w:id="30"/>
        </w:tc>
      </w:tr>
    </w:tbl>
    <w:bookmarkEnd w:id="31"/>
    <w:bookmarkStart w:id="35" w:name="data"/>
    <w:p>
      <w:pPr>
        <w:pStyle w:val="Heading2"/>
      </w:pPr>
      <w:r>
        <w:t xml:space="preserve">Data</w:t>
      </w:r>
    </w:p>
    <w:bookmarkStart w:id="32" w:name="molecular-sequence"/>
    <w:p>
      <w:pPr>
        <w:pStyle w:val="Heading3"/>
      </w:pPr>
      <w:r>
        <w:t xml:space="preserve">Molecular Sequence</w:t>
      </w:r>
    </w:p>
    <w:p>
      <w:pPr>
        <w:pStyle w:val="FirstParagraph"/>
      </w:pPr>
      <w:r>
        <w:t xml:space="preserve">We obtained nearly complete DNA sequence data for five loci (three nuclear: Seventh in Absentia [SIA], Brain Derived Neurotrophic Factor [BDNF], Sodium Calcium Exchange subunit-1 [NXC-1], and two mitochondrial loci (Cytochrome oxidase b [CYTB], and NADH dehydrogenase subunit 4 [ND4] from four samples of two taxa not previously sequenced and combined these with previously published data</w:t>
      </w:r>
      <w:r>
        <w:t xml:space="preserve"> </w:t>
      </w:r>
      <w:r>
        <w:t xml:space="preserve">(Rivera et al. 2017; Hill et al. 2022, 2023b)</w:t>
      </w:r>
      <w:r>
        <w:t xml:space="preserve"> </w:t>
      </w:r>
      <w:r>
        <w:t xml:space="preserve">for an alignment of 240 samples with 207 taxa and 2475 base pairs that is 96% complete. All loci were complete for the added samples except for CYTB from</w:t>
      </w:r>
      <w:r>
        <w:t xml:space="preserve"> </w:t>
      </w:r>
      <w:r>
        <w:rPr>
          <w:i/>
          <w:iCs/>
        </w:rPr>
        <w:t xml:space="preserve">Oreophryne frontifasciata</w:t>
      </w:r>
      <w:r>
        <w:t xml:space="preserve">. Sequence quality was evaluated using chromatogram quality scores, checks for stop codons indicating pseudogenes, BLAST search</w:t>
      </w:r>
      <w:r>
        <w:t xml:space="preserve"> </w:t>
      </w:r>
      <w:r>
        <w:t xml:space="preserve">(Ye et al. 2012)</w:t>
      </w:r>
      <w:r>
        <w:t xml:space="preserve">, and concordance of pairwise similarity with other Asterophryinae sequences. Primer sequences and detailed methods are provided in</w:t>
      </w:r>
      <w:r>
        <w:t xml:space="preserve"> </w:t>
      </w:r>
      <w:r>
        <w:t xml:space="preserve">(Hill et al. 2023b)</w:t>
      </w:r>
      <w:r>
        <w:t xml:space="preserve">. We note that we excluded from the previous alignment</w:t>
      </w:r>
      <w:r>
        <w:t xml:space="preserve"> </w:t>
      </w:r>
      <w:r>
        <w:t xml:space="preserve">(Hill et al. 2022, 2023b)</w:t>
      </w:r>
      <w:r>
        <w:t xml:space="preserve"> </w:t>
      </w:r>
      <w:r>
        <w:t xml:space="preserve">two samples of</w:t>
      </w:r>
      <w:r>
        <w:t xml:space="preserve"> </w:t>
      </w:r>
      <w:r>
        <w:rPr>
          <w:i/>
          <w:iCs/>
        </w:rPr>
        <w:t xml:space="preserve">A. pansa</w:t>
      </w:r>
      <w:r>
        <w:t xml:space="preserve"> </w:t>
      </w:r>
      <w:r>
        <w:t xml:space="preserve">(BPBM 5299 and BPBM 8312) which were deemed unreliable as they came from formalin-fixed material, and three samples that should be confirmed with new material (BPBM 22708</w:t>
      </w:r>
      <w:r>
        <w:t xml:space="preserve"> </w:t>
      </w:r>
      <w:r>
        <w:rPr>
          <w:i/>
          <w:iCs/>
        </w:rPr>
        <w:t xml:space="preserve">Copiula tyleri</w:t>
      </w:r>
      <w:r>
        <w:t xml:space="preserve">, BPBM 38939</w:t>
      </w:r>
      <w:r>
        <w:t xml:space="preserve"> </w:t>
      </w:r>
      <w:r>
        <w:rPr>
          <w:i/>
          <w:iCs/>
        </w:rPr>
        <w:t xml:space="preserve">Copiula sp. 7</w:t>
      </w:r>
      <w:r>
        <w:t xml:space="preserve">, BPBM 37753</w:t>
      </w:r>
      <w:r>
        <w:t xml:space="preserve"> </w:t>
      </w:r>
      <w:r>
        <w:rPr>
          <w:i/>
          <w:iCs/>
        </w:rPr>
        <w:t xml:space="preserve">Paedophryne dekot</w:t>
      </w:r>
      <w:r>
        <w:t xml:space="preserve">). We note that genetic material from 46 species of</w:t>
      </w:r>
      <w:r>
        <w:t xml:space="preserve"> </w:t>
      </w:r>
      <w:r>
        <w:rPr>
          <w:i/>
          <w:iCs/>
        </w:rPr>
        <w:t xml:space="preserve">Oreophryne</w:t>
      </w:r>
      <w:r>
        <w:t xml:space="preserve"> </w:t>
      </w:r>
      <w:r>
        <w:t xml:space="preserve">sensu lato was not available for this molecular diagnosis.</w:t>
      </w:r>
    </w:p>
    <w:bookmarkEnd w:id="32"/>
    <w:bookmarkStart w:id="34" w:name="X891284e0a0cb4c95d3f14f43be5136f71288feb"/>
    <w:p>
      <w:pPr>
        <w:pStyle w:val="Heading3"/>
      </w:pPr>
      <w:r>
        <w:t xml:space="preserve">Morphology, Behavior, and Geographic Distribution</w:t>
      </w:r>
    </w:p>
    <w:p>
      <w:pPr>
        <w:pStyle w:val="FirstParagraph"/>
      </w:pPr>
      <w:r>
        <w:t xml:space="preserve">We collected new morphological characters and reexamined traits compiled from the diagnosing literature , </w:t>
      </w:r>
      <w:hyperlink w:anchor="tbl-morphcharacters">
        <w:r>
          <w:rPr>
            <w:rStyle w:val="Hyperlink"/>
          </w:rPr>
          <w:t xml:space="preserve">character states defined in 2</w:t>
        </w:r>
      </w:hyperlink>
      <w:r>
        <w:t xml:space="preserve"> </w:t>
      </w:r>
      <w:r>
        <w:t xml:space="preserve">for all named species of</w:t>
      </w:r>
      <w:r>
        <w:t xml:space="preserve"> </w:t>
      </w:r>
      <w:r>
        <w:rPr>
          <w:i/>
          <w:iCs/>
        </w:rPr>
        <w:t xml:space="preserve">Oreophryne</w:t>
      </w:r>
      <w:r>
        <w:t xml:space="preserve"> </w:t>
      </w:r>
      <w:r>
        <w:t xml:space="preserve">in our phylogenetic dataset. Our sample included all species available in the collections of the Bishop Museum, Honolulu, Hawaii (BPBM): thirteen species of</w:t>
      </w:r>
      <w:r>
        <w:t xml:space="preserve"> </w:t>
      </w:r>
      <w:r>
        <w:t xml:space="preserve">“Oreophryne A”</w:t>
      </w:r>
      <w:r>
        <w:t xml:space="preserve">, eight species</w:t>
      </w:r>
      <w:r>
        <w:t xml:space="preserve"> </w:t>
      </w:r>
      <w:r>
        <w:t xml:space="preserve">“Oreophryne B”</w:t>
      </w:r>
      <w:r>
        <w:t xml:space="preserve"> </w:t>
      </w:r>
      <w:r>
        <w:t xml:space="preserve">(</w:t>
      </w:r>
      <w:hyperlink w:anchor="tbl-morph">
        <w:r>
          <w:rPr>
            <w:rStyle w:val="Hyperlink"/>
          </w:rPr>
          <w:t xml:space="preserve">Table 3</w:t>
        </w:r>
      </w:hyperlink>
      <w:r>
        <w:t xml:space="preserve">). Finger and toe pads were photographed and length and width of the toe tips were measured using ImageJ software. Trait information for the remaining species were gathered from the literature, six species of</w:t>
      </w:r>
      <w:r>
        <w:t xml:space="preserve"> </w:t>
      </w:r>
      <w:r>
        <w:t xml:space="preserve">“Oreophryne A”</w:t>
      </w:r>
      <w:r>
        <w:t xml:space="preserve"> </w:t>
      </w:r>
      <w:r>
        <w:t xml:space="preserve">and one</w:t>
      </w:r>
      <w:r>
        <w:t xml:space="preserve"> </w:t>
      </w:r>
      <w:r>
        <w:t xml:space="preserve">“Oreophryne B”</w:t>
      </w:r>
      <w:r>
        <w:t xml:space="preserve">. In addition, we compiled information on call type from the literature and collection location from the respective collectors or the BPBM database (global positioning coordinates [GPS];</w:t>
      </w:r>
      <w:r>
        <w:t xml:space="preserve"> </w:t>
      </w:r>
      <w:hyperlink w:anchor="tbl-morph">
        <w:r>
          <w:rPr>
            <w:rStyle w:val="Hyperlink"/>
          </w:rPr>
          <w:t xml:space="preserve">Table 3</w:t>
        </w:r>
      </w:hyperlink>
      <w:r>
        <w:t xml:space="preserve">). We examined the ability of morphological and behavioral characters to provide a diagnosis to the genus-level clade consistent with molecular phylogenetics.</w:t>
      </w:r>
    </w:p>
    <w:tbl>
      <w:tblPr>
        <w:tblStyle w:val="Table"/>
        <w:tblW w:type="pct" w:w="5000"/>
        <w:tblLayout w:type="fixed"/>
        <w:tblLook w:firstRow="0" w:lastRow="0" w:firstColumn="0" w:lastColumn="0" w:noHBand="0" w:noVBand="0" w:val="0000"/>
      </w:tblPr>
      <w:tblGrid>
        <w:gridCol w:w="7920"/>
      </w:tblGrid>
      <w:tr>
        <w:tc>
          <w:tcPr/>
          <w:bookmarkStart w:id="33" w:name="tbl-morphcharacters"/>
          <w:p>
            <w:pPr>
              <w:jc w:val="center"/>
            </w:pPr>
            <w:pPr>
              <w:jc w:val="start"/>
              <w:spacing w:before="200"/>
              <w:pStyle w:val="ImageCaption"/>
            </w:pPr>
            <w:r>
              <w:t xml:space="preserve">Table 2: Description of traits surveyed. Several traits are traditionally noted for Asterophryinae species: presence of two palatal folds, horizontal pupil, and lack of vomerine teeth</w:t>
            </w:r>
            <w:r>
              <w:t xml:space="preserve"> </w:t>
            </w:r>
            <w:r>
              <w:t xml:space="preserve">(Boettger 1895; Kampen 1923; Parker 1934)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44"/>
              <w:gridCol w:w="10794"/>
            </w:tblGrid>
            <w:tr>
              <w:trPr>
                <w:trHeight w:val="5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Definition</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Procoracoids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procoracoid cartilages, if present</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Clavicles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clavicles, if present</w:t>
                  </w:r>
                </w:p>
              </w:tc>
            </w:tr>
            <w:tr>
              <w:trPr>
                <w:trHeight w:val="57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Omasternum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Presence or absence of the omasternum</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Sternal plate, or cartilaginous sternum, if present</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Qualitative description of call type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Finger:toe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The ratio of finger pad width to toe pad width</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Pectoral ligament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 of connection between scapula and procoracoid, either ligamentous or cartilaginous</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 toe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Relative length of 5th toe compared to length of 3rd toe (5&lt;3, 5=3, 5&gt;3)</w:t>
                  </w:r>
                </w:p>
              </w:tc>
            </w:tr>
            <w:tr>
              <w:trPr>
                <w:trHeight w:val="62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Toe webbing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Degree of webbing based on how high toe webs reach on the 5th toe (none, basally webbed, well webbed)</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Tympanum:eye diameter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 diameter relative to eye diameter (¼, ⅓, or ½)</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r>
            <w:tr>
              <w:trPr>
                <w:trHeight w:val="6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Pupil horizontal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the pupil is horizontal </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teeth are present</w:t>
                  </w:r>
                </w:p>
              </w:tc>
            </w:tr>
            <w:tr>
              <w:trPr>
                <w:trHeight w:val="618"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Palatal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two horizontal palatal folds in front of the pharynx are present</w:t>
                  </w:r>
                </w:p>
              </w:tc>
            </w:tr>
          </w:tbl>
          <w:bookmarkEnd w:id="33"/>
        </w:tc>
      </w:tr>
    </w:tbl>
    <w:bookmarkEnd w:id="34"/>
    <w:bookmarkEnd w:id="35"/>
    <w:bookmarkStart w:id="36" w:name="nomenclature"/>
    <w:p>
      <w:pPr>
        <w:pStyle w:val="Heading2"/>
      </w:pPr>
      <w:r>
        <w:t xml:space="preserve">Nomenclature</w:t>
      </w:r>
    </w:p>
    <w:p>
      <w:pPr>
        <w:pStyle w:val="FirstParagraph"/>
      </w:pPr>
      <w:r>
        <w:t xml:space="preserve">We conducted a comprehensive taxonomic literature review of all diagnoses for species known to belong to the clades</w:t>
      </w:r>
      <w:r>
        <w:t xml:space="preserve"> </w:t>
      </w:r>
      <w:r>
        <w:t xml:space="preserve">“Oreophryne A”</w:t>
      </w:r>
      <w:r>
        <w:t xml:space="preserve"> </w:t>
      </w:r>
      <w:r>
        <w:t xml:space="preserve">and</w:t>
      </w:r>
      <w:r>
        <w:t xml:space="preserve"> </w:t>
      </w:r>
      <w:r>
        <w:t xml:space="preserve">“Oreophryne B”</w:t>
      </w:r>
      <w:r>
        <w:t xml:space="preserve"> </w:t>
      </w:r>
      <w:r>
        <w:t xml:space="preserve">(Hill et al. 2022)</w:t>
      </w:r>
      <w:r>
        <w:t xml:space="preserve">. We applied the ICZN code</w:t>
      </w:r>
      <w:r>
        <w:t xml:space="preserve"> </w:t>
      </w:r>
      <w:r>
        <w:t xml:space="preserve">(Zoological Nomenclature et al. 1999)</w:t>
      </w:r>
      <w:r>
        <w:t xml:space="preserve"> </w:t>
      </w:r>
      <w:r>
        <w:t xml:space="preserve">as well as the Phylocode</w:t>
      </w:r>
      <w:r>
        <w:t xml:space="preserve"> </w:t>
      </w:r>
      <w:r>
        <w:t xml:space="preserve">(de Queiroz and Cantino 2020)</w:t>
      </w:r>
      <w:r>
        <w:t xml:space="preserve">. We support the nascent effort to assign indigenous names in taxonomy whenever possible</w:t>
      </w:r>
      <w:r>
        <w:t xml:space="preserve"> </w:t>
      </w:r>
      <w:r>
        <w:t xml:space="preserve">(e.g., Gillman and Wright 2020)</w:t>
      </w:r>
      <w:r>
        <w:t xml:space="preserve">. One of us (B. Iova) is a local indigenous language expert, and provided guidance in proposing the novel genus name,</w:t>
      </w:r>
      <w:r>
        <w:t xml:space="preserve"> </w:t>
      </w:r>
      <w:r>
        <w:rPr>
          <w:i/>
          <w:iCs/>
        </w:rPr>
        <w:t xml:space="preserve">Auparoparo</w:t>
      </w:r>
      <w:r>
        <w:t xml:space="preserve">, meaning</w:t>
      </w:r>
      <w:r>
        <w:t xml:space="preserve"> </w:t>
      </w:r>
      <w:r>
        <w:t xml:space="preserve">“tree frog”</w:t>
      </w:r>
      <w:r>
        <w:t xml:space="preserve"> </w:t>
      </w:r>
      <w:r>
        <w:t xml:space="preserve">in Motu, a regional language, for</w:t>
      </w:r>
      <w:r>
        <w:t xml:space="preserve"> </w:t>
      </w:r>
      <w:r>
        <w:rPr>
          <w:i/>
          <w:iCs/>
        </w:rPr>
        <w:t xml:space="preserve">Oreophryne</w:t>
      </w:r>
      <w:r>
        <w:t xml:space="preserve"> </w:t>
      </w:r>
      <w:r>
        <w:t xml:space="preserve">“B”</w:t>
      </w:r>
      <w:r>
        <w:t xml:space="preserve">.</w:t>
      </w:r>
    </w:p>
    <w:bookmarkEnd w:id="36"/>
    <w:bookmarkStart w:id="37" w:name="phylogenetic-reconstruction"/>
    <w:p>
      <w:pPr>
        <w:pStyle w:val="Heading2"/>
      </w:pPr>
      <w:r>
        <w:t xml:space="preserve">Phylogenetic Reconstruction</w:t>
      </w:r>
    </w:p>
    <w:p>
      <w:pPr>
        <w:pStyle w:val="FirstParagraph"/>
      </w:pPr>
      <w:r>
        <w:t xml:space="preserve">We used Partitionfinder in IQTREE2 to find the best-fit evolutionary model followed by Maximum Likelihood (ML) phylogenetic reconstruction</w:t>
      </w:r>
      <w:r>
        <w:t xml:space="preserve"> </w:t>
      </w:r>
      <w:r>
        <w:t xml:space="preserve">(Lanfear et al. 2012; Minh et al. 2020)</w:t>
      </w:r>
      <w:r>
        <w:t xml:space="preserve">. We tested models partitioned by both locus and codon versus by loci only (15 vs. 5 partition scheme), and found that the locus and codon model was superior by the Akaike Information Criterion. Nodal support values for the ML tree were inferred using 2000 bootstrap replicates.</w:t>
      </w:r>
    </w:p>
    <w:bookmarkEnd w:id="37"/>
    <w:bookmarkStart w:id="38" w:name="phylogenetic-definition"/>
    <w:p>
      <w:pPr>
        <w:pStyle w:val="Heading2"/>
      </w:pPr>
      <w:r>
        <w:t xml:space="preserve">Phylogenetic Definition</w:t>
      </w:r>
    </w:p>
    <w:p>
      <w:pPr>
        <w:pStyle w:val="FirstParagraph"/>
      </w:pPr>
      <w:r>
        <w:t xml:space="preserve">We use a maximum crown-clade definition under the PhyloCode</w:t>
      </w:r>
      <w:r>
        <w:t xml:space="preserve"> </w:t>
      </w:r>
      <w:r>
        <w:t xml:space="preserve">(de Queiroz and Gauthier 1990, 1992; de Queiroz and Cantino 2020)</w:t>
      </w:r>
      <w:r>
        <w:t xml:space="preserve">, specifically, the largest crown clade originating with the most recent common ancestor of the reference species for the clade (e.g., the type species of the genus), and all extant species of the clade more recently than they do with reference species of other clades (i.e., in this study, other generic-level clades). This definition is robust to uncertainty in basal relationships such as in the case of adaptive radiations with short branch lengths along the backbone as in Asterophryinae, as well as being robust to identification of new species and new clades.</w:t>
      </w:r>
    </w:p>
    <w:bookmarkEnd w:id="38"/>
    <w:bookmarkStart w:id="39" w:name="Xd1f882dcb3586d0cf347d8ecffd42cfce6c9b61"/>
    <w:p>
      <w:pPr>
        <w:pStyle w:val="Heading2"/>
      </w:pPr>
      <w:r>
        <w:t xml:space="preserve">Analyses, Visualization, and Data Availability</w:t>
      </w:r>
    </w:p>
    <w:p>
      <w:pPr>
        <w:pStyle w:val="FirstParagraph"/>
      </w:pPr>
      <w:r>
        <w:t xml:space="preserve">All analyses were conducted and graphics produced in the R Statistical Computing Environment unless noted below</w:t>
      </w:r>
      <w:r>
        <w:t xml:space="preserve"> </w:t>
      </w:r>
      <w:r>
        <w:t xml:space="preserve">(R Core Team 2024)</w:t>
      </w:r>
      <w:r>
        <w:t xml:space="preserve">. Initial DNA sequence alignment was conducted using</w:t>
      </w:r>
      <w:r>
        <w:t xml:space="preserve"> </w:t>
      </w:r>
      <w:r>
        <w:rPr>
          <w:rStyle w:val="VerbatimChar"/>
        </w:rPr>
        <w:t xml:space="preserve">MUSCLE</w:t>
      </w:r>
      <w:r>
        <w:t xml:space="preserve"> </w:t>
      </w:r>
      <w:r>
        <w:t xml:space="preserve">(Edgar 2004)</w:t>
      </w:r>
      <w:r>
        <w:t xml:space="preserve"> </w:t>
      </w:r>
      <w:r>
        <w:t xml:space="preserve">with manual adjustments in</w:t>
      </w:r>
      <w:r>
        <w:t xml:space="preserve"> </w:t>
      </w:r>
      <w:r>
        <w:rPr>
          <w:rStyle w:val="VerbatimChar"/>
        </w:rPr>
        <w:t xml:space="preserve">Mesquite</w:t>
      </w:r>
      <w:r>
        <w:t xml:space="preserve"> </w:t>
      </w:r>
      <w:r>
        <w:t xml:space="preserve">(Maddison and Maddison 2023)</w:t>
      </w:r>
      <w:r>
        <w:t xml:space="preserve">. Phylogenetic reconstruction was conducted using the</w:t>
      </w:r>
      <w:r>
        <w:t xml:space="preserve"> </w:t>
      </w:r>
      <w:r>
        <w:rPr>
          <w:rStyle w:val="VerbatimChar"/>
        </w:rPr>
        <w:t xml:space="preserve">IQTREE2</w:t>
      </w:r>
      <w:r>
        <w:t xml:space="preserve"> </w:t>
      </w:r>
      <w:r>
        <w:t xml:space="preserve">suite of software</w:t>
      </w:r>
      <w:r>
        <w:t xml:space="preserve"> </w:t>
      </w:r>
      <w:r>
        <w:t xml:space="preserve">(Lanfear et al. 2012; Minh et al. 2020)</w:t>
      </w:r>
      <w:r>
        <w:t xml:space="preserve">.</w:t>
      </w:r>
    </w:p>
    <w:p>
      <w:pPr>
        <w:pStyle w:val="BodyText"/>
      </w:pPr>
      <w:r>
        <w:t xml:space="preserve">The correspondence of the phylogenies to geographic map locations with the</w:t>
      </w:r>
      <w:r>
        <w:t xml:space="preserve"> </w:t>
      </w:r>
      <w:r>
        <w:rPr>
          <w:rStyle w:val="VerbatimChar"/>
        </w:rPr>
        <w:t xml:space="preserve">phylo.to.map</w:t>
      </w:r>
      <w:r>
        <w:t xml:space="preserve"> </w:t>
      </w:r>
      <w:r>
        <w:t xml:space="preserve">function, both from the</w:t>
      </w:r>
      <w:r>
        <w:t xml:space="preserve"> </w:t>
      </w:r>
      <w:r>
        <w:rPr>
          <w:rStyle w:val="VerbatimChar"/>
        </w:rPr>
        <w:t xml:space="preserve">phytools</w:t>
      </w:r>
      <w:r>
        <w:t xml:space="preserve"> </w:t>
      </w:r>
      <w:r>
        <w:t xml:space="preserve">package</w:t>
      </w:r>
      <w:r>
        <w:t xml:space="preserve"> </w:t>
      </w:r>
      <w:r>
        <w:t xml:space="preserve">(Revell 2012)</w:t>
      </w:r>
      <w:r>
        <w:t xml:space="preserve">. All other tree graphics were produced with the</w:t>
      </w:r>
      <w:r>
        <w:t xml:space="preserve"> </w:t>
      </w:r>
      <w:r>
        <w:rPr>
          <w:rStyle w:val="VerbatimChar"/>
        </w:rPr>
        <w:t xml:space="preserve">ggtree</w:t>
      </w:r>
      <w:r>
        <w:t xml:space="preserve"> </w:t>
      </w:r>
      <w:r>
        <w:t xml:space="preserve">package</w:t>
      </w:r>
      <w:r>
        <w:t xml:space="preserve"> </w:t>
      </w:r>
      <w:r>
        <w:t xml:space="preserve">Yu (2020)</w:t>
      </w:r>
      <w:r>
        <w:t xml:space="preserve"> </w:t>
      </w:r>
      <w:r>
        <w:t xml:space="preserve">supplemented by</w:t>
      </w:r>
      <w:r>
        <w:t xml:space="preserve"> </w:t>
      </w:r>
      <w:r>
        <w:rPr>
          <w:rStyle w:val="VerbatimChar"/>
        </w:rPr>
        <w:t xml:space="preserve">ggplot2</w:t>
      </w:r>
      <w:r>
        <w:t xml:space="preserve"> </w:t>
      </w:r>
      <w:r>
        <w:t xml:space="preserve">(Wickham 2016)</w:t>
      </w:r>
      <w:r>
        <w:t xml:space="preserve">. All data, alignments, and code to reproduce analyses are available in the public repository …</w:t>
      </w:r>
    </w:p>
    <w:bookmarkEnd w:id="39"/>
    <w:bookmarkEnd w:id="40"/>
    <w:bookmarkStart w:id="55" w:name="results"/>
    <w:p>
      <w:pPr>
        <w:pStyle w:val="Heading1"/>
      </w:pPr>
      <w:r>
        <w:t xml:space="preserve">Results</w:t>
      </w:r>
    </w:p>
    <w:bookmarkStart w:id="45" w:name="phylogeny-and-phylogenetic-taxonomy"/>
    <w:p>
      <w:pPr>
        <w:pStyle w:val="Heading2"/>
      </w:pPr>
      <w:r>
        <w:t xml:space="preserve">Phylogeny and Phylogenetic Taxonomy</w:t>
      </w:r>
    </w:p>
    <w:p>
      <w:pPr>
        <w:pStyle w:val="FirstParagraph"/>
      </w:pPr>
      <w:r>
        <w:t xml:space="preserve">A partition scheme including codon as well as locus resulted in an improvment of fit by 3,127 AIC units (evolutionary model partitioned by locus and codon, 15-partitions: AIC of 155,492, versus partitioned by locus only, 5 partitions: AIC of 158,619). Unless otherwise noted, all phylogenetic reconstructions used the 15-partition scheme identified as best-fit by IQTREE2.</w:t>
      </w:r>
    </w:p>
    <w:p>
      <w:pPr>
        <w:pStyle w:val="BodyText"/>
      </w:pPr>
      <w:r>
        <w:t xml:space="preserve">We recovered a maximum likelihood topology that confirms that</w:t>
      </w:r>
      <w:r>
        <w:t xml:space="preserve"> </w:t>
      </w:r>
      <w:r>
        <w:rPr>
          <w:i/>
          <w:iCs/>
        </w:rPr>
        <w:t xml:space="preserve">Oreophryne</w:t>
      </w:r>
      <w:r>
        <w:t xml:space="preserve"> </w:t>
      </w:r>
      <w:r>
        <w:t xml:space="preserve">sensu lato is polyphyletic, with species falling into two independently-evolved, reciprocally monophyletic, highly-supported clades</w:t>
      </w:r>
      <w:r>
        <w:t xml:space="preserve"> </w:t>
      </w:r>
      <w:hyperlink w:anchor="fig-phylo">
        <w:r>
          <w:rPr>
            <w:rStyle w:val="Hyperlink"/>
          </w:rPr>
          <w:t xml:space="preserve">Figure 2</w:t>
        </w:r>
      </w:hyperlink>
      <w:r>
        <w:t xml:space="preserve">. Nearly all nodes are moderately or highly supported, with most of the weakly supported nodes falling along the backbone of the adaptive radiation with short branch lengths.</w:t>
      </w:r>
    </w:p>
    <w:p>
      <w:pPr>
        <w:pStyle w:val="BodyText"/>
      </w:pPr>
      <w:r>
        <w:t xml:space="preserve">Furthermore, these findings demonstrate that the clade descended from node A should retain the converted clade name (CCN)</w:t>
      </w:r>
      <w:r>
        <w:t xml:space="preserve"> </w:t>
      </w:r>
      <w:r>
        <w:rPr>
          <w:i/>
          <w:iCs/>
        </w:rPr>
        <w:t xml:space="preserve">Oreophryne</w:t>
      </w:r>
      <w:r>
        <w:t xml:space="preserve">, as the type species,</w:t>
      </w:r>
      <w:r>
        <w:t xml:space="preserve"> </w:t>
      </w:r>
      <w:r>
        <w:rPr>
          <w:i/>
          <w:iCs/>
        </w:rPr>
        <w:t xml:space="preserve">O. senckenbergiana</w:t>
      </w:r>
      <w:r>
        <w:t xml:space="preserve">, as well as a closely-related sister species</w:t>
      </w:r>
      <w:r>
        <w:t xml:space="preserve"> </w:t>
      </w:r>
      <w:r>
        <w:rPr>
          <w:i/>
          <w:iCs/>
        </w:rPr>
        <w:t xml:space="preserve">O. frontifasciata</w:t>
      </w:r>
      <w:r>
        <w:t xml:space="preserve">, both from North Maluku Island, Indonesia, are situated within</w:t>
      </w:r>
      <w:r>
        <w:t xml:space="preserve"> </w:t>
      </w:r>
      <w:r>
        <w:rPr>
          <w:i/>
          <w:iCs/>
        </w:rPr>
        <w:t xml:space="preserve">Oreophryne</w:t>
      </w:r>
      <w:r>
        <w:t xml:space="preserve"> </w:t>
      </w:r>
      <w:r>
        <w:t xml:space="preserve">with high support (</w:t>
      </w:r>
      <w:hyperlink w:anchor="fig-phylo">
        <w:r>
          <w:rPr>
            <w:rStyle w:val="Hyperlink"/>
          </w:rPr>
          <w:t xml:space="preserve">Figure 2</w:t>
        </w:r>
      </w:hyperlink>
      <w:r>
        <w:t xml:space="preserve">). We propose the new clade name (NCN)</w:t>
      </w:r>
      <w:r>
        <w:t xml:space="preserve"> </w:t>
      </w:r>
      <w:r>
        <w:rPr>
          <w:i/>
          <w:iCs/>
        </w:rPr>
        <w:t xml:space="preserve">Auparoparo</w:t>
      </w:r>
      <w:r>
        <w:t xml:space="preserve"> </w:t>
      </w:r>
      <w:r>
        <w:t xml:space="preserve">for the node descended from node B.</w:t>
      </w:r>
      <w:r>
        <w:t xml:space="preserve"> </w:t>
      </w:r>
      <w:r>
        <w:rPr>
          <w:i/>
          <w:iCs/>
        </w:rPr>
        <w:t xml:space="preserve">Oreophryne</w:t>
      </w:r>
      <w:r>
        <w:t xml:space="preserve"> </w:t>
      </w:r>
      <w:r>
        <w:t xml:space="preserve">is the oldest clade in the Papuan subfamily, with genera</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arising before</w:t>
      </w:r>
      <w:r>
        <w:t xml:space="preserve"> </w:t>
      </w:r>
      <w:r>
        <w:rPr>
          <w:i/>
          <w:iCs/>
        </w:rPr>
        <w:t xml:space="preserve">Auparoparo</w:t>
      </w:r>
      <w:r>
        <w:t xml:space="preserve">, which split from the remaining genera of Asterophryinae.</w:t>
      </w:r>
    </w:p>
    <w:p>
      <w:r>
        <w:br w:type="page"/>
      </w:r>
    </w:p>
    <w:tbl>
      <w:tblPr>
        <w:tblStyle w:val="Table"/>
        <w:tblW w:type="pct" w:w="5000"/>
        <w:tblLayout w:type="fixed"/>
        <w:tblLook w:firstRow="0" w:lastRow="0" w:firstColumn="0" w:lastColumn="0" w:noHBand="0" w:noVBand="0" w:val="0000"/>
      </w:tblPr>
      <w:tblGrid>
        <w:gridCol w:w="7920"/>
      </w:tblGrid>
      <w:tr>
        <w:tc>
          <w:tcPr/>
          <w:bookmarkStart w:id="44" w:name="fig-phylo"/>
          <w:p>
            <w:pPr>
              <w:pStyle w:val="Compact"/>
              <w:jc w:val="center"/>
            </w:pPr>
            <w:r>
              <w:drawing>
                <wp:inline>
                  <wp:extent cx="5334000" cy="7620000"/>
                  <wp:effectExtent b="0" l="0" r="0" t="0"/>
                  <wp:docPr descr="" title="" id="42" name="Picture"/>
                  <a:graphic>
                    <a:graphicData uri="http://schemas.openxmlformats.org/drawingml/2006/picture">
                      <pic:pic>
                        <pic:nvPicPr>
                          <pic:cNvPr descr="Figures/FullTree_support_highlight.png" id="43" name="Picture"/>
                          <pic:cNvPicPr>
                            <a:picLocks noChangeArrowheads="1" noChangeAspect="1"/>
                          </pic:cNvPicPr>
                        </pic:nvPicPr>
                        <pic:blipFill>
                          <a:blip r:embed="rId41"/>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Molecular phyogenetic hypothesis of Asterophrinae showing polyphyly of</w:t>
            </w:r>
            <w:r>
              <w:t xml:space="preserve"> </w:t>
            </w:r>
            <w:r>
              <w:rPr>
                <w:i/>
                <w:iCs/>
              </w:rPr>
              <w:t xml:space="preserve">Oreophryne</w:t>
            </w:r>
            <w:r>
              <w:t xml:space="preserve"> </w:t>
            </w:r>
            <w:r>
              <w:t xml:space="preserve">sensu lato, into two reciprocally monophyletic clades, node A is</w:t>
            </w:r>
            <w:r>
              <w:t xml:space="preserve"> </w:t>
            </w:r>
            <w:r>
              <w:rPr>
                <w:i/>
                <w:iCs/>
              </w:rPr>
              <w:t xml:space="preserve">Oreophryne</w:t>
            </w:r>
            <w:r>
              <w:t xml:space="preserve"> </w:t>
            </w:r>
            <w:r>
              <w:t xml:space="preserve">and node B is</w:t>
            </w:r>
            <w:r>
              <w:t xml:space="preserve"> </w:t>
            </w:r>
            <w:r>
              <w:rPr>
                <w:i/>
                <w:iCs/>
              </w:rPr>
              <w:t xml:space="preserve">Auparoparo</w:t>
            </w:r>
            <w:r>
              <w:t xml:space="preserve"> </w:t>
            </w:r>
            <w:r>
              <w:t xml:space="preserve">based on the position of the type species</w:t>
            </w:r>
            <w:r>
              <w:t xml:space="preserve"> </w:t>
            </w:r>
            <w:r>
              <w:rPr>
                <w:i/>
                <w:iCs/>
              </w:rPr>
              <w:t xml:space="preserve">Oreophryne senkenbergiana</w:t>
            </w:r>
            <w:r>
              <w:t xml:space="preserve">. The former genus</w:t>
            </w:r>
            <w:r>
              <w:t xml:space="preserve"> </w:t>
            </w:r>
            <w:r>
              <w:rPr>
                <w:i/>
                <w:iCs/>
              </w:rPr>
              <w:t xml:space="preserve">Aphantophryne</w:t>
            </w:r>
            <w:r>
              <w:t xml:space="preserve"> </w:t>
            </w:r>
            <w:r>
              <w:t xml:space="preserve">(node C) is a monophyletic clade nested within</w:t>
            </w:r>
            <w:r>
              <w:t xml:space="preserve"> </w:t>
            </w:r>
            <w:r>
              <w:rPr>
                <w:i/>
                <w:iCs/>
              </w:rPr>
              <w:t xml:space="preserve">Auparoparo</w:t>
            </w:r>
            <w:r>
              <w:t xml:space="preserve">. Based on two mitochondrial and three nuclear markers following</w:t>
            </w:r>
            <w:r>
              <w:t xml:space="preserve"> </w:t>
            </w:r>
            <w:r>
              <w:t xml:space="preserve">Rivera et al. (2017)</w:t>
            </w:r>
            <w:r>
              <w:t xml:space="preserve">;</w:t>
            </w:r>
            <w:r>
              <w:t xml:space="preserve"> </w:t>
            </w:r>
            <w:r>
              <w:t xml:space="preserve">Hill et al. (2022)</w:t>
            </w:r>
            <w:r>
              <w:t xml:space="preserve">. Nodal support: black dots indicate ML boostrap support &gt;= 95%, grey dots &gt;= 75%, numeric values given for nodes below 75% support. Outgroup taxa excluded.</w:t>
            </w:r>
          </w:p>
          <w:bookmarkEnd w:id="44"/>
        </w:tc>
      </w:tr>
    </w:tbl>
    <w:bookmarkEnd w:id="45"/>
    <w:bookmarkStart w:id="47" w:name="morphology-behavior-and-ranked-taxonomy"/>
    <w:p>
      <w:pPr>
        <w:pStyle w:val="Heading2"/>
      </w:pPr>
      <w:r>
        <w:t xml:space="preserve">Morphology, Behavior, and Ranked Taxonomy</w:t>
      </w:r>
    </w:p>
    <w:p>
      <w:pPr>
        <w:pStyle w:val="FirstParagraph"/>
      </w:pPr>
      <w:r>
        <w:t xml:space="preserve">We find no morphological synapomorphies that unite</w:t>
      </w:r>
      <w:r>
        <w:t xml:space="preserve"> </w:t>
      </w:r>
      <w:r>
        <w:rPr>
          <w:i/>
          <w:iCs/>
        </w:rPr>
        <w:t xml:space="preserve">Auparoparo</w:t>
      </w:r>
      <w:r>
        <w:t xml:space="preserve"> </w:t>
      </w:r>
      <w:r>
        <w:t xml:space="preserve">nor distinguish</w:t>
      </w:r>
      <w:r>
        <w:t xml:space="preserve"> </w:t>
      </w:r>
      <w:r>
        <w:rPr>
          <w:i/>
          <w:iCs/>
        </w:rPr>
        <w:t xml:space="preserve">Auparoparo</w:t>
      </w:r>
      <w:r>
        <w:t xml:space="preserve"> </w:t>
      </w:r>
      <w:r>
        <w:t xml:space="preserve">from</w:t>
      </w:r>
      <w:r>
        <w:t xml:space="preserve"> </w:t>
      </w:r>
      <w:r>
        <w:rPr>
          <w:i/>
          <w:iCs/>
        </w:rPr>
        <w:t xml:space="preserve">Oreophryne</w:t>
      </w:r>
      <w:r>
        <w:t xml:space="preserve">.</w:t>
      </w:r>
    </w:p>
    <w:p>
      <w:pPr>
        <w:pStyle w:val="BodyText"/>
      </w:pPr>
      <w:r>
        <w:rPr>
          <w:i/>
          <w:iCs/>
        </w:rPr>
        <w:t xml:space="preserve">Oreophryne</w:t>
      </w:r>
      <w:r>
        <w:t xml:space="preserve"> </w:t>
      </w:r>
      <w:r>
        <w:t xml:space="preserve">sensu lato is diagnosed by characters of the pectoral girdle: posessing highly reduced, curved procoracoid cartilages and clavicles, and lacking an omosternum</w:t>
      </w:r>
      <w:r>
        <w:t xml:space="preserve"> </w:t>
      </w:r>
      <w:r>
        <w:t xml:space="preserve">(Parker 1934; Zweifel 2003)</w:t>
      </w:r>
      <w:r>
        <w:t xml:space="preserve">. We found that this suite of characters are present in both</w:t>
      </w:r>
      <w:r>
        <w:t xml:space="preserve"> </w:t>
      </w:r>
      <w:r>
        <w:rPr>
          <w:i/>
          <w:iCs/>
        </w:rPr>
        <w:t xml:space="preserve">Oreophryne</w:t>
      </w:r>
      <w:r>
        <w:t xml:space="preserve"> </w:t>
      </w:r>
      <w:r>
        <w:t xml:space="preserve">and</w:t>
      </w:r>
      <w:r>
        <w:t xml:space="preserve"> </w:t>
      </w:r>
      <w:r>
        <w:rPr>
          <w:i/>
          <w:iCs/>
        </w:rPr>
        <w:t xml:space="preserve">Auparoparo</w:t>
      </w:r>
      <w:r>
        <w:t xml:space="preserve">, but not</w:t>
      </w:r>
      <w:r>
        <w:t xml:space="preserve"> </w:t>
      </w:r>
      <w:r>
        <w:rPr>
          <w:i/>
          <w:iCs/>
        </w:rPr>
        <w:t xml:space="preserve">Aphantophryne</w:t>
      </w:r>
      <w:r>
        <w:t xml:space="preserve">, and therefore is not diagnostic for</w:t>
      </w:r>
      <w:r>
        <w:t xml:space="preserve"> </w:t>
      </w:r>
      <w:r>
        <w:rPr>
          <w:i/>
          <w:iCs/>
        </w:rPr>
        <w:t xml:space="preserve">Oreophryne</w:t>
      </w:r>
      <w:r>
        <w:t xml:space="preserve"> </w:t>
      </w:r>
      <w:r>
        <w:t xml:space="preserve">nor</w:t>
      </w:r>
      <w:r>
        <w:t xml:space="preserve"> </w:t>
      </w:r>
      <w:r>
        <w:rPr>
          <w:i/>
          <w:iCs/>
        </w:rPr>
        <w:t xml:space="preserve">Auparoparo</w:t>
      </w:r>
      <w:r>
        <w:t xml:space="preserve"> </w:t>
      </w:r>
      <w:r>
        <w:t xml:space="preserve">either separately nor for both clades together (</w:t>
      </w:r>
      <w:hyperlink w:anchor="tbl-morph">
        <w:r>
          <w:rPr>
            <w:rStyle w:val="Hyperlink"/>
          </w:rPr>
          <w:t xml:space="preserve">Table 3</w:t>
        </w:r>
      </w:hyperlink>
      <w:r>
        <w:t xml:space="preserve">).</w:t>
      </w:r>
      <w:r>
        <w:t xml:space="preserve"> </w:t>
      </w:r>
      <w:r>
        <w:rPr>
          <w:i/>
          <w:iCs/>
        </w:rPr>
        <w:t xml:space="preserve">Aphantophryne</w:t>
      </w:r>
      <w:r>
        <w:t xml:space="preserve"> </w:t>
      </w:r>
      <w:r>
        <w:t xml:space="preserve">in contrast, lacks clavicles as well as procoracoid cartilages and an omasternum.</w:t>
      </w:r>
    </w:p>
    <w:p>
      <w:pPr>
        <w:pStyle w:val="BodyText"/>
      </w:pPr>
      <w:r>
        <w:t xml:space="preserve">Two traits imperfectly segretate between the clades, toe pad widths and call type (</w:t>
      </w:r>
      <w:hyperlink w:anchor="tbl-morph">
        <w:r>
          <w:rPr>
            <w:rStyle w:val="Hyperlink"/>
          </w:rPr>
          <w:t xml:space="preserve">Table 3</w:t>
        </w:r>
      </w:hyperlink>
      <w:r>
        <w:t xml:space="preserve">), which may assist in preliminary identification.</w:t>
      </w:r>
      <w:r>
        <w:t xml:space="preserve"> </w:t>
      </w:r>
      <w:r>
        <w:rPr>
          <w:i/>
          <w:iCs/>
        </w:rPr>
        <w:t xml:space="preserve">Aphantophryne</w:t>
      </w:r>
      <w:r>
        <w:t xml:space="preserve"> </w:t>
      </w:r>
      <w:r>
        <w:t xml:space="preserve">is a small, high-elevation fosssorial clade that call using</w:t>
      </w:r>
      <w:r>
        <w:t xml:space="preserve"> </w:t>
      </w:r>
      <w:r>
        <w:t xml:space="preserve">“clicks”</w:t>
      </w:r>
      <w:r>
        <w:t xml:space="preserve"> </w:t>
      </w:r>
      <w:r>
        <w:t xml:space="preserve">and have no toe pads. They have undifferentiated toe tips with ordinary squamous epithelium</w:t>
      </w:r>
      <w:r>
        <w:t xml:space="preserve"> </w:t>
      </w:r>
      <w:r>
        <w:t xml:space="preserve">(Green and Simon 1986)</w:t>
      </w:r>
      <w:r>
        <w:t xml:space="preserve">.</w:t>
      </w:r>
      <w:r>
        <w:t xml:space="preserve"> </w:t>
      </w:r>
      <w:r>
        <w:rPr>
          <w:i/>
          <w:iCs/>
        </w:rPr>
        <w:t xml:space="preserve">Oreophryne</w:t>
      </w:r>
      <w:r>
        <w:t xml:space="preserve"> </w:t>
      </w:r>
      <w:r>
        <w:t xml:space="preserve">is an arboreal clade with expanded digital pads of roughly equal width between the fingers and toes, whereas</w:t>
      </w:r>
      <w:r>
        <w:t xml:space="preserve"> </w:t>
      </w:r>
      <w:r>
        <w:rPr>
          <w:i/>
          <w:iCs/>
        </w:rPr>
        <w:t xml:space="preserve">Auparoparo</w:t>
      </w:r>
      <w:r>
        <w:t xml:space="preserve"> </w:t>
      </w:r>
      <w:r>
        <w:t xml:space="preserve">excluding</w:t>
      </w:r>
      <w:r>
        <w:t xml:space="preserve"> </w:t>
      </w:r>
      <w:r>
        <w:rPr>
          <w:i/>
          <w:iCs/>
        </w:rPr>
        <w:t xml:space="preserve">Aphantophryne</w:t>
      </w:r>
      <w:r>
        <w:t xml:space="preserve"> </w:t>
      </w:r>
      <w:r>
        <w:t xml:space="preserve">have visibly larger finger pads, with finger pads roughly 20-30% wider than toes.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excluding</w:t>
      </w:r>
      <w:r>
        <w:t xml:space="preserve"> </w:t>
      </w:r>
      <w:r>
        <w:rPr>
          <w:i/>
          <w:iCs/>
        </w:rPr>
        <w:t xml:space="preserve">Aphantophryne</w:t>
      </w:r>
      <w:r>
        <w:t xml:space="preserve"> </w:t>
      </w:r>
      <w:r>
        <w:t xml:space="preserve">use a variety of call types, with</w:t>
      </w:r>
      <w:r>
        <w:t xml:space="preserve"> </w:t>
      </w:r>
      <w:r>
        <w:t xml:space="preserve">“honks”</w:t>
      </w:r>
      <w:r>
        <w:t xml:space="preserve"> </w:t>
      </w:r>
      <w:r>
        <w:t xml:space="preserve">or</w:t>
      </w:r>
      <w:r>
        <w:t xml:space="preserve"> </w:t>
      </w:r>
      <w:r>
        <w:t xml:space="preserve">“peeps”</w:t>
      </w:r>
      <w:r>
        <w:t xml:space="preserve"> </w:t>
      </w:r>
      <w:r>
        <w:t xml:space="preserve">used only by</w:t>
      </w:r>
      <w:r>
        <w:t xml:space="preserve"> </w:t>
      </w:r>
      <w:r>
        <w:rPr>
          <w:i/>
          <w:iCs/>
        </w:rPr>
        <w:t xml:space="preserve">Oreophryne</w:t>
      </w:r>
      <w:r>
        <w:t xml:space="preserve">, whereas</w:t>
      </w:r>
      <w:r>
        <w:t xml:space="preserve"> </w:t>
      </w:r>
      <w:r>
        <w:t xml:space="preserve">“whinny”</w:t>
      </w:r>
      <w:r>
        <w:t xml:space="preserve"> </w:t>
      </w:r>
      <w:r>
        <w:t xml:space="preserve">calls are used only by arboreal</w:t>
      </w:r>
      <w:r>
        <w:t xml:space="preserve"> </w:t>
      </w:r>
      <w:r>
        <w:rPr>
          <w:i/>
          <w:iCs/>
        </w:rPr>
        <w:t xml:space="preserve">Auparoparo</w:t>
      </w:r>
      <w:r>
        <w:t xml:space="preserve">. A minority of species in both groups use the</w:t>
      </w:r>
      <w:r>
        <w:t xml:space="preserve"> </w:t>
      </w:r>
      <w:r>
        <w:t xml:space="preserve">“rattle”</w:t>
      </w:r>
      <w:r>
        <w:t xml:space="preserve"> </w:t>
      </w:r>
      <w:r>
        <w:t xml:space="preserve">call type. Aside from the fact that</w:t>
      </w:r>
      <w:r>
        <w:t xml:space="preserve"> </w:t>
      </w:r>
      <w:r>
        <w:rPr>
          <w:i/>
          <w:iCs/>
        </w:rPr>
        <w:t xml:space="preserve">Aphantophryne</w:t>
      </w:r>
      <w:r>
        <w:t xml:space="preserve"> </w:t>
      </w:r>
      <w:r>
        <w:t xml:space="preserve">and</w:t>
      </w:r>
      <w:r>
        <w:t xml:space="preserve"> </w:t>
      </w:r>
      <w:r>
        <w:rPr>
          <w:i/>
          <w:iCs/>
        </w:rPr>
        <w:t xml:space="preserve">Auparoparo</w:t>
      </w:r>
      <w:r>
        <w:t xml:space="preserve"> </w:t>
      </w:r>
      <w:r>
        <w:t xml:space="preserve">are so phenotypically distinct that no diagnostic traits identify them as a group, both toe pad width and call type are variable traits with some overlap and thus not reliable for diagnosis. Furthermore, toe pad is clearly an adaptive trait for arboreality.</w:t>
      </w:r>
    </w:p>
    <w:tbl>
      <w:tblPr>
        <w:tblStyle w:val="Table"/>
        <w:tblW w:type="pct" w:w="5000"/>
        <w:tblLayout w:type="fixed"/>
        <w:tblLook w:firstRow="0" w:lastRow="0" w:firstColumn="0" w:lastColumn="0" w:noHBand="0" w:noVBand="0" w:val="0000"/>
      </w:tblPr>
      <w:tblGrid>
        <w:gridCol w:w="7920"/>
      </w:tblGrid>
      <w:tr>
        <w:tc>
          <w:tcPr/>
          <w:bookmarkStart w:id="46" w:name="tbl-morph"/>
          <w:p>
            <w:pPr>
              <w:jc w:val="center"/>
            </w:pPr>
            <w:pPr>
              <w:jc w:val="start"/>
              <w:spacing w:before="200"/>
              <w:pStyle w:val="ImageCaption"/>
            </w:pPr>
            <w:r>
              <w:t xml:space="preserve">Table 3: Morphological character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2"/>
              <w:gridCol w:w="2086"/>
              <w:gridCol w:w="1927"/>
              <w:gridCol w:w="1927"/>
              <w:gridCol w:w="1682"/>
              <w:gridCol w:w="1646"/>
              <w:gridCol w:w="2159"/>
              <w:gridCol w:w="2037"/>
              <w:gridCol w:w="2110"/>
              <w:gridCol w:w="1438"/>
              <w:gridCol w:w="1670"/>
              <w:gridCol w:w="2905"/>
              <w:gridCol w:w="3505"/>
            </w:tblGrid>
            <w:tr>
              <w:trPr>
                <w:trHeight w:val="620"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Genus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Procoracoids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Clavicles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Omosternum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Call type</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Finger: toe width</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Pectoral ligament</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Rel</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Toe webbing</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Tympanum: eye diameter</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Reference</w:t>
                  </w:r>
                </w:p>
              </w:tc>
            </w:tr>
            <w:tr>
              <w:trPr>
                <w:trHeight w:val="618"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 toe length</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r>
            <w:tr>
              <w:trPr>
                <w:trHeight w:val="62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2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anulata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Stejneger 1908</w:t>
                  </w:r>
                </w:p>
              </w:tc>
            </w:tr>
            <w:tr>
              <w:trPr>
                <w:trHeight w:val="62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frontifasciata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Horst 1883, Brongersma 1948</w:t>
                  </w:r>
                </w:p>
              </w:tc>
            </w:tr>
            <w:tr>
              <w:trPr>
                <w:trHeight w:val="62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graminis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Gunther Richards 2012</w:t>
                  </w:r>
                </w:p>
              </w:tc>
            </w:tr>
            <w:tr>
              <w:trPr>
                <w:trHeight w:val="62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and Alcala, 1967</w:t>
                  </w:r>
                </w:p>
              </w:tc>
            </w:tr>
            <w:tr>
              <w:trPr>
                <w:trHeight w:val="62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 Zweifel 2003</w:t>
                  </w:r>
                </w:p>
              </w:tc>
            </w:tr>
            <w:tr>
              <w:trPr>
                <w:trHeight w:val="62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senckenbergiana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Peters Doria 1878, Parker 1934</w:t>
                  </w:r>
                </w:p>
              </w:tc>
            </w:tr>
            <w:tr>
              <w:trPr>
                <w:trHeight w:val="617" w:hRule="auto"/>
              </w:trPr>
              body19
              <w:tc>
                <w:tcPr>
                  <w:vMerge w:val="restart"/>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brunnea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chattering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1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 Zweifel 1956</w:t>
                  </w:r>
                </w:p>
              </w:tc>
            </w:tr>
            <w:tr>
              <w:trPr>
                <w:trHeight w:val="61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variabilis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much larger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Hill et al. 2022 places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 pansa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within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but the status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*External characters were examined from specimens, internal characters and pupil shape taken from the literature.</w:t>
                  </w:r>
                </w:p>
              </w:tc>
            </w:tr>
          </w:tbl>
          <w:bookmarkEnd w:id="46"/>
        </w:tc>
      </w:tr>
    </w:tbl>
    <w:bookmarkEnd w:id="47"/>
    <w:bookmarkStart w:id="52" w:name="geographic-distribution"/>
    <w:p>
      <w:pPr>
        <w:pStyle w:val="Heading2"/>
      </w:pPr>
      <w:r>
        <w:t xml:space="preserve">Geographic Distribution</w:t>
      </w:r>
    </w:p>
    <w:p>
      <w:pPr>
        <w:pStyle w:val="FirstParagraph"/>
      </w:pPr>
      <w:r>
        <w:t xml:space="preserve">The geographic distributions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are shown in</w:t>
      </w:r>
      <w:r>
        <w:t xml:space="preserve"> </w:t>
      </w:r>
      <w:hyperlink w:anchor="fig-map">
        <w:r>
          <w:rPr>
            <w:rStyle w:val="Hyperlink"/>
          </w:rPr>
          <w:t xml:space="preserve">Figure 3</w:t>
        </w:r>
      </w:hyperlink>
      <w:r>
        <w:t xml:space="preserve">, with corresponding phylogenetic relationships.</w:t>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556000"/>
                  <wp:effectExtent b="0" l="0" r="0" t="0"/>
                  <wp:docPr descr="" title="" id="49" name="Picture"/>
                  <a:graphic>
                    <a:graphicData uri="http://schemas.openxmlformats.org/drawingml/2006/picture">
                      <pic:pic>
                        <pic:nvPicPr>
                          <pic:cNvPr descr="Figures/map.png" id="50" name="Picture"/>
                          <pic:cNvPicPr>
                            <a:picLocks noChangeArrowheads="1" noChangeAspect="1"/>
                          </pic:cNvPicPr>
                        </pic:nvPicPr>
                        <pic:blipFill>
                          <a:blip r:embed="rId4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Distributions of and</w:t>
            </w:r>
            <w:r>
              <w:t xml:space="preserve"> </w:t>
            </w:r>
            <w:r>
              <w:rPr>
                <w:i/>
                <w:iCs/>
              </w:rPr>
              <w:t xml:space="preserve">Auparoparo</w:t>
            </w:r>
            <w:r>
              <w:t xml:space="preserve"> </w:t>
            </w:r>
            <w:r>
              <w:t xml:space="preserve">(red) and</w:t>
            </w:r>
            <w:r>
              <w:t xml:space="preserve"> </w:t>
            </w:r>
            <w:r>
              <w:rPr>
                <w:i/>
                <w:iCs/>
              </w:rPr>
              <w:t xml:space="preserve">Oreophryne</w:t>
            </w:r>
            <w:r>
              <w:t xml:space="preserve"> </w:t>
            </w:r>
            <w:r>
              <w:t xml:space="preserve">(blue).</w:t>
            </w:r>
          </w:p>
          <w:bookmarkEnd w:id="51"/>
        </w:tc>
      </w:tr>
    </w:tbl>
    <w:bookmarkEnd w:id="52"/>
    <w:bookmarkStart w:id="54" w:name="taxonomy"/>
    <w:p>
      <w:pPr>
        <w:pStyle w:val="Heading2"/>
      </w:pPr>
      <w:r>
        <w:t xml:space="preserve">Taxonomy</w:t>
      </w:r>
    </w:p>
    <w:p>
      <w:pPr>
        <w:pStyle w:val="FirstParagraph"/>
      </w:pPr>
      <w:r>
        <w:t xml:space="preserve">We use a maximum crown-clade definition for designating</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because the monophyly of these taxa are strongly supported, and the relationships of these taxa to each other and to sister genera of Asterophryinae are well-supported</w:t>
      </w:r>
      <w:r>
        <w:t xml:space="preserve"> </w:t>
      </w:r>
      <w:r>
        <w:t xml:space="preserve">(this study, Hill et al. 2022, 2023b)</w:t>
      </w:r>
      <w:r>
        <w:t xml:space="preserve">, as has been done for other anuran taxa</w:t>
      </w:r>
      <w:r>
        <w:t xml:space="preserve"> </w:t>
      </w:r>
      <w:r>
        <w:t xml:space="preserve">(Brown et al. 2015)</w:t>
      </w:r>
      <w:r>
        <w:t xml:space="preserve"> </w:t>
      </w:r>
      <w:r>
        <w:t xml:space="preserve">and summarized in the PhyloCode</w:t>
      </w:r>
      <w:r>
        <w:t xml:space="preserve"> </w:t>
      </w:r>
      <w:r>
        <w:t xml:space="preserve">(de Queiroz and Gauthier 1990, 1992, 1994)</w:t>
      </w:r>
      <w:r>
        <w:t xml:space="preserve">. That is, we adopt a nodal definition of the clade that identifies the genus as a monophyletic clade. Specifically, to include the type species of the genus and the most recent common ancestor that includes all extant species of the genus but not members of other genera. This definition is robust to uncertainty in basal relationships such as in the case of adaptive radiations with short branch lengths along the backbone as in Asterophryinae, as well as being robust to identification of new species. We follow</w:t>
      </w:r>
      <w:r>
        <w:t xml:space="preserve"> </w:t>
      </w:r>
      <w:r>
        <w:t xml:space="preserve">Brown et al. (2015)</w:t>
      </w:r>
      <w:r>
        <w:t xml:space="preserve"> </w:t>
      </w:r>
      <w:r>
        <w:t xml:space="preserve">in using the terms converted clade name (CCN) to indicate the phylogenetic redefinition of Oreophryne, and new clade name (NCN) for newly designated names (</w:t>
      </w:r>
      <w:r>
        <w:rPr>
          <w:i/>
          <w:iCs/>
        </w:rPr>
        <w:t xml:space="preserve">Auparoparo</w:t>
      </w:r>
      <w:r>
        <w:t xml:space="preserve">), whereas the previously defined polyphyletic</w:t>
      </w:r>
      <w:r>
        <w:t xml:space="preserve"> </w:t>
      </w:r>
      <w:r>
        <w:rPr>
          <w:i/>
          <w:iCs/>
        </w:rPr>
        <w:t xml:space="preserve">Oreophryne</w:t>
      </w:r>
      <w:r>
        <w:t xml:space="preserve"> </w:t>
      </w:r>
      <w:r>
        <w:t xml:space="preserve">is indicated by</w:t>
      </w:r>
      <w:r>
        <w:t xml:space="preserve"> </w:t>
      </w:r>
      <w:r>
        <w:t xml:space="preserve">“sensu lato”</w:t>
      </w:r>
      <w:r>
        <w:t xml:space="preserve">.</w:t>
      </w:r>
    </w:p>
    <w:p>
      <w:pPr>
        <w:pStyle w:val="BodyText"/>
      </w:pPr>
      <w:r>
        <w:rPr>
          <w:b/>
          <w:bCs/>
        </w:rPr>
        <w:t xml:space="preserve">Family Microhylidae Günther, 1858 (1843)</w:t>
      </w:r>
      <w:r>
        <w:br/>
      </w:r>
      <w:r>
        <w:rPr>
          <w:b/>
          <w:bCs/>
        </w:rPr>
        <w:t xml:space="preserve">Subfamily Asterophryinae Günther, 1858</w:t>
      </w:r>
      <w:r>
        <w:br/>
      </w:r>
      <w:r>
        <w:rPr>
          <w:b/>
          <w:bCs/>
        </w:rPr>
        <w:t xml:space="preserve">Genus Oreophryne Boettger, 1895 amended</w:t>
      </w:r>
      <w:r>
        <w:br/>
      </w:r>
      <w:r>
        <w:rPr>
          <w:i/>
          <w:iCs/>
        </w:rPr>
        <w:t xml:space="preserve">Microhyla</w:t>
      </w:r>
      <w:r>
        <w:t xml:space="preserve"> </w:t>
      </w:r>
      <w:r>
        <w:t xml:space="preserve">Peters and Doria, 1878</w:t>
      </w:r>
      <w:r>
        <w:br/>
      </w:r>
      <w:r>
        <w:rPr>
          <w:i/>
          <w:iCs/>
        </w:rPr>
        <w:t xml:space="preserve">Callula</w:t>
      </w:r>
      <w:r>
        <w:br/>
      </w:r>
      <w:r>
        <w:rPr>
          <w:i/>
          <w:iCs/>
        </w:rPr>
        <w:t xml:space="preserve">Oreophryne</w:t>
      </w:r>
      <w:r>
        <w:t xml:space="preserve"> </w:t>
      </w:r>
      <w:r>
        <w:t xml:space="preserve">Boettger, 1895: 135. Type species:</w:t>
      </w:r>
      <w:r>
        <w:t xml:space="preserve"> </w:t>
      </w:r>
      <w:r>
        <w:rPr>
          <w:i/>
          <w:iCs/>
        </w:rPr>
        <w:t xml:space="preserve">Oreophryne senckenbergiana</w:t>
      </w:r>
      <w:r>
        <w:br/>
      </w:r>
      <w:r>
        <w:t xml:space="preserve">Boettger, 1895 (= Microhyla achatina var. moluccensis Peters and Doria, 1878), by monotypy. Placed on Official List of Generic Names in Zoology by Opinion 1266, Anonymous, 1984.</w:t>
      </w:r>
      <w:r>
        <w:br/>
      </w:r>
      <w:r>
        <w:rPr>
          <w:i/>
          <w:iCs/>
        </w:rPr>
        <w:t xml:space="preserve">Sphenophryne</w:t>
      </w:r>
      <w:r>
        <w:br/>
      </w:r>
      <w:r>
        <w:rPr>
          <w:i/>
          <w:iCs/>
        </w:rPr>
        <w:t xml:space="preserve">Phrynixalus</w:t>
      </w:r>
      <w:r>
        <w:br/>
      </w:r>
      <w:r>
        <w:rPr>
          <w:i/>
          <w:iCs/>
        </w:rPr>
        <w:t xml:space="preserve">Mehelyia</w:t>
      </w:r>
      <w:r>
        <w:t xml:space="preserve"> </w:t>
      </w:r>
      <w:r>
        <w:t xml:space="preserve">Wandolleck, 1911</w:t>
      </w:r>
      <w:r>
        <w:t xml:space="preserve"> </w:t>
      </w:r>
      <w:r>
        <w:t xml:space="preserve">“1910”</w:t>
      </w:r>
      <w:r>
        <w:t xml:space="preserve">, Type species:</w:t>
      </w:r>
      <w:r>
        <w:t xml:space="preserve"> </w:t>
      </w:r>
      <w:r>
        <w:rPr>
          <w:i/>
          <w:iCs/>
        </w:rPr>
        <w:t xml:space="preserve">Meheylia lineata</w:t>
      </w:r>
      <w:r>
        <w:t xml:space="preserve"> </w:t>
      </w:r>
      <w:r>
        <w:t xml:space="preserve">Wandolleck, 1911 (=</w:t>
      </w:r>
      <w:r>
        <w:t xml:space="preserve"> </w:t>
      </w:r>
      <w:r>
        <w:rPr>
          <w:i/>
          <w:iCs/>
        </w:rPr>
        <w:t xml:space="preserve">Sphenophryne biroi</w:t>
      </w:r>
      <w:r>
        <w:t xml:space="preserve"> </w:t>
      </w:r>
      <w:r>
        <w:t xml:space="preserve">Méhely, 1897), by subsequent designation of Parker, 1934. Synonymy by Nieden, 1926.</w:t>
      </w:r>
      <w:r>
        <w:br/>
      </w:r>
      <w:r>
        <w:rPr>
          <w:i/>
          <w:iCs/>
        </w:rPr>
        <w:t xml:space="preserve">Cophixalus</w:t>
      </w:r>
      <w:r>
        <w:br/>
      </w:r>
      <w:r>
        <w:rPr>
          <w:i/>
          <w:iCs/>
        </w:rPr>
        <w:t xml:space="preserve">Chaperina</w:t>
      </w:r>
    </w:p>
    <w:p>
      <w:pPr>
        <w:pStyle w:val="BodyText"/>
      </w:pPr>
      <w:r>
        <w:rPr>
          <w:i/>
          <w:iCs/>
        </w:rPr>
        <w:t xml:space="preserve">Type species Oreophryne senckenbergiana</w:t>
      </w:r>
      <w:r>
        <w:t xml:space="preserve"> </w:t>
      </w:r>
      <w:r>
        <w:t xml:space="preserve">(Peters and Doria, 1878)</w:t>
      </w:r>
    </w:p>
    <w:p>
      <w:pPr>
        <w:pStyle w:val="BodyText"/>
      </w:pPr>
      <w:r>
        <w:rPr>
          <w:b/>
          <w:bCs/>
        </w:rPr>
        <w:t xml:space="preserve">Diagnosis:</w:t>
      </w:r>
      <w:r>
        <w:t xml:space="preserve"> </w:t>
      </w:r>
      <w:r>
        <w:t xml:space="preserve">We note that there are no synapomorphies in adult</w:t>
      </w:r>
      <w:r>
        <w:t xml:space="preserve"> </w:t>
      </w:r>
      <w:r>
        <w:rPr>
          <w:i/>
          <w:iCs/>
        </w:rPr>
        <w:t xml:space="preserve">Oreophryne</w:t>
      </w:r>
      <w:r>
        <w:t xml:space="preserve"> </w:t>
      </w:r>
      <w:r>
        <w:t xml:space="preserve">that differ from the morphologically similar genus</w:t>
      </w:r>
      <w:r>
        <w:t xml:space="preserve"> </w:t>
      </w:r>
      <w:r>
        <w:rPr>
          <w:i/>
          <w:iCs/>
        </w:rPr>
        <w:t xml:space="preserve">Auparoparo</w:t>
      </w:r>
      <w:r>
        <w:t xml:space="preserve">. Diagnoses should be made by molecular phylogenetic analysis, including at least representatives of</w:t>
      </w:r>
      <w:r>
        <w:t xml:space="preserve"> </w:t>
      </w:r>
      <w:r>
        <w:rPr>
          <w:i/>
          <w:iCs/>
        </w:rPr>
        <w:t xml:space="preserve">Oreophryne</w:t>
      </w:r>
      <w:r>
        <w:t xml:space="preserve">,</w:t>
      </w:r>
      <w:r>
        <w:t xml:space="preserve"> </w:t>
      </w:r>
      <w:r>
        <w:rPr>
          <w:i/>
          <w:iCs/>
        </w:rPr>
        <w:t xml:space="preserve">Auparoparo</w:t>
      </w:r>
      <w:r>
        <w:t xml:space="preserve">,</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or other closest sister genera as outgroups.</w:t>
      </w:r>
    </w:p>
    <w:p>
      <w:pPr>
        <w:pStyle w:val="BodyText"/>
      </w:pPr>
      <w:r>
        <w:rPr>
          <w:b/>
          <w:bCs/>
        </w:rPr>
        <w:t xml:space="preserve">Description:</w:t>
      </w:r>
      <w:r>
        <w:t xml:space="preserve"> </w:t>
      </w:r>
      <w:r>
        <w:rPr>
          <w:i/>
          <w:iCs/>
        </w:rPr>
        <w:t xml:space="preserve">Oreophryne</w:t>
      </w:r>
      <w:r>
        <w:t xml:space="preserve"> </w:t>
      </w:r>
      <w:r>
        <w:t xml:space="preserve">differs from most other genera in subfamily Asterophryinae, but not from</w:t>
      </w:r>
      <w:r>
        <w:t xml:space="preserve"> </w:t>
      </w:r>
      <w:r>
        <w:rPr>
          <w:i/>
          <w:iCs/>
        </w:rPr>
        <w:t xml:space="preserve">Auparoparo</w:t>
      </w:r>
      <w:r>
        <w:t xml:space="preserve">, by the combination of (1) presence of highly reduced clavicles (vs absence or elongate) which have a distinctly curved shape (</w:t>
      </w:r>
      <w:hyperlink w:anchor="fig-morph">
        <w:r>
          <w:rPr>
            <w:rStyle w:val="Hyperlink"/>
          </w:rPr>
          <w:t xml:space="preserve">Figure 1</w:t>
        </w:r>
      </w:hyperlink>
      <w:r>
        <w:t xml:space="preserve">); (2) presence of well developed digital pads, often with finger and toe pads of similar size; (3) arboreal lifestyle (perch height &gt;2m above ground); (4) most species range in body size from 16mm</w:t>
      </w:r>
      <w:r>
        <w:t xml:space="preserve"> </w:t>
      </w:r>
      <w:r>
        <w:t xml:space="preserve">(</w:t>
      </w:r>
      <w:r>
        <w:rPr>
          <w:i/>
          <w:iCs/>
        </w:rPr>
        <w:t xml:space="preserve">O. graminis</w:t>
      </w:r>
      <w:r>
        <w:t xml:space="preserve">, Günther and Richards 2011)</w:t>
      </w:r>
      <w:r>
        <w:t xml:space="preserve"> </w:t>
      </w:r>
      <w:r>
        <w:t xml:space="preserve">to 30mm, with a few larger species ~40mm (</w:t>
      </w:r>
      <w:r>
        <w:rPr>
          <w:i/>
          <w:iCs/>
        </w:rPr>
        <w:t xml:space="preserve">O. inornata</w:t>
      </w:r>
      <w:r>
        <w:t xml:space="preserve">); (5) small to invisible tympanum; (6) large eyes with pupil horizontal; (7) occasional presence of toe webbing; (8) thin, elongated limbs; and (9) in many species males that call with</w:t>
      </w:r>
      <w:r>
        <w:t xml:space="preserve"> </w:t>
      </w:r>
      <w:r>
        <w:t xml:space="preserve">“honk”</w:t>
      </w:r>
      <w:r>
        <w:t xml:space="preserve"> </w:t>
      </w:r>
      <w:r>
        <w:t xml:space="preserve">or</w:t>
      </w:r>
      <w:r>
        <w:t xml:space="preserve"> </w:t>
      </w:r>
      <w:r>
        <w:t xml:space="preserve">“peep”</w:t>
      </w:r>
      <w:r>
        <w:t xml:space="preserve"> </w:t>
      </w:r>
      <w:r>
        <w:t xml:space="preserve">types or in some species</w:t>
      </w:r>
      <w:r>
        <w:t xml:space="preserve"> </w:t>
      </w:r>
      <w:r>
        <w:t xml:space="preserve">“rattle”</w:t>
      </w:r>
      <w:r>
        <w:t xml:space="preserve"> </w:t>
      </w:r>
      <w:r>
        <w:t xml:space="preserve">type. Some species of</w:t>
      </w:r>
      <w:r>
        <w:t xml:space="preserve"> </w:t>
      </w:r>
      <w:r>
        <w:rPr>
          <w:i/>
          <w:iCs/>
        </w:rPr>
        <w:t xml:space="preserve">Oreophryne</w:t>
      </w:r>
      <w:r>
        <w:t xml:space="preserve"> </w:t>
      </w:r>
      <w:r>
        <w:t xml:space="preserve">may be distinguished from</w:t>
      </w:r>
      <w:r>
        <w:t xml:space="preserve"> </w:t>
      </w:r>
      <w:r>
        <w:rPr>
          <w:i/>
          <w:iCs/>
        </w:rPr>
        <w:t xml:space="preserve">Auparoparo</w:t>
      </w:r>
      <w:r>
        <w:t xml:space="preserve"> </w:t>
      </w:r>
      <w:r>
        <w:t xml:space="preserve">by roughly equal finger to toe pad ratio and males calling with</w:t>
      </w:r>
      <w:r>
        <w:t xml:space="preserve"> </w:t>
      </w:r>
      <w:r>
        <w:t xml:space="preserve">“honk”</w:t>
      </w:r>
      <w:r>
        <w:t xml:space="preserve"> </w:t>
      </w:r>
      <w:r>
        <w:t xml:space="preserve">or</w:t>
      </w:r>
      <w:r>
        <w:t xml:space="preserve"> </w:t>
      </w:r>
      <w:r>
        <w:t xml:space="preserve">“peep”</w:t>
      </w:r>
      <w:r>
        <w:t xml:space="preserve"> </w:t>
      </w:r>
      <w:r>
        <w:t xml:space="preserve">but not</w:t>
      </w:r>
      <w:r>
        <w:t xml:space="preserve"> </w:t>
      </w:r>
      <w:r>
        <w:t xml:space="preserve">“whinny”</w:t>
      </w:r>
      <w:r>
        <w:t xml:space="preserve"> </w:t>
      </w:r>
      <w:r>
        <w:t xml:space="preserve">call types.</w:t>
      </w:r>
    </w:p>
    <w:p>
      <w:pPr>
        <w:pStyle w:val="BodyText"/>
      </w:pPr>
      <w:r>
        <w:rPr>
          <w:b/>
          <w:bCs/>
        </w:rPr>
        <w:t xml:space="preserve">Phylogenetic definition:</w:t>
      </w:r>
      <w:r>
        <w:t xml:space="preserve"> </w:t>
      </w:r>
      <w:r>
        <w:rPr>
          <w:i/>
          <w:iCs/>
        </w:rPr>
        <w:t xml:space="preserve">Oreophryne</w:t>
      </w:r>
      <w:r>
        <w:t xml:space="preserve"> </w:t>
      </w:r>
      <w:r>
        <w:t xml:space="preserve">(CCN) is defined as the maximum crown-clade (the monophyletic clade descending from node A,</w:t>
      </w:r>
      <w:r>
        <w:t xml:space="preserve"> </w:t>
      </w:r>
      <w:hyperlink w:anchor="fig-phylo">
        <w:r>
          <w:rPr>
            <w:rStyle w:val="Hyperlink"/>
          </w:rPr>
          <w:t xml:space="preserve">Figure 2</w:t>
        </w:r>
      </w:hyperlink>
      <w:r>
        <w:t xml:space="preserve">) originating with the most recent common ancestor of</w:t>
      </w:r>
      <w:r>
        <w:t xml:space="preserve"> </w:t>
      </w:r>
      <w:r>
        <w:rPr>
          <w:i/>
          <w:iCs/>
        </w:rPr>
        <w:t xml:space="preserve">Oreophryne senckenbergiana</w:t>
      </w:r>
      <w:r>
        <w:t xml:space="preserve"> </w:t>
      </w:r>
      <w:r>
        <w:t xml:space="preserve">(Peters and Doria, 1878), the type species of</w:t>
      </w:r>
      <w:r>
        <w:t xml:space="preserve"> </w:t>
      </w:r>
      <w:r>
        <w:rPr>
          <w:i/>
          <w:iCs/>
        </w:rPr>
        <w:t xml:space="preserve">Oreophryne</w:t>
      </w:r>
      <w:r>
        <w:t xml:space="preserve">, and all extant species that share a common ancestor with</w:t>
      </w:r>
      <w:r>
        <w:t xml:space="preserve"> </w:t>
      </w:r>
      <w:r>
        <w:rPr>
          <w:i/>
          <w:iCs/>
        </w:rPr>
        <w:t xml:space="preserve">O. senckenbergiana</w:t>
      </w:r>
      <w:r>
        <w:t xml:space="preserve"> </w:t>
      </w:r>
      <w:r>
        <w:t xml:space="preserve">more recently than they do with</w:t>
      </w:r>
      <w:r>
        <w:t xml:space="preserve"> </w:t>
      </w:r>
      <w:r>
        <w:rPr>
          <w:i/>
          <w:iCs/>
        </w:rPr>
        <w:t xml:space="preserve">Auparoparo penelopeia</w:t>
      </w:r>
      <w:r>
        <w:t xml:space="preserve"> </w:t>
      </w:r>
      <w:r>
        <w:t xml:space="preserve">Kraus 2016, nor</w:t>
      </w:r>
      <w:r>
        <w:t xml:space="preserve"> </w:t>
      </w:r>
      <w:r>
        <w:rPr>
          <w:i/>
          <w:iCs/>
        </w:rPr>
        <w:t xml:space="preserve">Cophixalus verrucosus</w:t>
      </w:r>
      <w:r>
        <w:t xml:space="preserve"> </w:t>
      </w:r>
      <w:r>
        <w:t xml:space="preserve">Boettger 1892, nor</w:t>
      </w:r>
      <w:r>
        <w:t xml:space="preserve"> </w:t>
      </w:r>
      <w:r>
        <w:rPr>
          <w:i/>
          <w:iCs/>
        </w:rPr>
        <w:t xml:space="preserve">Paedophryne kathismaphlox</w:t>
      </w:r>
      <w:r>
        <w:t xml:space="preserve"> </w:t>
      </w:r>
      <w:r>
        <w:t xml:space="preserve">Kraus 2010.</w:t>
      </w:r>
    </w:p>
    <w:tbl>
      <w:tblPr>
        <w:tblStyle w:val="Table"/>
        <w:tblW w:type="pct" w:w="5000"/>
        <w:tblLayout w:type="fixed"/>
        <w:tblLook w:firstRow="0" w:lastRow="0" w:firstColumn="0" w:lastColumn="0" w:noHBand="0" w:noVBand="0" w:val="0000"/>
      </w:tblPr>
      <w:tblGrid>
        <w:gridCol w:w="7920"/>
      </w:tblGrid>
      <w:tr>
        <w:tc>
          <w:tcPr/>
          <w:bookmarkStart w:id="53" w:name="tbl-genera-types"/>
          <w:p>
            <w:pPr>
              <w:jc w:val="center"/>
            </w:pPr>
            <w:pPr>
              <w:jc w:val="start"/>
              <w:spacing w:before="200"/>
              <w:pStyle w:val="ImageCaption"/>
            </w:pPr>
            <w:r>
              <w:t xml:space="preserve">Table 4: Genera of Asterophryinae and their type species.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5841"/>
            </w:tblGrid>
            <w:tr>
              <w:trPr>
                <w:trHeight w:val="616"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w:t>
                  </w:r>
                </w:p>
              </w:tc>
            </w:tr>
            <w:tr>
              <w:trPr>
                <w:trHeight w:val="619"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Asterophrys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Asterophrys turpicola Schlegel 1837</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Auparoparo penelopeia Kraus 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palmipes Zweifel 1956</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robusta Fry 1912 </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Barygenys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Barygenys cheesmanae Parker 1936 </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Callulops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Callulops doriae Boulenger 1888 </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Choerophryne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Choerophryne proboscidea Van Kampen 1914 </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Cophixalus verrucosus Boettger 1892</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Copiula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Copiula oxyrhina Boulenger 1898 </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Genyophryne*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Genyophryne thomsoni Boulenger, 1890 </w:t>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Hylophorbus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Hylophorbus rufescens Macleay 1878 </w:t>
                  </w:r>
                </w:p>
              </w:tc>
            </w:tr>
            <w:tr>
              <w:trPr>
                <w:trHeight w:val="61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Mantophyrne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Mantophryne lateralis Boulenger 1897 </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Liophryne*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Liophryne rhododactyla Boulenger 1897 </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Oreophryne senckenbergiana (Peters and Doria, 1878)</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Oxydactyla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Oxydactyla brevicrus Van Kampen 1913 </w:t>
                  </w:r>
                </w:p>
              </w:tc>
            </w:tr>
            <w:tr>
              <w:trPr>
                <w:trHeight w:val="61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Paedophryne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Paedophryne kathismaphlox Kraus 2010</w:t>
                  </w:r>
                </w:p>
              </w:tc>
            </w:tr>
            <w:tr>
              <w:trPr>
                <w:trHeight w:val="62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Sphenophryne cornuta Peters and Doria 1878</w:t>
                  </w:r>
                </w:p>
              </w:tc>
            </w:tr>
            <w:tr>
              <w:trPr>
                <w:trHeight w:val="621"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Xenorhina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Xenorhina oxycephala Schlegel 1858 </w:t>
                  </w:r>
                </w:p>
              </w:tc>
            </w:tr>
            <w:tr>
              <w:trPr>
                <w:trHeight w:val="360" w:hRule="auto"/>
              </w:trPr>
              footer 1
              <w:tc>
                <w:tcPr>
                  <w:gridSpan w:val="2"/>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 note that the monophyly of Austrochaperina, Liophryne, Oxydactyla, and Sphenophryne (and reciprocal monophyly of Genyophryne [Genyophryne thomsoni Boulenger, 1890] with respect to Liophryne+Oxytactyla+Sphenophryne) has not yet been established.</w:t>
                  </w:r>
                </w:p>
              </w:tc>
            </w:tr>
          </w:tbl>
          <w:bookmarkEnd w:id="53"/>
        </w:tc>
      </w:tr>
    </w:tbl>
    <w:p>
      <w:pPr>
        <w:pStyle w:val="BodyText"/>
      </w:pPr>
      <w:r>
        <w:rPr>
          <w:b/>
          <w:bCs/>
        </w:rPr>
        <w:t xml:space="preserve">Content:</w:t>
      </w:r>
      <w:r>
        <w:t xml:space="preserve"> </w:t>
      </w:r>
      <w:r>
        <w:t xml:space="preserve">Our results support the retention of 18 species in</w:t>
      </w:r>
      <w:r>
        <w:t xml:space="preserve"> </w:t>
      </w:r>
      <w:r>
        <w:rPr>
          <w:i/>
          <w:iCs/>
        </w:rPr>
        <w:t xml:space="preserve">Oreophryne</w:t>
      </w:r>
      <w:r>
        <w:t xml:space="preserve"> </w:t>
      </w:r>
      <w:r>
        <w:t xml:space="preserve">with molecular evidence:</w:t>
      </w:r>
      <w:r>
        <w:t xml:space="preserve"> </w:t>
      </w:r>
      <w:r>
        <w:rPr>
          <w:i/>
          <w:iCs/>
        </w:rPr>
        <w:t xml:space="preserve">Oreophryne anamiatoi</w:t>
      </w:r>
      <w:r>
        <w:t xml:space="preserve"> </w:t>
      </w:r>
      <w:r>
        <w:t xml:space="preserve">(Kraus &amp; Allison, 2009),</w:t>
      </w:r>
      <w:r>
        <w:t xml:space="preserve"> </w:t>
      </w:r>
      <w:r>
        <w:rPr>
          <w:i/>
          <w:iCs/>
        </w:rPr>
        <w:t xml:space="preserve">O. anulata</w:t>
      </w:r>
      <w:r>
        <w:t xml:space="preserve"> </w:t>
      </w:r>
      <w:r>
        <w:t xml:space="preserve">(Stejneger, 1908),</w:t>
      </w:r>
      <w:r>
        <w:t xml:space="preserve"> </w:t>
      </w:r>
      <w:r>
        <w:rPr>
          <w:i/>
          <w:iCs/>
        </w:rPr>
        <w:t xml:space="preserve">O. aurora</w:t>
      </w:r>
      <w:r>
        <w:t xml:space="preserve"> </w:t>
      </w:r>
      <w:r>
        <w:t xml:space="preserve">(Kraus, 2016),</w:t>
      </w:r>
      <w:r>
        <w:t xml:space="preserve"> </w:t>
      </w:r>
      <w:r>
        <w:rPr>
          <w:i/>
          <w:iCs/>
        </w:rPr>
        <w:t xml:space="preserve">O. biroi</w:t>
      </w:r>
      <w:r>
        <w:t xml:space="preserve"> </w:t>
      </w:r>
      <w:r>
        <w:t xml:space="preserve">(Méhely, 1897),</w:t>
      </w:r>
      <w:r>
        <w:t xml:space="preserve"> </w:t>
      </w:r>
      <w:r>
        <w:rPr>
          <w:i/>
          <w:iCs/>
        </w:rPr>
        <w:t xml:space="preserve">O. brachypus</w:t>
      </w:r>
      <w:r>
        <w:t xml:space="preserve"> </w:t>
      </w:r>
      <w:r>
        <w:t xml:space="preserve">(Werner, 1898),</w:t>
      </w:r>
      <w:r>
        <w:t xml:space="preserve"> </w:t>
      </w:r>
      <w:r>
        <w:rPr>
          <w:i/>
          <w:iCs/>
        </w:rPr>
        <w:t xml:space="preserve">Oreophryne cameroni</w:t>
      </w:r>
      <w:r>
        <w:t xml:space="preserve"> </w:t>
      </w:r>
      <w:r>
        <w:t xml:space="preserve">(Kraus, 2013),</w:t>
      </w:r>
      <w:r>
        <w:t xml:space="preserve"> </w:t>
      </w:r>
      <w:r>
        <w:rPr>
          <w:i/>
          <w:iCs/>
        </w:rPr>
        <w:t xml:space="preserve">O. frontifasciata</w:t>
      </w:r>
      <w:r>
        <w:t xml:space="preserve"> </w:t>
      </w:r>
      <w:r>
        <w:t xml:space="preserve">((Horst, 1883),</w:t>
      </w:r>
      <w:r>
        <w:t xml:space="preserve"> </w:t>
      </w:r>
      <w:r>
        <w:rPr>
          <w:i/>
          <w:iCs/>
        </w:rPr>
        <w:t xml:space="preserve">O. geislerorum</w:t>
      </w:r>
      <w:r>
        <w:t xml:space="preserve"> </w:t>
      </w:r>
      <w:r>
        <w:t xml:space="preserve">(Boettger, 1892),</w:t>
      </w:r>
      <w:r>
        <w:t xml:space="preserve"> </w:t>
      </w:r>
      <w:r>
        <w:rPr>
          <w:i/>
          <w:iCs/>
        </w:rPr>
        <w:t xml:space="preserve">O. graminis</w:t>
      </w:r>
      <w:r>
        <w:t xml:space="preserve"> </w:t>
      </w:r>
      <w:r>
        <w:t xml:space="preserve">(Günther &amp; Richards, 2012),</w:t>
      </w:r>
      <w:r>
        <w:t xml:space="preserve"> </w:t>
      </w:r>
      <w:r>
        <w:rPr>
          <w:i/>
          <w:iCs/>
        </w:rPr>
        <w:t xml:space="preserve">Oreophryne inornata</w:t>
      </w:r>
      <w:r>
        <w:t xml:space="preserve"> </w:t>
      </w:r>
      <w:r>
        <w:t xml:space="preserve">(Zweifel, 1956),</w:t>
      </w:r>
      <w:r>
        <w:t xml:space="preserve"> </w:t>
      </w:r>
      <w:r>
        <w:rPr>
          <w:i/>
          <w:iCs/>
        </w:rPr>
        <w:t xml:space="preserve">Oreophryne lemur</w:t>
      </w:r>
      <w:r>
        <w:t xml:space="preserve"> </w:t>
      </w:r>
      <w:r>
        <w:t xml:space="preserve">(Kraus, 2016),</w:t>
      </w:r>
      <w:r>
        <w:t xml:space="preserve"> </w:t>
      </w:r>
      <w:r>
        <w:rPr>
          <w:i/>
          <w:iCs/>
        </w:rPr>
        <w:t xml:space="preserve">O. loriae</w:t>
      </w:r>
      <w:r>
        <w:t xml:space="preserve"> </w:t>
      </w:r>
      <w:r>
        <w:t xml:space="preserve">(Boulenger, 1898),</w:t>
      </w:r>
      <w:r>
        <w:t xml:space="preserve"> </w:t>
      </w:r>
      <w:r>
        <w:rPr>
          <w:i/>
          <w:iCs/>
        </w:rPr>
        <w:t xml:space="preserve">O. nana</w:t>
      </w:r>
      <w:r>
        <w:t xml:space="preserve"> </w:t>
      </w:r>
      <w:r>
        <w:t xml:space="preserve">(Brown and Alcala, 1967),</w:t>
      </w:r>
      <w:r>
        <w:t xml:space="preserve"> </w:t>
      </w:r>
      <w:r>
        <w:rPr>
          <w:i/>
          <w:iCs/>
        </w:rPr>
        <w:t xml:space="preserve">O. notata</w:t>
      </w:r>
      <w:r>
        <w:t xml:space="preserve"> </w:t>
      </w:r>
      <w:r>
        <w:t xml:space="preserve">(Zweifel, 2003),</w:t>
      </w:r>
      <w:r>
        <w:t xml:space="preserve"> </w:t>
      </w:r>
      <w:r>
        <w:rPr>
          <w:i/>
          <w:iCs/>
        </w:rPr>
        <w:t xml:space="preserve">Oreophryne parkeri</w:t>
      </w:r>
      <w:r>
        <w:t xml:space="preserve"> </w:t>
      </w:r>
      <w:r>
        <w:t xml:space="preserve">(Loveridge, 1955),</w:t>
      </w:r>
      <w:r>
        <w:t xml:space="preserve"> </w:t>
      </w:r>
      <w:r>
        <w:rPr>
          <w:i/>
          <w:iCs/>
        </w:rPr>
        <w:t xml:space="preserve">Oreophryne parkopanorum</w:t>
      </w:r>
      <w:r>
        <w:t xml:space="preserve"> </w:t>
      </w:r>
      <w:r>
        <w:t xml:space="preserve">(Kraus, 2013),</w:t>
      </w:r>
      <w:r>
        <w:t xml:space="preserve"> </w:t>
      </w:r>
      <w:r>
        <w:rPr>
          <w:i/>
          <w:iCs/>
        </w:rPr>
        <w:t xml:space="preserve">Oreophryne philosylleptoris</w:t>
      </w:r>
      <w:r>
        <w:t xml:space="preserve"> </w:t>
      </w:r>
      <w:r>
        <w:t xml:space="preserve">(Kraus, 2016), and</w:t>
      </w:r>
      <w:r>
        <w:t xml:space="preserve"> </w:t>
      </w:r>
      <w:r>
        <w:rPr>
          <w:i/>
          <w:iCs/>
        </w:rPr>
        <w:t xml:space="preserve">O. senckenbergiana</w:t>
      </w:r>
      <w:r>
        <w:t xml:space="preserve"> </w:t>
      </w:r>
      <w:r>
        <w:t xml:space="preserve">(Peters &amp; Doria, 1878). A number of species were not available for our study but should molecular evidence demonstrate their relationship within Oreophryne, those species should also retain their generic identity.</w:t>
      </w:r>
    </w:p>
    <w:p>
      <w:pPr>
        <w:pStyle w:val="BodyText"/>
      </w:pPr>
      <w:r>
        <w:rPr>
          <w:b/>
          <w:bCs/>
        </w:rPr>
        <w:t xml:space="preserve">Distribution:</w:t>
      </w:r>
      <w:r>
        <w:t xml:space="preserve"> </w:t>
      </w:r>
      <w:r>
        <w:t xml:space="preserve">The range of confirmed species in this dataset remains nearly as broad as previously defined (</w:t>
      </w:r>
      <w:hyperlink w:anchor="fig-map">
        <w:r>
          <w:rPr>
            <w:rStyle w:val="Hyperlink"/>
          </w:rPr>
          <w:t xml:space="preserve">Figure 3</w:t>
        </w:r>
      </w:hyperlink>
      <w:r>
        <w:t xml:space="preserve">),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 Oreophryne. Woodlark Island is inhabited by</w:t>
      </w:r>
      <w:r>
        <w:t xml:space="preserve"> </w:t>
      </w:r>
      <w:r>
        <w:rPr>
          <w:i/>
          <w:iCs/>
        </w:rPr>
        <w:t xml:space="preserve">O. phoebe</w:t>
      </w:r>
      <w:r>
        <w:t xml:space="preserve"> </w:t>
      </w:r>
      <w:r>
        <w:t xml:space="preserve">[=</w:t>
      </w:r>
      <w:r>
        <w:rPr>
          <w:i/>
          <w:iCs/>
        </w:rPr>
        <w:t xml:space="preserve">Auparoparo phoebe</w:t>
      </w:r>
      <w:r>
        <w:t xml:space="preserve">], Misima Island is inhabited by</w:t>
      </w:r>
      <w:r>
        <w:t xml:space="preserve"> </w:t>
      </w:r>
      <w:r>
        <w:rPr>
          <w:i/>
          <w:iCs/>
        </w:rPr>
        <w:t xml:space="preserve">O. picticrus</w:t>
      </w:r>
      <w:r>
        <w:t xml:space="preserve"> </w:t>
      </w:r>
      <w:r>
        <w:t xml:space="preserve">[=</w:t>
      </w:r>
      <w:r>
        <w:rPr>
          <w:i/>
          <w:iCs/>
        </w:rPr>
        <w:t xml:space="preserve">Auparoparo picticrus</w:t>
      </w:r>
      <w:r>
        <w:t xml:space="preserve">], and Sudest Island is inhabited by</w:t>
      </w:r>
      <w:r>
        <w:t xml:space="preserve"> </w:t>
      </w:r>
      <w:r>
        <w:rPr>
          <w:i/>
          <w:iCs/>
        </w:rPr>
        <w:t xml:space="preserve">O. ezra</w:t>
      </w:r>
      <w:r>
        <w:t xml:space="preserve"> </w:t>
      </w:r>
      <w:r>
        <w:t xml:space="preserve">and</w:t>
      </w:r>
      <w:r>
        <w:t xml:space="preserve"> </w:t>
      </w:r>
      <w:r>
        <w:rPr>
          <w:i/>
          <w:iCs/>
        </w:rPr>
        <w:t xml:space="preserve">O. meliades</w:t>
      </w:r>
      <w:r>
        <w:t xml:space="preserve"> </w:t>
      </w:r>
      <w:r>
        <w:t xml:space="preserve">[=</w:t>
      </w:r>
      <w:r>
        <w:t xml:space="preserve"> </w:t>
      </w:r>
      <w:r>
        <w:rPr>
          <w:i/>
          <w:iCs/>
        </w:rPr>
        <w:t xml:space="preserve">Auparoparo ezra</w:t>
      </w:r>
      <w:r>
        <w:t xml:space="preserve"> </w:t>
      </w:r>
      <w:r>
        <w:t xml:space="preserve">and</w:t>
      </w:r>
      <w:r>
        <w:t xml:space="preserve"> </w:t>
      </w:r>
      <w:r>
        <w:rPr>
          <w:i/>
          <w:iCs/>
        </w:rPr>
        <w:t xml:space="preserve">Auparoparo meliades</w:t>
      </w:r>
      <w:r>
        <w:t xml:space="preserve">].</w:t>
      </w:r>
    </w:p>
    <w:p>
      <w:pPr>
        <w:pStyle w:val="BodyText"/>
      </w:pPr>
      <w:r>
        <w:rPr>
          <w:b/>
          <w:bCs/>
        </w:rPr>
        <w:t xml:space="preserve">Family Microhylidae Günther, 1858.</w:t>
      </w:r>
      <w:r>
        <w:rPr>
          <w:b/>
          <w:bCs/>
        </w:rPr>
        <w:t xml:space="preserve"> </w:t>
      </w:r>
      <w:r>
        <w:rPr>
          <w:b/>
          <w:bCs/>
        </w:rPr>
        <w:t xml:space="preserve">Subfamily Asterophryinae Günther, 1858.</w:t>
      </w:r>
      <w:r>
        <w:rPr>
          <w:b/>
          <w:bCs/>
        </w:rPr>
        <w:t xml:space="preserve"> </w:t>
      </w:r>
      <w:r>
        <w:rPr>
          <w:b/>
          <w:bCs/>
        </w:rPr>
        <w:t xml:space="preserve">Genus Auparoparo gen. Nov.</w:t>
      </w:r>
      <w:r>
        <w:t xml:space="preserve"> </w:t>
      </w:r>
      <w:r>
        <w:rPr>
          <w:i/>
          <w:iCs/>
        </w:rPr>
        <w:t xml:space="preserve">Oreophryne</w:t>
      </w:r>
      <w:r>
        <w:t xml:space="preserve"> </w:t>
      </w:r>
      <w:r>
        <w:t xml:space="preserve">Boettger, 1895</w:t>
      </w:r>
      <w:r>
        <w:t xml:space="preserve"> </w:t>
      </w:r>
      <w:r>
        <w:rPr>
          <w:i/>
          <w:iCs/>
        </w:rPr>
        <w:t xml:space="preserve">Aphantophryne</w:t>
      </w:r>
      <w:r>
        <w:t xml:space="preserve"> </w:t>
      </w:r>
      <w:r>
        <w:t xml:space="preserve">Fry, 1917</w:t>
      </w:r>
      <w:r>
        <w:t xml:space="preserve"> </w:t>
      </w:r>
      <w:r>
        <w:rPr>
          <w:i/>
          <w:iCs/>
        </w:rPr>
        <w:t xml:space="preserve">Sphenophryne</w:t>
      </w:r>
      <w:r>
        <w:t xml:space="preserve"> </w:t>
      </w:r>
      <w:r>
        <w:t xml:space="preserve">(anthonyi) Boulenger, 1897</w:t>
      </w:r>
      <w:r>
        <w:t xml:space="preserve"> </w:t>
      </w:r>
      <w:r>
        <w:t xml:space="preserve">Type species</w:t>
      </w:r>
      <w:r>
        <w:t xml:space="preserve"> </w:t>
      </w:r>
      <w:r>
        <w:rPr>
          <w:i/>
          <w:iCs/>
        </w:rPr>
        <w:t xml:space="preserve">Oreophryne penelopeia</w:t>
      </w:r>
      <w:r>
        <w:t xml:space="preserve"> </w:t>
      </w:r>
      <w:r>
        <w:t xml:space="preserve">(Kraus 2016) [=</w:t>
      </w:r>
      <w:r>
        <w:rPr>
          <w:i/>
          <w:iCs/>
        </w:rPr>
        <w:t xml:space="preserve">Auparoparo penelopeia</w:t>
      </w:r>
      <w:r>
        <w:t xml:space="preserve">].</w:t>
      </w:r>
    </w:p>
    <w:p>
      <w:pPr>
        <w:pStyle w:val="BodyText"/>
      </w:pPr>
      <w:r>
        <w:rPr>
          <w:b/>
          <w:bCs/>
        </w:rPr>
        <w:t xml:space="preserve">Diagnosis:</w:t>
      </w:r>
      <w:r>
        <w:t xml:space="preserve"> </w:t>
      </w:r>
      <w:r>
        <w:t xml:space="preserve">We note that there are no synapomorphies in adult</w:t>
      </w:r>
      <w:r>
        <w:t xml:space="preserve"> </w:t>
      </w:r>
      <w:r>
        <w:rPr>
          <w:i/>
          <w:iCs/>
        </w:rPr>
        <w:t xml:space="preserve">Auparoparo</w:t>
      </w:r>
      <w:r>
        <w:t xml:space="preserve"> </w:t>
      </w:r>
      <w:r>
        <w:t xml:space="preserve">that differ from the morphologically similar genus</w:t>
      </w:r>
      <w:r>
        <w:t xml:space="preserve"> </w:t>
      </w:r>
      <w:r>
        <w:rPr>
          <w:i/>
          <w:iCs/>
        </w:rPr>
        <w:t xml:space="preserve">Oreophryne</w:t>
      </w:r>
      <w:r>
        <w:t xml:space="preserve">. Diagnoses should be made by molecular phylogenetic analysis, including at least representatives of</w:t>
      </w:r>
      <w:r>
        <w:t xml:space="preserve"> </w:t>
      </w:r>
      <w:r>
        <w:rPr>
          <w:i/>
          <w:iCs/>
        </w:rPr>
        <w:t xml:space="preserve">Auparoparo</w:t>
      </w:r>
      <w:r>
        <w:t xml:space="preserve">,</w:t>
      </w:r>
      <w:r>
        <w:t xml:space="preserve"> </w:t>
      </w:r>
      <w:r>
        <w:rPr>
          <w:i/>
          <w:iCs/>
        </w:rPr>
        <w:t xml:space="preserve">Oreophryne</w:t>
      </w:r>
      <w:r>
        <w:t xml:space="preserve">,</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or other closest sister genera as outgroups.</w:t>
      </w:r>
    </w:p>
    <w:p>
      <w:pPr>
        <w:pStyle w:val="BodyText"/>
      </w:pPr>
      <w:r>
        <w:rPr>
          <w:b/>
          <w:bCs/>
        </w:rPr>
        <w:t xml:space="preserve">Description:</w:t>
      </w:r>
      <w:r>
        <w:t xml:space="preserve"> </w:t>
      </w:r>
      <w:r>
        <w:rPr>
          <w:i/>
          <w:iCs/>
        </w:rPr>
        <w:t xml:space="preserve">Auparoparo</w:t>
      </w:r>
      <w:r>
        <w:t xml:space="preserve"> </w:t>
      </w:r>
      <w:r>
        <w:t xml:space="preserve">differs from most other genera in subfamily Asterophryinae, but not from</w:t>
      </w:r>
      <w:r>
        <w:t xml:space="preserve"> </w:t>
      </w:r>
      <w:r>
        <w:rPr>
          <w:i/>
          <w:iCs/>
        </w:rPr>
        <w:t xml:space="preserve">Oreophryne</w:t>
      </w:r>
      <w:r>
        <w:t xml:space="preserve">,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 (</w:t>
      </w:r>
      <w:r>
        <w:rPr>
          <w:i/>
          <w:iCs/>
        </w:rPr>
        <w:t xml:space="preserve">A. brunnea</w:t>
      </w:r>
      <w:r>
        <w:t xml:space="preserve">, Kraus 2017) to 25 mm (A. picticrus, Kraus 2016); (5) small to invisible tympanum; (6) large eyes with pupil horizontal; (7) occasional presence of toe webbing; (8) and thin, elongated limbs; and (9) and in many species males that call with a</w:t>
      </w:r>
      <w:r>
        <w:t xml:space="preserve"> </w:t>
      </w:r>
      <w:r>
        <w:t xml:space="preserve">“whinny”</w:t>
      </w:r>
      <w:r>
        <w:t xml:space="preserve"> </w:t>
      </w:r>
      <w:r>
        <w:t xml:space="preserve">call type or in some species</w:t>
      </w:r>
      <w:r>
        <w:t xml:space="preserve"> </w:t>
      </w:r>
      <w:r>
        <w:t xml:space="preserve">“rattle”</w:t>
      </w:r>
      <w:r>
        <w:t xml:space="preserve"> </w:t>
      </w:r>
      <w:r>
        <w:t xml:space="preserve">type. Some species of</w:t>
      </w:r>
      <w:r>
        <w:t xml:space="preserve"> </w:t>
      </w:r>
      <w:r>
        <w:rPr>
          <w:i/>
          <w:iCs/>
        </w:rPr>
        <w:t xml:space="preserve">Auparoparo</w:t>
      </w:r>
      <w:r>
        <w:t xml:space="preserve"> </w:t>
      </w:r>
      <w:r>
        <w:t xml:space="preserve">may be distinguished from</w:t>
      </w:r>
      <w:r>
        <w:t xml:space="preserve"> </w:t>
      </w:r>
      <w:r>
        <w:rPr>
          <w:i/>
          <w:iCs/>
        </w:rPr>
        <w:t xml:space="preserve">Oreophryne</w:t>
      </w:r>
      <w:r>
        <w:t xml:space="preserve"> </w:t>
      </w:r>
      <w:r>
        <w:t xml:space="preserve">by larger finger pads than toe pads and males calling with</w:t>
      </w:r>
      <w:r>
        <w:t xml:space="preserve"> </w:t>
      </w:r>
      <w:r>
        <w:t xml:space="preserve">“whinny”</w:t>
      </w:r>
      <w:r>
        <w:t xml:space="preserve"> </w:t>
      </w:r>
      <w:r>
        <w:t xml:space="preserve">but not</w:t>
      </w:r>
      <w:r>
        <w:t xml:space="preserve"> </w:t>
      </w:r>
      <w:r>
        <w:t xml:space="preserve">“honk”</w:t>
      </w:r>
      <w:r>
        <w:t xml:space="preserve"> </w:t>
      </w:r>
      <w:r>
        <w:t xml:space="preserve">or</w:t>
      </w:r>
      <w:r>
        <w:t xml:space="preserve"> </w:t>
      </w:r>
      <w:r>
        <w:t xml:space="preserve">“peep”</w:t>
      </w:r>
      <w:r>
        <w:t xml:space="preserve"> </w:t>
      </w:r>
      <w:r>
        <w:t xml:space="preserve">call types.</w:t>
      </w:r>
    </w:p>
    <w:p>
      <w:pPr>
        <w:pStyle w:val="BodyText"/>
      </w:pPr>
      <w:r>
        <w:rPr>
          <w:b/>
          <w:bCs/>
        </w:rPr>
        <w:t xml:space="preserve">Phylogenetic definition:</w:t>
      </w:r>
      <w:r>
        <w:t xml:space="preserve"> </w:t>
      </w:r>
      <w:r>
        <w:rPr>
          <w:i/>
          <w:iCs/>
        </w:rPr>
        <w:t xml:space="preserve">Auparoparo</w:t>
      </w:r>
      <w:r>
        <w:t xml:space="preserve"> </w:t>
      </w:r>
      <w:r>
        <w:t xml:space="preserve">(NCN) applies to the largest crown clade originating in (CCN) is defined as the maximum crown-clade originating with the most recent common ancestor of Auparoparo penelopeia Kraus 2016, the type species of Auparoparo, and all extant species that share a common ancestor with</w:t>
      </w:r>
      <w:r>
        <w:t xml:space="preserve"> </w:t>
      </w:r>
      <w:r>
        <w:rPr>
          <w:i/>
          <w:iCs/>
        </w:rPr>
        <w:t xml:space="preserve">A. penelopeia</w:t>
      </w:r>
      <w:r>
        <w:t xml:space="preserve"> </w:t>
      </w:r>
      <w:r>
        <w:t xml:space="preserve">more recently than they do with the type species of all the other nominal genera listed in</w:t>
      </w:r>
      <w:r>
        <w:t xml:space="preserve"> </w:t>
      </w:r>
      <w:hyperlink w:anchor="tbl-genera-types">
        <w:r>
          <w:rPr>
            <w:rStyle w:val="Hyperlink"/>
          </w:rPr>
          <w:t xml:space="preserve">Table 4</w:t>
        </w:r>
      </w:hyperlink>
      <w:r>
        <w:t xml:space="preserve">, the type species of the closest sister taxa being</w:t>
      </w:r>
      <w:r>
        <w:t xml:space="preserve"> </w:t>
      </w:r>
      <w:r>
        <w:rPr>
          <w:i/>
          <w:iCs/>
        </w:rPr>
        <w:t xml:space="preserve">Cophixalus verrucosus</w:t>
      </w:r>
      <w:r>
        <w:t xml:space="preserve"> </w:t>
      </w:r>
      <w:r>
        <w:t xml:space="preserve">Boettger 1892,</w:t>
      </w:r>
      <w:r>
        <w:t xml:space="preserve"> </w:t>
      </w:r>
      <w:r>
        <w:rPr>
          <w:i/>
          <w:iCs/>
        </w:rPr>
        <w:t xml:space="preserve">Paedophryne kathismaphlox</w:t>
      </w:r>
      <w:r>
        <w:t xml:space="preserve"> </w:t>
      </w:r>
      <w:r>
        <w:t xml:space="preserve">Kraus 2010,</w:t>
      </w:r>
      <w:r>
        <w:t xml:space="preserve"> </w:t>
      </w:r>
      <w:r>
        <w:rPr>
          <w:i/>
          <w:iCs/>
        </w:rPr>
        <w:t xml:space="preserve">Oreophryne senckenbergiana</w:t>
      </w:r>
      <w:r>
        <w:t xml:space="preserve"> </w:t>
      </w:r>
      <w:r>
        <w:t xml:space="preserve">Peters and Doria, 1878, and any of the remaining genera in</w:t>
      </w:r>
      <w:r>
        <w:t xml:space="preserve"> </w:t>
      </w:r>
      <w:hyperlink w:anchor="tbl-genera-types">
        <w:r>
          <w:rPr>
            <w:rStyle w:val="Hyperlink"/>
          </w:rPr>
          <w:t xml:space="preserve">Table 4</w:t>
        </w:r>
      </w:hyperlink>
      <w:r>
        <w:t xml:space="preserve">.</w:t>
      </w:r>
    </w:p>
    <w:p>
      <w:pPr>
        <w:pStyle w:val="BodyText"/>
      </w:pPr>
      <w:r>
        <w:rPr>
          <w:b/>
          <w:bCs/>
        </w:rPr>
        <w:t xml:space="preserve">Content:</w:t>
      </w:r>
      <w:r>
        <w:t xml:space="preserve"> </w:t>
      </w:r>
      <w:r>
        <w:t xml:space="preserve">We transfer eleven named species from Oreophryne into</w:t>
      </w:r>
      <w:r>
        <w:t xml:space="preserve"> </w:t>
      </w:r>
      <w:r>
        <w:rPr>
          <w:i/>
          <w:iCs/>
        </w:rPr>
        <w:t xml:space="preserve">Auparoparo</w:t>
      </w:r>
      <w:r>
        <w:t xml:space="preserve"> </w:t>
      </w:r>
      <w:r>
        <w:t xml:space="preserve">gen. Nov.:</w:t>
      </w:r>
      <w:r>
        <w:t xml:space="preserve"> </w:t>
      </w:r>
      <w:r>
        <w:rPr>
          <w:i/>
          <w:iCs/>
        </w:rPr>
        <w:t xml:space="preserve">Auparoparo brunnea</w:t>
      </w:r>
      <w:r>
        <w:t xml:space="preserve"> </w:t>
      </w:r>
      <w:r>
        <w:t xml:space="preserve">(Kraus, 2017),</w:t>
      </w:r>
      <w:r>
        <w:t xml:space="preserve"> </w:t>
      </w:r>
      <w:r>
        <w:rPr>
          <w:i/>
          <w:iCs/>
        </w:rPr>
        <w:t xml:space="preserve">Auparoparo equus</w:t>
      </w:r>
      <w:r>
        <w:t xml:space="preserve"> </w:t>
      </w:r>
      <w:r>
        <w:t xml:space="preserve">(Kraus, 2016),</w:t>
      </w:r>
      <w:r>
        <w:t xml:space="preserve"> </w:t>
      </w:r>
      <w:r>
        <w:rPr>
          <w:i/>
          <w:iCs/>
        </w:rPr>
        <w:t xml:space="preserve">Auparoparo ezra</w:t>
      </w:r>
      <w:r>
        <w:t xml:space="preserve"> </w:t>
      </w:r>
      <w:r>
        <w:t xml:space="preserve">Kraus and Allison, 2009,</w:t>
      </w:r>
      <w:r>
        <w:t xml:space="preserve"> </w:t>
      </w:r>
      <w:r>
        <w:rPr>
          <w:i/>
          <w:iCs/>
        </w:rPr>
        <w:t xml:space="preserve">Auparoparo insulana</w:t>
      </w:r>
      <w:r>
        <w:t xml:space="preserve"> </w:t>
      </w:r>
      <w:r>
        <w:t xml:space="preserve">Zweifel, 1956,</w:t>
      </w:r>
      <w:r>
        <w:t xml:space="preserve"> </w:t>
      </w:r>
      <w:r>
        <w:rPr>
          <w:i/>
          <w:iCs/>
        </w:rPr>
        <w:t xml:space="preserve">Auparoparo matawan</w:t>
      </w:r>
      <w:r>
        <w:t xml:space="preserve"> </w:t>
      </w:r>
      <w:r>
        <w:t xml:space="preserve">Kraus, 2016,</w:t>
      </w:r>
      <w:r>
        <w:t xml:space="preserve"> </w:t>
      </w:r>
      <w:r>
        <w:rPr>
          <w:i/>
          <w:iCs/>
        </w:rPr>
        <w:t xml:space="preserve">Auparoparo meliades</w:t>
      </w:r>
      <w:r>
        <w:t xml:space="preserve"> </w:t>
      </w:r>
      <w:r>
        <w:t xml:space="preserve">Kraus, 2016,</w:t>
      </w:r>
      <w:r>
        <w:t xml:space="preserve"> </w:t>
      </w:r>
      <w:r>
        <w:rPr>
          <w:i/>
          <w:iCs/>
        </w:rPr>
        <w:t xml:space="preserve">Auparoparo penelopeia</w:t>
      </w:r>
      <w:r>
        <w:t xml:space="preserve"> </w:t>
      </w:r>
      <w:r>
        <w:t xml:space="preserve">Kraus, 2016,</w:t>
      </w:r>
      <w:r>
        <w:t xml:space="preserve"> </w:t>
      </w:r>
      <w:r>
        <w:rPr>
          <w:i/>
          <w:iCs/>
        </w:rPr>
        <w:t xml:space="preserve">Auparoparo phoebe</w:t>
      </w:r>
      <w:r>
        <w:t xml:space="preserve"> </w:t>
      </w:r>
      <w:r>
        <w:t xml:space="preserve">Kraus, 2017,</w:t>
      </w:r>
      <w:r>
        <w:t xml:space="preserve"> </w:t>
      </w:r>
      <w:r>
        <w:rPr>
          <w:i/>
          <w:iCs/>
        </w:rPr>
        <w:t xml:space="preserve">Auparoparo picticrus</w:t>
      </w:r>
      <w:r>
        <w:t xml:space="preserve"> </w:t>
      </w:r>
      <w:r>
        <w:t xml:space="preserve">Kraus, 2016,</w:t>
      </w:r>
      <w:r>
        <w:t xml:space="preserve"> </w:t>
      </w:r>
      <w:r>
        <w:rPr>
          <w:i/>
          <w:iCs/>
        </w:rPr>
        <w:t xml:space="preserve">Auparoparo nana</w:t>
      </w:r>
      <w:r>
        <w:t xml:space="preserve">,</w:t>
      </w:r>
      <w:r>
        <w:t xml:space="preserve"> </w:t>
      </w:r>
      <w:r>
        <w:rPr>
          <w:i/>
          <w:iCs/>
        </w:rPr>
        <w:t xml:space="preserve">Auparoparo penelopia</w:t>
      </w:r>
      <w:r>
        <w:t xml:space="preserve"> </w:t>
      </w:r>
      <w:r>
        <w:t xml:space="preserve">(Kraus 2016),</w:t>
      </w:r>
      <w:r>
        <w:t xml:space="preserve"> </w:t>
      </w:r>
      <w:r>
        <w:rPr>
          <w:i/>
          <w:iCs/>
        </w:rPr>
        <w:t xml:space="preserve">Auparoparo variabilis</w:t>
      </w:r>
      <w:r>
        <w:t xml:space="preserve"> </w:t>
      </w:r>
      <w:r>
        <w:t xml:space="preserve">(Boulenger, 1896).</w:t>
      </w:r>
    </w:p>
    <w:p>
      <w:pPr>
        <w:pStyle w:val="BodyText"/>
      </w:pPr>
      <w:r>
        <w:rPr>
          <w:b/>
          <w:bCs/>
        </w:rPr>
        <w:t xml:space="preserve">Distribution:</w:t>
      </w:r>
      <w:r>
        <w:t xml:space="preserve"> </w:t>
      </w:r>
      <w:r>
        <w:t xml:space="preserve">Southeastern tip of mainland Papua New Guinea and satellite islands (Fergusson, Misima, Normanby, Rossel, Sudest, Woodlark Is.), Sulawesi.</w:t>
      </w:r>
    </w:p>
    <w:p>
      <w:pPr>
        <w:pStyle w:val="BodyText"/>
      </w:pPr>
      <w:r>
        <w:rPr>
          <w:b/>
          <w:bCs/>
        </w:rPr>
        <w:t xml:space="preserve">Etymology:</w:t>
      </w:r>
      <w:r>
        <w:t xml:space="preserve"> </w:t>
      </w:r>
      <w:r>
        <w:t xml:space="preserve">The generic name</w:t>
      </w:r>
      <w:r>
        <w:t xml:space="preserve"> </w:t>
      </w:r>
      <w:r>
        <w:rPr>
          <w:i/>
          <w:iCs/>
        </w:rPr>
        <w:t xml:space="preserve">Auparoparo</w:t>
      </w:r>
      <w:r>
        <w:t xml:space="preserve"> </w:t>
      </w:r>
      <w:r>
        <w:t xml:space="preserve">comes from the indigenous language, Motu, which is widely spoken in the region of Papua New Guinea in which this genus is found. It is a combination of the words</w:t>
      </w:r>
      <w:r>
        <w:t xml:space="preserve"> </w:t>
      </w:r>
      <w:r>
        <w:t xml:space="preserve">“au”</w:t>
      </w:r>
      <w:r>
        <w:t xml:space="preserve"> </w:t>
      </w:r>
      <w:r>
        <w:t xml:space="preserve">(tree) and</w:t>
      </w:r>
      <w:r>
        <w:t xml:space="preserve"> </w:t>
      </w:r>
      <w:r>
        <w:t xml:space="preserve">“paro paro”</w:t>
      </w:r>
      <w:r>
        <w:t xml:space="preserve"> </w:t>
      </w:r>
      <w:r>
        <w:t xml:space="preserve">(frog).</w:t>
      </w:r>
    </w:p>
    <w:p>
      <w:pPr>
        <w:pStyle w:val="BodyText"/>
      </w:pPr>
      <w:r>
        <w:rPr>
          <w:b/>
          <w:bCs/>
        </w:rPr>
        <w:t xml:space="preserve">Comment:</w:t>
      </w:r>
      <w:r>
        <w:t xml:space="preserve"> </w:t>
      </w:r>
      <w:r>
        <w:t xml:space="preserve">According to ICZN convention for nomenclature assignment, the presence of one</w:t>
      </w:r>
      <w:r>
        <w:t xml:space="preserve"> </w:t>
      </w:r>
      <w:r>
        <w:rPr>
          <w:i/>
          <w:iCs/>
        </w:rPr>
        <w:t xml:space="preserve">Aphantophryne pansa</w:t>
      </w:r>
      <w:r>
        <w:t xml:space="preserve"> </w:t>
      </w:r>
      <w:r>
        <w:t xml:space="preserve">sequence grouped within</w:t>
      </w:r>
      <w:r>
        <w:t xml:space="preserve"> </w:t>
      </w:r>
      <w:r>
        <w:rPr>
          <w:i/>
          <w:iCs/>
        </w:rPr>
        <w:t xml:space="preserve">Auparoparo</w:t>
      </w:r>
      <w:r>
        <w:t xml:space="preserve"> </w:t>
      </w:r>
      <w:r>
        <w:t xml:space="preserve">could be considered a name of priority</w:t>
      </w:r>
      <w:r>
        <w:t xml:space="preserve"> </w:t>
      </w:r>
      <w:r>
        <w:t xml:space="preserve">(Zoological Nomenclature et al. 1999)</w:t>
      </w:r>
      <w:r>
        <w:t xml:space="preserve">. However, we suspect that</w:t>
      </w:r>
      <w:r>
        <w:t xml:space="preserve"> </w:t>
      </w:r>
      <w:r>
        <w:rPr>
          <w:i/>
          <w:iCs/>
        </w:rPr>
        <w:t xml:space="preserve">Aphantophryne</w:t>
      </w:r>
      <w:r>
        <w:t xml:space="preserve"> </w:t>
      </w:r>
      <w:r>
        <w:t xml:space="preserve">may actually represent a highly specialized morphotypic group with members belonging to other clades, which would invalidate its generic status. Future research is needed to clarify the placement and integrity of</w:t>
      </w:r>
      <w:r>
        <w:t xml:space="preserve"> </w:t>
      </w:r>
      <w:r>
        <w:rPr>
          <w:i/>
          <w:iCs/>
        </w:rPr>
        <w:t xml:space="preserve">Aphantophryne</w:t>
      </w:r>
      <w:r>
        <w:t xml:space="preserve">. Furthermore, based on the tremendous morphological and lifestyle differences between</w:t>
      </w:r>
      <w:r>
        <w:t xml:space="preserve"> </w:t>
      </w:r>
      <w:r>
        <w:rPr>
          <w:i/>
          <w:iCs/>
        </w:rPr>
        <w:t xml:space="preserve">Aphantophryne pansa</w:t>
      </w:r>
      <w:r>
        <w:t xml:space="preserve"> </w:t>
      </w:r>
      <w:r>
        <w:t xml:space="preserve">and other species of</w:t>
      </w:r>
      <w:r>
        <w:t xml:space="preserve"> </w:t>
      </w:r>
      <w:r>
        <w:rPr>
          <w:i/>
          <w:iCs/>
        </w:rPr>
        <w:t xml:space="preserve">Auparoparo</w:t>
      </w:r>
      <w:r>
        <w:t xml:space="preserve">, we do not consider this name to be representative of the entire clade.</w:t>
      </w:r>
    </w:p>
    <w:bookmarkEnd w:id="54"/>
    <w:bookmarkEnd w:id="55"/>
    <w:bookmarkStart w:id="60" w:name="discussion"/>
    <w:p>
      <w:pPr>
        <w:pStyle w:val="Heading1"/>
      </w:pPr>
      <w:r>
        <w:t xml:space="preserve">Discussion</w:t>
      </w:r>
    </w:p>
    <w:bookmarkStart w:id="56" w:name="phenotypic-characters-and-diagnoses"/>
    <w:p>
      <w:pPr>
        <w:pStyle w:val="Heading2"/>
      </w:pPr>
      <w:r>
        <w:t xml:space="preserve">Phenotypic Characters and Diagnoses</w:t>
      </w:r>
    </w:p>
    <w:p>
      <w:pPr>
        <w:pStyle w:val="FirstParagraph"/>
      </w:pPr>
      <w:r>
        <w:t xml:space="preserve">Our phylogenetic results</w:t>
      </w:r>
      <w:r>
        <w:t xml:space="preserve"> </w:t>
      </w:r>
      <w:r>
        <w:t xml:space="preserve">(Hill et al. 2022; 2023b, this study)</w:t>
      </w:r>
      <w:r>
        <w:t xml:space="preserve"> </w:t>
      </w:r>
      <w:r>
        <w:t xml:space="preserve">provide clarity on the classification of the problematic genus</w:t>
      </w:r>
      <w:r>
        <w:t xml:space="preserve"> </w:t>
      </w:r>
      <w:r>
        <w:rPr>
          <w:i/>
          <w:iCs/>
        </w:rPr>
        <w:t xml:space="preserve">Oreophryne</w:t>
      </w:r>
      <w:r>
        <w:t xml:space="preserve"> </w:t>
      </w:r>
      <w:r>
        <w:t xml:space="preserve">sensu lato. We confirm that</w:t>
      </w:r>
      <w:r>
        <w:t xml:space="preserve"> </w:t>
      </w:r>
      <w:r>
        <w:rPr>
          <w:i/>
          <w:iCs/>
        </w:rPr>
        <w:t xml:space="preserve">Oreophryne</w:t>
      </w:r>
      <w:r>
        <w:t xml:space="preserve"> </w:t>
      </w:r>
      <w:r>
        <w:t xml:space="preserve">sensu lato is polyphyletic and consists of two reciprocally monophyletic clades,</w:t>
      </w:r>
      <w:r>
        <w:t xml:space="preserve"> </w:t>
      </w:r>
      <w:r>
        <w:t xml:space="preserve">“Oreophryne A”</w:t>
      </w:r>
      <w:r>
        <w:t xml:space="preserve"> </w:t>
      </w:r>
      <w:r>
        <w:t xml:space="preserve">and</w:t>
      </w:r>
      <w:r>
        <w:t xml:space="preserve"> </w:t>
      </w:r>
      <w:r>
        <w:t xml:space="preserve">“B”</w:t>
      </w:r>
      <w:r>
        <w:t xml:space="preserve"> </w:t>
      </w:r>
      <w:r>
        <w:t xml:space="preserve">(of Hill et al. 2022)</w:t>
      </w:r>
      <w:r>
        <w:t xml:space="preserve">, originating 18 and 16 MYA, respectively (Figure 1). Here we designate</w:t>
      </w:r>
      <w:r>
        <w:t xml:space="preserve"> </w:t>
      </w:r>
      <w:r>
        <w:t xml:space="preserve">“Oreophryne A”</w:t>
      </w:r>
      <w:r>
        <w:t xml:space="preserve"> </w:t>
      </w:r>
      <w:r>
        <w:t xml:space="preserve">as retaining the name</w:t>
      </w:r>
      <w:r>
        <w:t xml:space="preserve"> </w:t>
      </w:r>
      <w:r>
        <w:rPr>
          <w:i/>
          <w:iCs/>
        </w:rPr>
        <w:t xml:space="preserve">Oreophryne</w:t>
      </w:r>
      <w:r>
        <w:t xml:space="preserve"> </w:t>
      </w:r>
      <w:r>
        <w:t xml:space="preserve">based on its containing the type species</w:t>
      </w:r>
      <w:r>
        <w:t xml:space="preserve"> </w:t>
      </w:r>
      <w:r>
        <w:rPr>
          <w:i/>
          <w:iCs/>
        </w:rPr>
        <w:t xml:space="preserve">Oreophryne senckenbergiana</w:t>
      </w:r>
      <w:r>
        <w:t xml:space="preserve"> </w:t>
      </w:r>
      <w:r>
        <w:t xml:space="preserve">(Peters and Doria 1878)</w:t>
      </w:r>
      <w:r>
        <w:t xml:space="preserve"> </w:t>
      </w:r>
      <w:r>
        <w:t xml:space="preserve">with high support.</w:t>
      </w:r>
      <w:r>
        <w:t xml:space="preserve"> </w:t>
      </w:r>
      <w:r>
        <w:rPr>
          <w:i/>
          <w:iCs/>
        </w:rPr>
        <w:t xml:space="preserve">Oreophryne</w:t>
      </w:r>
      <w:r>
        <w:t xml:space="preserve"> </w:t>
      </w:r>
      <w:r>
        <w:t xml:space="preserve">is the earliest diverged genus in subfamily Asterophryinae, sister to all the other genera. The second clade,</w:t>
      </w:r>
      <w:r>
        <w:t xml:space="preserve"> </w:t>
      </w:r>
      <w:r>
        <w:t xml:space="preserve">“Oreophryne B”</w:t>
      </w:r>
      <w:r>
        <w:t xml:space="preserve">, is highly supported as a separate, unrelated genus, which contains no known species with historical generic priority. Thus, we designate this genus as</w:t>
      </w:r>
      <w:r>
        <w:t xml:space="preserve"> </w:t>
      </w:r>
      <w:r>
        <w:rPr>
          <w:i/>
          <w:iCs/>
        </w:rPr>
        <w:t xml:space="preserve">Auparoparo</w:t>
      </w:r>
      <w:r>
        <w:t xml:space="preserve">, a nominal tribute to the Motu language of the indigenous peoples of the region.</w:t>
      </w:r>
    </w:p>
    <w:bookmarkEnd w:id="56"/>
    <w:bookmarkStart w:id="57" w:name="the-difficulty-with-cryptic-genera"/>
    <w:p>
      <w:pPr>
        <w:pStyle w:val="Heading2"/>
      </w:pPr>
      <w:r>
        <w:t xml:space="preserve">The Difficulty with Cryptic Genera</w:t>
      </w:r>
    </w:p>
    <w:p>
      <w:pPr>
        <w:pStyle w:val="FirstParagraph"/>
      </w:pPr>
      <w:r>
        <w:t xml:space="preserve">Perhaps the greatest testament to the crypticism of</w:t>
      </w:r>
      <w:r>
        <w:t xml:space="preserve"> </w:t>
      </w:r>
      <w:r>
        <w:rPr>
          <w:i/>
          <w:iCs/>
        </w:rPr>
        <w:t xml:space="preserve">Oreophryne</w:t>
      </w:r>
      <w:r>
        <w:t xml:space="preserve"> </w:t>
      </w:r>
      <w:r>
        <w:t xml:space="preserve">(CCN) vs. </w:t>
      </w:r>
      <w:r>
        <w:rPr>
          <w:i/>
          <w:iCs/>
        </w:rPr>
        <w:t xml:space="preserve">Auparoparo</w:t>
      </w:r>
      <w:r>
        <w:t xml:space="preserve"> </w:t>
      </w:r>
      <w:r>
        <w:t xml:space="preserve">(NCN) is that no taxonomist was able to distinguish that they are separate clades, independently evolved, in the 130 years between their discovery and molecular sequencing</w:t>
      </w:r>
      <w:r>
        <w:t xml:space="preserve"> </w:t>
      </w:r>
      <w:r>
        <w:t xml:space="preserve">(Boettger 1895; Rivera et al. 2017)</w:t>
      </w:r>
      <w:r>
        <w:t xml:space="preserve">. These species are indeed morphologically very similar and our results provide some clues as to why</w:t>
      </w:r>
      <w:r>
        <w:t xml:space="preserve"> </w:t>
      </w:r>
      <w:r>
        <w:rPr>
          <w:i/>
          <w:iCs/>
        </w:rPr>
        <w:t xml:space="preserve">Oreophryne</w:t>
      </w:r>
      <w:r>
        <w:t xml:space="preserve"> </w:t>
      </w:r>
      <w:r>
        <w:t xml:space="preserve">taxonomy has been so difficult.</w:t>
      </w:r>
      <w:r>
        <w:t xml:space="preserve"> </w:t>
      </w:r>
      <w:r>
        <w:t xml:space="preserve">We found no morphological synapomorphy for neither</w:t>
      </w:r>
      <w:r>
        <w:t xml:space="preserve"> </w:t>
      </w:r>
      <w:r>
        <w:rPr>
          <w:i/>
          <w:iCs/>
        </w:rPr>
        <w:t xml:space="preserve">Auparoparo</w:t>
      </w:r>
      <w:r>
        <w:t xml:space="preserve"> </w:t>
      </w:r>
      <w:r>
        <w:t xml:space="preserve">nor</w:t>
      </w:r>
      <w:r>
        <w:t xml:space="preserve"> </w:t>
      </w:r>
      <w:r>
        <w:rPr>
          <w:i/>
          <w:iCs/>
        </w:rPr>
        <w:t xml:space="preserve">Oreophryne</w:t>
      </w:r>
      <w:r>
        <w:t xml:space="preserve">, and moreover, no morphological feature that can diagnose either clade or both in combination.</w:t>
      </w:r>
    </w:p>
    <w:p>
      <w:pPr>
        <w:pStyle w:val="BodyText"/>
      </w:pPr>
      <w:r>
        <w:t xml:space="preserve">The traditional basis for generic designation of species to</w:t>
      </w:r>
      <w:r>
        <w:t xml:space="preserve"> </w:t>
      </w:r>
      <w:r>
        <w:rPr>
          <w:i/>
          <w:iCs/>
        </w:rPr>
        <w:t xml:space="preserve">Oreophryne</w:t>
      </w:r>
      <w:r>
        <w:t xml:space="preserve"> </w:t>
      </w:r>
      <w:r>
        <w:t xml:space="preserve">has primarily relied on a signature pectoral anatomy</w:t>
      </w:r>
      <w:r>
        <w:t xml:space="preserve"> </w:t>
      </w:r>
      <w:r>
        <w:t xml:space="preserve">(whether original or revised diagnosis, Parker 1934; Zweifel 2003)</w:t>
      </w:r>
      <w:r>
        <w:t xml:space="preserve">. Our phylogenetic results clearly show that this trait appears more than once, in both</w:t>
      </w:r>
      <w:r>
        <w:t xml:space="preserve"> </w:t>
      </w:r>
      <w:r>
        <w:rPr>
          <w:i/>
          <w:iCs/>
        </w:rPr>
        <w:t xml:space="preserve">Oreophryne</w:t>
      </w:r>
      <w:r>
        <w:t xml:space="preserve"> </w:t>
      </w:r>
      <w:r>
        <w:t xml:space="preserve">and</w:t>
      </w:r>
      <w:r>
        <w:t xml:space="preserve"> </w:t>
      </w:r>
      <w:r>
        <w:rPr>
          <w:i/>
          <w:iCs/>
        </w:rPr>
        <w:t xml:space="preserve">Auparaparo</w:t>
      </w:r>
      <w:r>
        <w:t xml:space="preserve">, and rather than being a highly conserved trait, it is either a symplesiomorphy (shared ancestral character) or a result of convergent or parallel evolution, and perhaps adaptive for arboreality. Thus, the pectoral anatomy is not a reliable diagnostic character in differentiating between</w:t>
      </w:r>
      <w:r>
        <w:t xml:space="preserve"> </w:t>
      </w:r>
      <w:r>
        <w:rPr>
          <w:i/>
          <w:iCs/>
        </w:rPr>
        <w:t xml:space="preserve">Oreophryne</w:t>
      </w:r>
      <w:r>
        <w:t xml:space="preserve"> </w:t>
      </w:r>
      <w:r>
        <w:t xml:space="preserve">and</w:t>
      </w:r>
      <w:r>
        <w:t xml:space="preserve"> </w:t>
      </w:r>
      <w:r>
        <w:rPr>
          <w:i/>
          <w:iCs/>
        </w:rPr>
        <w:t xml:space="preserve">Auparoparo</w:t>
      </w:r>
      <w:r>
        <w:t xml:space="preserve">. In studies across a wide diversity of anurans,</w:t>
      </w:r>
      <w:r>
        <w:t xml:space="preserve"> </w:t>
      </w:r>
      <w:r>
        <w:t xml:space="preserve">Soliz et al. (2025)</w:t>
      </w:r>
      <w:r>
        <w:t xml:space="preserve"> </w:t>
      </w:r>
      <w:r>
        <w:t xml:space="preserve">found that anatomical variation of the pectoral girdle corresponds with functional and ecological lifestyle demands, whereas</w:t>
      </w:r>
      <w:r>
        <w:t xml:space="preserve"> </w:t>
      </w:r>
      <w:r>
        <w:t xml:space="preserve">Engelkes et al. (2020)</w:t>
      </w:r>
      <w:r>
        <w:t xml:space="preserve"> </w:t>
      </w:r>
      <w:r>
        <w:t xml:space="preserve">found strong phylogenetic influence in the shape of the pectoral girdle. This point would be excellent for further study within Asterophryinae, as there are high elevation terrestrial species of</w:t>
      </w:r>
      <w:r>
        <w:t xml:space="preserve"> </w:t>
      </w:r>
      <w:r>
        <w:rPr>
          <w:i/>
          <w:iCs/>
        </w:rPr>
        <w:t xml:space="preserve">Oreophryne</w:t>
      </w:r>
      <w:r>
        <w:t xml:space="preserve"> </w:t>
      </w:r>
      <w:r>
        <w:t xml:space="preserve">sensu lato that possess the same pectoral trait</w:t>
      </w:r>
      <w:r>
        <w:t xml:space="preserve"> </w:t>
      </w:r>
      <w:r>
        <w:t xml:space="preserve">(Zweifel et al. 2009)</w:t>
      </w:r>
      <w:r>
        <w:t xml:space="preserve">,as well as a few arboreal species within other genera (</w:t>
      </w:r>
      <w:r>
        <w:rPr>
          <w:i/>
          <w:iCs/>
        </w:rPr>
        <w:t xml:space="preserve">Cophixalus</w:t>
      </w:r>
      <w:r>
        <w:t xml:space="preserve">,</w:t>
      </w:r>
      <w:r>
        <w:t xml:space="preserve"> </w:t>
      </w:r>
      <w:r>
        <w:rPr>
          <w:i/>
          <w:iCs/>
        </w:rPr>
        <w:t xml:space="preserve">Asterophrys</w:t>
      </w:r>
      <w:r>
        <w:t xml:space="preserve">,</w:t>
      </w:r>
      <w:r>
        <w:t xml:space="preserve"> </w:t>
      </w:r>
      <w:r>
        <w:rPr>
          <w:i/>
          <w:iCs/>
        </w:rPr>
        <w:t xml:space="preserve">Xenorhina</w:t>
      </w:r>
      <w:r>
        <w:t xml:space="preserve">) with unknown pectoral morphology.</w:t>
      </w:r>
    </w:p>
    <w:p>
      <w:pPr>
        <w:pStyle w:val="BodyText"/>
      </w:pPr>
      <w:r>
        <w:t xml:space="preserve">We further rexamined additional characters previously used to diangnose</w:t>
      </w:r>
      <w:r>
        <w:t xml:space="preserve"> </w:t>
      </w:r>
      <w:r>
        <w:rPr>
          <w:i/>
          <w:iCs/>
        </w:rPr>
        <w:t xml:space="preserve">Oreophryne</w:t>
      </w:r>
      <w:r>
        <w:t xml:space="preserve"> </w:t>
      </w:r>
      <w:r>
        <w:t xml:space="preserve">as well as characters conventionally used to diagnose species of frogs. We conclude that pectoral girdle connector type</w:t>
      </w:r>
      <w:r>
        <w:t xml:space="preserve"> </w:t>
      </w:r>
      <w:r>
        <w:t xml:space="preserve">(Parker 1934)</w:t>
      </w:r>
      <w:r>
        <w:t xml:space="preserve"> </w:t>
      </w:r>
      <w:r>
        <w:t xml:space="preserve">and relative lengths of the 3rd and 5th toe are uninformative and the degree of toe webbing is subjective. It was previously suggested that species in</w:t>
      </w:r>
      <w:r>
        <w:t xml:space="preserve"> </w:t>
      </w:r>
      <w:r>
        <w:rPr>
          <w:i/>
          <w:iCs/>
        </w:rPr>
        <w:t xml:space="preserve">Oreophryne</w:t>
      </w:r>
      <w:r>
        <w:t xml:space="preserve"> </w:t>
      </w:r>
      <w:r>
        <w:t xml:space="preserve">sensu lato could be divided into two groups based on the type of connection between the procoracoid cartilages and the scapula</w:t>
      </w:r>
      <w:r>
        <w:t xml:space="preserve"> </w:t>
      </w:r>
      <w:r>
        <w:t xml:space="preserve">(Kraus 2013)</w:t>
      </w:r>
      <w:r>
        <w:t xml:space="preserve">, with roughly half possessing a cartilaginous rod extending to the scapula and others a ligamentous connection</w:t>
      </w:r>
      <w:r>
        <w:t xml:space="preserve"> </w:t>
      </w:r>
      <w:r>
        <w:t xml:space="preserve">(Parker 1934)</w:t>
      </w:r>
      <w:r>
        <w:t xml:space="preserve">. However, our phylogenetic evidence shows that these traits readily evolve and are not synapmorphies and therefore not reliable indicators of monophyletic groups. Ligamentous connectors are most common across both genera (Table 4). Of species with toe webbing,</w:t>
      </w:r>
      <w:r>
        <w:t xml:space="preserve"> </w:t>
      </w:r>
      <w:r>
        <w:rPr>
          <w:i/>
          <w:iCs/>
        </w:rPr>
        <w:t xml:space="preserve">Oreophryne</w:t>
      </w:r>
      <w:r>
        <w:t xml:space="preserve"> </w:t>
      </w:r>
      <w:r>
        <w:t xml:space="preserve">tends to be described as having</w:t>
      </w:r>
      <w:r>
        <w:t xml:space="preserve"> </w:t>
      </w:r>
      <w:r>
        <w:t xml:space="preserve">“well webbed”</w:t>
      </w:r>
      <w:r>
        <w:t xml:space="preserve"> </w:t>
      </w:r>
      <w:r>
        <w:t xml:space="preserve">toes compared to</w:t>
      </w:r>
      <w:r>
        <w:t xml:space="preserve"> </w:t>
      </w:r>
      <w:r>
        <w:rPr>
          <w:i/>
          <w:iCs/>
        </w:rPr>
        <w:t xml:space="preserve">Auparoparo</w:t>
      </w:r>
      <w:r>
        <w:t xml:space="preserve">’s</w:t>
      </w:r>
      <w:r>
        <w:t xml:space="preserve"> </w:t>
      </w:r>
      <w:r>
        <w:t xml:space="preserve">“basal”</w:t>
      </w:r>
      <w:r>
        <w:t xml:space="preserve"> </w:t>
      </w:r>
      <w:r>
        <w:t xml:space="preserve">webbing (Table 4). However, intra-specific variability combined with the subjective nature of these descriptions and inconsistency between specific markers when used (</w:t>
      </w:r>
      <w:r>
        <w:t xml:space="preserve">“reaching the penultimate tubercle”</w:t>
      </w:r>
      <w:r>
        <w:t xml:space="preserve">,</w:t>
      </w:r>
      <w:r>
        <w:t xml:space="preserve"> </w:t>
      </w:r>
      <w:r>
        <w:t xml:space="preserve">“webbed 1/3 length of 5th toe”</w:t>
      </w:r>
      <w:r>
        <w:t xml:space="preserve">, etc.), makes this feature difficult to standardize for generic diagnostic use. Many of the morphological traits proposed by</w:t>
      </w:r>
      <w:r>
        <w:t xml:space="preserve"> </w:t>
      </w:r>
      <w:r>
        <w:t xml:space="preserve">Parker (1934)</w:t>
      </w:r>
      <w:r>
        <w:t xml:space="preserve"> </w:t>
      </w:r>
      <w:r>
        <w:t xml:space="preserve">and</w:t>
      </w:r>
      <w:r>
        <w:t xml:space="preserve"> </w:t>
      </w:r>
      <w:r>
        <w:t xml:space="preserve">Zweifel (2003)</w:t>
      </w:r>
      <w:r>
        <w:t xml:space="preserve"> </w:t>
      </w:r>
      <w:r>
        <w:t xml:space="preserve">may in fact be a result of homoplasy to evolutionary pressures imposed by lifestyle or parallel evolution, and while they may prove useful for ecomorphological identification or species diagnoses in combination with other traits, are not informative for generic diagnosis.</w:t>
      </w:r>
    </w:p>
    <w:p>
      <w:pPr>
        <w:pStyle w:val="BodyText"/>
      </w:pPr>
      <w:r>
        <w:t xml:space="preserve">We found only two characters with potential for imperfectly identifying genera: relative digital pad size</w:t>
      </w:r>
      <w:r>
        <w:t xml:space="preserve"> </w:t>
      </w:r>
      <w:r>
        <w:t xml:space="preserve">(Parker 1934; Zweifel 1956)</w:t>
      </w:r>
      <w:r>
        <w:t xml:space="preserve">, and call type</w:t>
      </w:r>
      <w:r>
        <w:t xml:space="preserve"> </w:t>
      </w:r>
      <w:r>
        <w:t xml:space="preserve">(e.g., Kraus 2016)</w:t>
      </w:r>
      <w:r>
        <w:t xml:space="preserve">. We found that the relative widths of the digit pads differs between genera:</w:t>
      </w:r>
      <w:r>
        <w:t xml:space="preserve"> </w:t>
      </w:r>
      <w:r>
        <w:rPr>
          <w:i/>
          <w:iCs/>
        </w:rPr>
        <w:t xml:space="preserve">Auparoparo</w:t>
      </w:r>
      <w:r>
        <w:t xml:space="preserve"> </w:t>
      </w:r>
      <w:r>
        <w:t xml:space="preserve">tends to have visibly larger finger pads in comparison to toe pads, whereas in</w:t>
      </w:r>
      <w:r>
        <w:t xml:space="preserve"> </w:t>
      </w:r>
      <w:r>
        <w:rPr>
          <w:i/>
          <w:iCs/>
        </w:rPr>
        <w:t xml:space="preserve">Oreophryne</w:t>
      </w:r>
      <w:r>
        <w:t xml:space="preserve"> </w:t>
      </w:r>
      <w:r>
        <w:t xml:space="preserve">the finger and toe pads are roughly equal in size, although there is some overlap in finger to toe pad ratio (</w:t>
      </w:r>
      <w:hyperlink w:anchor="tbl-morph">
        <w:r>
          <w:rPr>
            <w:rStyle w:val="Hyperlink"/>
          </w:rPr>
          <w:t xml:space="preserve">Table 3</w:t>
        </w:r>
      </w:hyperlink>
      <w:r>
        <w:t xml:space="preserve">). In some cases,</w:t>
      </w:r>
      <w:r>
        <w:t xml:space="preserve"> </w:t>
      </w:r>
      <w:r>
        <w:rPr>
          <w:i/>
          <w:iCs/>
        </w:rPr>
        <w:t xml:space="preserve">Auparoparo</w:t>
      </w:r>
      <w:r>
        <w:t xml:space="preserve">’s finger pads display T-shapes while the toes are often rounder and narrower. Whether there is any performance advantage in larger finger pads compared to toes is unknown. Furthermore, a handful of high-elevation species not included in our phylogeny have evolved terrestrial or fossorial habits and possess smaller digital pads compared to their presumed arboreal relatives</w:t>
      </w:r>
      <w:r>
        <w:t xml:space="preserve"> </w:t>
      </w:r>
      <w:r>
        <w:t xml:space="preserve">(Zweifel et al. 2009)</w:t>
      </w:r>
      <w:r>
        <w:t xml:space="preserve">.</w:t>
      </w:r>
    </w:p>
    <w:p>
      <w:pPr>
        <w:pStyle w:val="BodyText"/>
      </w:pPr>
      <w:r>
        <w:t xml:space="preserve">Call features are increasingly used for diagnosing species of</w:t>
      </w:r>
      <w:r>
        <w:t xml:space="preserve"> </w:t>
      </w:r>
      <w:r>
        <w:rPr>
          <w:i/>
          <w:iCs/>
        </w:rPr>
        <w:t xml:space="preserve">Oreophryne</w:t>
      </w:r>
      <w:r>
        <w:t xml:space="preserve">, with advertisement call types commonly categorized as rattle, honk, whinny, peeping, or clicking</w:t>
      </w:r>
      <w:r>
        <w:t xml:space="preserve"> </w:t>
      </w:r>
      <w:r>
        <w:t xml:space="preserve">(Kraus 2016)</w:t>
      </w:r>
      <w:r>
        <w:t xml:space="preserve">. We found honk or peep call types are only found in</w:t>
      </w:r>
      <w:r>
        <w:t xml:space="preserve"> </w:t>
      </w:r>
      <w:r>
        <w:rPr>
          <w:i/>
          <w:iCs/>
        </w:rPr>
        <w:t xml:space="preserve">Oroephryne</w:t>
      </w:r>
      <w:r>
        <w:t xml:space="preserve"> </w:t>
      </w:r>
      <w:r>
        <w:t xml:space="preserve">species in our sample, while whinny calls are only found in</w:t>
      </w:r>
      <w:r>
        <w:t xml:space="preserve"> </w:t>
      </w:r>
      <w:r>
        <w:rPr>
          <w:i/>
          <w:iCs/>
        </w:rPr>
        <w:t xml:space="preserve">Auparoparo</w:t>
      </w:r>
      <w:r>
        <w:t xml:space="preserve"> </w:t>
      </w:r>
      <w:r>
        <w:t xml:space="preserve">species, and rattle calls are found in both genera (</w:t>
      </w:r>
      <w:hyperlink w:anchor="tbl-morph">
        <w:r>
          <w:rPr>
            <w:rStyle w:val="Hyperlink"/>
          </w:rPr>
          <w:t xml:space="preserve">Table 3</w:t>
        </w:r>
      </w:hyperlink>
      <w:r>
        <w:t xml:space="preserve">). We note that several authors described species of each genus, thus the difference between genera cannot be attributed to the investigator. However, more complete sampling may add further complexity. As far as we are aware there has been no comprehensive acoustic analysis across</w:t>
      </w:r>
      <w:r>
        <w:t xml:space="preserve"> </w:t>
      </w:r>
      <w:r>
        <w:rPr>
          <w:i/>
          <w:iCs/>
        </w:rPr>
        <w:t xml:space="preserve">Oreophryne</w:t>
      </w:r>
      <w:r>
        <w:t xml:space="preserve"> </w:t>
      </w:r>
      <w:r>
        <w:t xml:space="preserve">sensu lato. More research is needed to explore call diversity both between species and across genera to undertand call evolution and whether there any features that are distinctive of genera.</w:t>
      </w:r>
    </w:p>
    <w:bookmarkEnd w:id="57"/>
    <w:bookmarkStart w:id="58" w:name="geographic-distribution-1"/>
    <w:p>
      <w:pPr>
        <w:pStyle w:val="Heading2"/>
      </w:pPr>
      <w:r>
        <w:t xml:space="preserve">Geographic Distribution</w:t>
      </w:r>
    </w:p>
    <w:p>
      <w:pPr>
        <w:pStyle w:val="FirstParagraph"/>
      </w:pPr>
      <w:r>
        <w:t xml:space="preserve">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geographically centered in the mainland New Guinea.</w:t>
      </w:r>
      <w:r>
        <w:t xml:space="preserve"> </w:t>
      </w:r>
      <w:r>
        <w:rPr>
          <w:i/>
          <w:iCs/>
        </w:rPr>
        <w:t xml:space="preserve">Oreophryne</w:t>
      </w:r>
      <w:r>
        <w:t xml:space="preserve"> </w:t>
      </w:r>
      <w:r>
        <w:t xml:space="preserve">extends southward to the Louisiade Archipelago and northward to the South Philippine Islands</w:t>
      </w:r>
      <w:r>
        <w:t xml:space="preserve"> </w:t>
      </w:r>
      <w:r>
        <w:t xml:space="preserve">(Hill et al. 2023b)</w:t>
      </w:r>
      <w:r>
        <w:t xml:space="preserve">. Addition of the type species</w:t>
      </w:r>
      <w:r>
        <w:t xml:space="preserve"> </w:t>
      </w:r>
      <w:r>
        <w:rPr>
          <w:i/>
          <w:iCs/>
        </w:rPr>
        <w:t xml:space="preserve">Oreophryne senkenbergiana</w:t>
      </w:r>
      <w:r>
        <w:t xml:space="preserve"> </w:t>
      </w:r>
      <w:r>
        <w:t xml:space="preserve">and</w:t>
      </w:r>
      <w:r>
        <w:t xml:space="preserve"> </w:t>
      </w:r>
      <w:r>
        <w:rPr>
          <w:i/>
          <w:iCs/>
        </w:rPr>
        <w:t xml:space="preserve">O. frontifasciata</w:t>
      </w:r>
      <w:r>
        <w:t xml:space="preserve"> </w:t>
      </w:r>
      <w:r>
        <w:t xml:space="preserve">expands the known range eastward to North Maluku, Indonesia (</w:t>
      </w:r>
      <w:hyperlink w:anchor="fig-map">
        <w:r>
          <w:rPr>
            <w:rStyle w:val="Hyperlink"/>
          </w:rPr>
          <w:t xml:space="preserve">Figure 3</w:t>
        </w:r>
      </w:hyperlink>
      <w:r>
        <w:t xml:space="preserve">).</w:t>
      </w:r>
    </w:p>
    <w:p>
      <w:pPr>
        <w:pStyle w:val="BodyText"/>
      </w:pPr>
      <w:r>
        <w:t xml:space="preserve">The known distribution of</w:t>
      </w:r>
      <w:r>
        <w:t xml:space="preserve"> </w:t>
      </w:r>
      <w:r>
        <w:rPr>
          <w:i/>
          <w:iCs/>
        </w:rPr>
        <w:t xml:space="preserve">Auparoparo</w:t>
      </w:r>
      <w:r>
        <w:t xml:space="preserve"> </w:t>
      </w:r>
      <w:r>
        <w:t xml:space="preserve">is mainly clustered in the southeastern tip of mainland Papua New Guinea (along the East Papuan Composite Terrane) and satellite islands with two species in Sulawesi, Indonesia. This suggests the existence of yet undescribed or undiscovered species of</w:t>
      </w:r>
      <w:r>
        <w:t xml:space="preserve"> </w:t>
      </w:r>
      <w:r>
        <w:rPr>
          <w:i/>
          <w:iCs/>
        </w:rPr>
        <w:t xml:space="preserve">Auparoparo</w:t>
      </w:r>
      <w:r>
        <w:t xml:space="preserve"> </w:t>
      </w:r>
      <w:r>
        <w:t xml:space="preserve">with intermediate localities. This geographic range is sure to grow with additional phylogenetic sampling. For example</w:t>
      </w:r>
      <w:r>
        <w:t xml:space="preserve"> </w:t>
      </w:r>
      <w:r>
        <w:rPr>
          <w:i/>
          <w:iCs/>
        </w:rPr>
        <w:t xml:space="preserve">Oreophryne</w:t>
      </w:r>
      <w:r>
        <w:t xml:space="preserve"> </w:t>
      </w:r>
      <w:r>
        <w:t xml:space="preserve">(sensu lato)</w:t>
      </w:r>
      <w:r>
        <w:t xml:space="preserve"> </w:t>
      </w:r>
      <w:r>
        <w:rPr>
          <w:i/>
          <w:iCs/>
        </w:rPr>
        <w:t xml:space="preserve">chlorops</w:t>
      </w:r>
      <w:r>
        <w:t xml:space="preserve"> </w:t>
      </w:r>
      <w:r>
        <w:t xml:space="preserve">(Günther et al. 2023)</w:t>
      </w:r>
      <w:r>
        <w:t xml:space="preserve"> </w:t>
      </w:r>
      <w:r>
        <w:t xml:space="preserve">is a very large (SVL &gt; 40mm) species recently discovered from mid-elevation mountains of the birdʻs neck region of Western Papua with clearly enlarged finger pads relative to toe pads. If confirmed as</w:t>
      </w:r>
      <w:r>
        <w:t xml:space="preserve"> </w:t>
      </w:r>
      <w:r>
        <w:rPr>
          <w:i/>
          <w:iCs/>
        </w:rPr>
        <w:t xml:space="preserve">Auparoparo</w:t>
      </w:r>
      <w:r>
        <w:t xml:space="preserve">, it would significantly expand the range across New Guinea Island.</w:t>
      </w:r>
    </w:p>
    <w:p>
      <w:pPr>
        <w:pStyle w:val="BodyText"/>
      </w:pPr>
      <w:r>
        <w:t xml:space="preserve">We found geographic range overlap between</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at multiple localities: on the mainland along the Mt. Dayman Foothills, at the Mt. Simpson Massif, Mt. Trafalgar, and on the islands of Normanby and Fergusson (both nearshore islands), and Rossel island (hundreds of kilometers away), which presents interesting questions regarding their ecological relationships. For example,</w:t>
      </w:r>
      <w:r>
        <w:t xml:space="preserve"> </w:t>
      </w:r>
      <w:r>
        <w:rPr>
          <w:i/>
          <w:iCs/>
        </w:rPr>
        <w:t xml:space="preserve">Oreophryne inornata</w:t>
      </w:r>
      <w:r>
        <w:t xml:space="preserve"> </w:t>
      </w:r>
      <w:r>
        <w:t xml:space="preserve">and</w:t>
      </w:r>
      <w:r>
        <w:t xml:space="preserve"> </w:t>
      </w:r>
      <w:r>
        <w:rPr>
          <w:i/>
          <w:iCs/>
        </w:rPr>
        <w:t xml:space="preserve">Auparoparo insulana</w:t>
      </w:r>
      <w:r>
        <w:t xml:space="preserve"> </w:t>
      </w:r>
      <w:r>
        <w:t xml:space="preserve">have been collected at the same site (Goodenough Island) and even the same microhabitats</w:t>
      </w:r>
      <w:r>
        <w:t xml:space="preserve"> </w:t>
      </w:r>
      <w:r>
        <w:t xml:space="preserve">(Zweifel 1956)</w:t>
      </w:r>
      <w:r>
        <w:t xml:space="preserve">. How can species coexist in the same niche? And what is the temporal history of each colonization? Are both genera also present in the nearby islands of Normanby and Fergusson (all part of the D’Entrecasteaux Archipelago)? Obtaining additional geographical samples for inclusion in phylogenetic analysis should be a high priority to gain a more complete understanding of the geographic distribution and evolutionary history of both</w:t>
      </w:r>
      <w:r>
        <w:t xml:space="preserve"> </w:t>
      </w:r>
      <w:r>
        <w:rPr>
          <w:i/>
          <w:iCs/>
        </w:rPr>
        <w:t xml:space="preserve">Oreophryne</w:t>
      </w:r>
      <w:r>
        <w:t xml:space="preserve"> </w:t>
      </w:r>
      <w:r>
        <w:t xml:space="preserve">and</w:t>
      </w:r>
      <w:r>
        <w:t xml:space="preserve"> </w:t>
      </w:r>
      <w:r>
        <w:rPr>
          <w:i/>
          <w:iCs/>
        </w:rPr>
        <w:t xml:space="preserve">Auparoparo</w:t>
      </w:r>
      <w:r>
        <w:t xml:space="preserve">.</w:t>
      </w:r>
    </w:p>
    <w:bookmarkEnd w:id="58"/>
    <w:bookmarkStart w:id="59" w:name="phylogenetic-taxonomy"/>
    <w:p>
      <w:pPr>
        <w:pStyle w:val="Heading2"/>
      </w:pPr>
      <w:r>
        <w:t xml:space="preserve">Phylogenetic Taxonomy</w:t>
      </w:r>
    </w:p>
    <w:p>
      <w:pPr>
        <w:pStyle w:val="FirstParagraph"/>
      </w:pPr>
      <w:r>
        <w:t xml:space="preserve">We adopt an explicitly phylogenetic framework for the new taxonomy of the genera</w:t>
      </w:r>
      <w:r>
        <w:t xml:space="preserve"> </w:t>
      </w:r>
      <w:r>
        <w:rPr>
          <w:i/>
          <w:iCs/>
        </w:rPr>
        <w:t xml:space="preserve">Oreophryne</w:t>
      </w:r>
      <w:r>
        <w:t xml:space="preserve"> </w:t>
      </w:r>
      <w:r>
        <w:t xml:space="preserve">and</w:t>
      </w:r>
      <w:r>
        <w:t xml:space="preserve"> </w:t>
      </w:r>
      <w:r>
        <w:rPr>
          <w:i/>
          <w:iCs/>
        </w:rPr>
        <w:t xml:space="preserve">Auparoparo</w:t>
      </w:r>
      <w:r>
        <w:t xml:space="preserve">, and to our knowledge, this is the first time that a phylogenetic taxonomic approach has been applied for any genus of the subfamily Asterophryinae. A nodal definition of genera is advantageous especially because Asterophryinae is an adaptive radiation. While we are increasingly confident that at least 16 genera are indeed monophyletic, nevertheless, very short branch lengths separate many of the genera along the backbone [</w:t>
      </w:r>
      <w:r>
        <w:t xml:space="preserve">Hill et al. (2022)</w:t>
      </w:r>
      <w:r>
        <w:t xml:space="preserve">; this study]. A nodal definition is robust to uncertainty (i.e., rearrangements of order) along the backbone. We define genera as the largest crown clade originating with the most recent common ancestor of the reference species for the clade (e.g., the type species</w:t>
      </w:r>
      <w:r>
        <w:t xml:space="preserve"> </w:t>
      </w:r>
      <w:r>
        <w:rPr>
          <w:i/>
          <w:iCs/>
        </w:rPr>
        <w:t xml:space="preserve">Oreophryne senkenbergiana</w:t>
      </w:r>
      <w:r>
        <w:t xml:space="preserve">), and all extant species of the clade more recently than they do with reference species of other clades that the sample may potentially belong to. The type species, if genetic material is available seems like a reasonable choice for the reference taxon, but for groups such as Asterophryinae, where a number of type species were collected in the 1800ʻs it may not be possible to obtain a genetic sample, as these locations may be uncertain and/or remote, and other proxies may be needed. Nevertheless, is increasingly clear that for</w:t>
      </w:r>
      <w:r>
        <w:t xml:space="preserve"> </w:t>
      </w:r>
      <w:r>
        <w:rPr>
          <w:i/>
          <w:iCs/>
        </w:rPr>
        <w:t xml:space="preserve">Oreophryne</w:t>
      </w:r>
      <w:r>
        <w:t xml:space="preserve"> </w:t>
      </w:r>
      <w:r>
        <w:t xml:space="preserve">and</w:t>
      </w:r>
      <w:r>
        <w:t xml:space="preserve"> </w:t>
      </w:r>
      <w:r>
        <w:rPr>
          <w:i/>
          <w:iCs/>
        </w:rPr>
        <w:t xml:space="preserve">Auparoparo</w:t>
      </w:r>
      <w:r>
        <w:t xml:space="preserve">, a molecular phylogenetic approach is required for final confirmation of taxonomy.</w:t>
      </w:r>
    </w:p>
    <w:p>
      <w:pPr>
        <w:pStyle w:val="BodyText"/>
      </w:pPr>
      <w:r>
        <w:t xml:space="preserve">Furthermore, a phylogenetic definition provides guidance for robust classification. Given the deep histories of the two genera, it is imperative that molecular confirmation of either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include members of the other clade as an outgroup, but also members of</w:t>
      </w:r>
      <w:r>
        <w:t xml:space="preserve"> </w:t>
      </w:r>
      <w:r>
        <w:rPr>
          <w:i/>
          <w:iCs/>
        </w:rPr>
        <w:t xml:space="preserve">Cophixalus</w:t>
      </w:r>
      <w:r>
        <w:t xml:space="preserve">,</w:t>
      </w:r>
      <w:r>
        <w:t xml:space="preserve"> </w:t>
      </w:r>
      <w:r>
        <w:rPr>
          <w:i/>
          <w:iCs/>
        </w:rPr>
        <w:t xml:space="preserve">Paedophryne</w:t>
      </w:r>
      <w:r>
        <w:t xml:space="preserve">, or other closest sister genera as outgroups to clearly resolve whether the sample shares an MRCA more closely with</w:t>
      </w:r>
      <w:r>
        <w:t xml:space="preserve"> </w:t>
      </w:r>
      <w:r>
        <w:rPr>
          <w:i/>
          <w:iCs/>
        </w:rPr>
        <w:t xml:space="preserve">Oreophryne</w:t>
      </w:r>
      <w:r>
        <w:t xml:space="preserve"> </w:t>
      </w:r>
      <w:r>
        <w:t xml:space="preserve">or</w:t>
      </w:r>
      <w:r>
        <w:t xml:space="preserve"> </w:t>
      </w:r>
      <w:r>
        <w:rPr>
          <w:i/>
          <w:iCs/>
        </w:rPr>
        <w:t xml:space="preserve">Auparoaro</w:t>
      </w:r>
      <w:r>
        <w:t xml:space="preserve">. The ability to resolve the</w:t>
      </w:r>
      <w:r>
        <w:t xml:space="preserve"> </w:t>
      </w:r>
      <w:r>
        <w:t xml:space="preserve">“boundaries”</w:t>
      </w:r>
      <w:r>
        <w:t xml:space="preserve"> </w:t>
      </w:r>
      <w:r>
        <w:t xml:space="preserve">of the monophyletic groups requires it. An additional difficulty here is that within each genus, there are subclades with deep histories, so care must be taken to decisively demonstrate monophyly. For example, a phylogenetic analysis with only</w:t>
      </w:r>
      <w:r>
        <w:t xml:space="preserve"> </w:t>
      </w:r>
      <w:r>
        <w:rPr>
          <w:i/>
          <w:iCs/>
        </w:rPr>
        <w:t xml:space="preserve">Oreophryne</w:t>
      </w:r>
      <w:r>
        <w:t xml:space="preserve"> </w:t>
      </w:r>
      <w:r>
        <w:t xml:space="preserve">sensu lato and outgroups to Asterophryinae, will show grouping of</w:t>
      </w:r>
      <w:r>
        <w:t xml:space="preserve"> </w:t>
      </w:r>
      <w:r>
        <w:rPr>
          <w:i/>
          <w:iCs/>
        </w:rPr>
        <w:t xml:space="preserve">Oreophryne</w:t>
      </w:r>
      <w:r>
        <w:t xml:space="preserve"> </w:t>
      </w:r>
      <w:r>
        <w:t xml:space="preserve">and</w:t>
      </w:r>
      <w:r>
        <w:t xml:space="preserve"> </w:t>
      </w:r>
      <w:r>
        <w:rPr>
          <w:i/>
          <w:iCs/>
        </w:rPr>
        <w:t xml:space="preserve">Auparoparo</w:t>
      </w:r>
      <w:r>
        <w:t xml:space="preserve">, because of lack of intervening phylogenetic history. Similarly, an analysis with only</w:t>
      </w:r>
      <w:r>
        <w:t xml:space="preserve"> </w:t>
      </w:r>
      <w:r>
        <w:rPr>
          <w:i/>
          <w:iCs/>
        </w:rPr>
        <w:t xml:space="preserve">Oreophryne</w:t>
      </w:r>
      <w:r>
        <w:t xml:space="preserve"> </w:t>
      </w:r>
      <w:r>
        <w:t xml:space="preserve">sensu lato with a member of one of the younger genera, say,</w:t>
      </w:r>
      <w:r>
        <w:t xml:space="preserve"> </w:t>
      </w:r>
      <w:r>
        <w:rPr>
          <w:i/>
          <w:iCs/>
        </w:rPr>
        <w:t xml:space="preserve">Hylophorbus</w:t>
      </w:r>
      <w:r>
        <w:t xml:space="preserve">, will give a similar misleading result because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equally distant from</w:t>
      </w:r>
      <w:r>
        <w:t xml:space="preserve"> </w:t>
      </w:r>
      <w:r>
        <w:rPr>
          <w:i/>
          <w:iCs/>
        </w:rPr>
        <w:t xml:space="preserve">Hylophorbus</w:t>
      </w:r>
      <w:r>
        <w:t xml:space="preserve">. Clearly a greater taxonomic representation is always better, but in this case, care is required to avoid a misleading result. This study furthermore highlights the importance of taxonomic sampling for robust phylogenetic results. Developing an orderly taxonomy in a clade with over 350 named species (and an estimated 40% more yet to be described species currently in museum collections) would be that much more challenging without the benefit of generic diagnoses in this interesting group.</w:t>
      </w:r>
    </w:p>
    <w:p>
      <w:pPr>
        <w:pStyle w:val="BodyText"/>
      </w:pPr>
      <w:r>
        <w:t xml:space="preserve">Clarifying the generic structure also facilitates appreciation for the patterns of diversification: a tendency toward niche conservatism within genera, ecological and generic diversification occurring early in the history of the subfamily</w:t>
      </w:r>
      <w:r>
        <w:t xml:space="preserve"> </w:t>
      </w:r>
      <w:r>
        <w:t xml:space="preserve">(Hill et al. 2022)</w:t>
      </w:r>
      <w:r>
        <w:t xml:space="preserve">; and furthermore the very interesting biogeographical history of simultaneous dispersal of multiple genera to offshore islands</w:t>
      </w:r>
      <w:r>
        <w:t xml:space="preserve"> </w:t>
      </w:r>
      <w:r>
        <w:t xml:space="preserve">(Hill et al. 2022, 2023a)</w:t>
      </w:r>
      <w:r>
        <w:t xml:space="preserve"> </w:t>
      </w:r>
      <w:r>
        <w:t xml:space="preserve">revealing the very strong influence of plate tectonics for explaining the historical dispersal patterns of this group. Finally, it without stability in the naming of genera and the independent histories embodied by each, it becomes much more difficult to appreciate that the two clades represented by</w:t>
      </w:r>
      <w:r>
        <w:t xml:space="preserve"> </w:t>
      </w:r>
      <w:r>
        <w:rPr>
          <w:i/>
          <w:iCs/>
        </w:rPr>
        <w:t xml:space="preserve">Oreophyne</w:t>
      </w:r>
      <w:r>
        <w:t xml:space="preserve"> </w:t>
      </w:r>
      <w:r>
        <w:t xml:space="preserve">and</w:t>
      </w:r>
      <w:r>
        <w:t xml:space="preserve"> </w:t>
      </w:r>
      <w:r>
        <w:rPr>
          <w:i/>
          <w:iCs/>
        </w:rPr>
        <w:t xml:space="preserve">Auparoparo</w:t>
      </w:r>
      <w:r>
        <w:t xml:space="preserve"> </w:t>
      </w:r>
      <w:r>
        <w:t xml:space="preserve">have independently evolved, that there are two independent arboreal clades, and would make it very difficult to appreciate the impressive convergence or paralleism embodied by these speciose and successful genera. An accurate and informative taxonomy serves to advance our understanding of this group and the very interesting evolutionary insights that they embody leading to further discovery.</w:t>
      </w:r>
    </w:p>
    <w:p>
      <w:pPr>
        <w:pStyle w:val="BodyText"/>
      </w:pPr>
      <w:r>
        <w:t xml:space="preserve">Lastly, we emphasize that future naming of species, genera, and higher classifications should always seek to recognize the language of the indigenous stewards of the land and ecosystem from which they were discovered</w:t>
      </w:r>
      <w:r>
        <w:t xml:space="preserve"> </w:t>
      </w:r>
      <w:r>
        <w:t xml:space="preserve">(Gillman and Wright 2020)</w:t>
      </w:r>
      <w:r>
        <w:t xml:space="preserve">. This is especially true of Asterophryinae frogs, whose awe-inspiring diversity mirrors the rich cultural beauty and historical complexity of Papuan people.</w:t>
      </w:r>
    </w:p>
    <w:bookmarkEnd w:id="59"/>
    <w:bookmarkEnd w:id="60"/>
    <w:bookmarkStart w:id="61" w:name="supplementary-table-1"/>
    <w:p>
      <w:pPr>
        <w:pStyle w:val="Heading1"/>
      </w:pPr>
      <w:r>
        <w:t xml:space="preserve">Supplementary Table 1</w:t>
      </w:r>
    </w:p>
    <w:p>
      <w:pPr>
        <w:pStyle w:val="FirstParagraph"/>
      </w:pPr>
      <w:r>
        <w:t xml:space="preserve">Named species of Oreophryne sensu lato for which we do not have genetic material and cannot classify into Oreophryne vs. Auparoparo.</w:t>
      </w:r>
    </w:p>
    <w:p>
      <w:pPr>
        <w:pStyle w:val="BodyText"/>
      </w:pPr>
      <w:r>
        <w:t xml:space="preserve">Oreophryne albitympanum (Günther, Richards, and Tjaturadi, 2018)</w:t>
      </w:r>
      <w:r>
        <w:br/>
      </w:r>
      <w:r>
        <w:t xml:space="preserve">Oreophryne albomaculata (Günther, Richards, and Dahl, 2014)</w:t>
      </w:r>
      <w:r>
        <w:br/>
      </w:r>
      <w:r>
        <w:t xml:space="preserve">Oreophryne albopunctata (Van Kampen, 1909)</w:t>
      </w:r>
      <w:r>
        <w:br/>
      </w:r>
      <w:r>
        <w:t xml:space="preserve">Oreophryne alticola Zweifel, Cogger, and Richards, 2005</w:t>
      </w:r>
      <w:r>
        <w:br/>
      </w:r>
      <w:r>
        <w:t xml:space="preserve">Oreophryne ampelos Kraus, 2011</w:t>
      </w:r>
      <w:r>
        <w:br/>
      </w:r>
      <w:r>
        <w:t xml:space="preserve">Oreophryne anser Kraus, 2016</w:t>
      </w:r>
      <w:r>
        <w:br/>
      </w:r>
      <w:r>
        <w:t xml:space="preserve">Oreophryne anthonyi (Boulenger, 1897)</w:t>
      </w:r>
      <w:r>
        <w:br/>
      </w:r>
      <w:r>
        <w:t xml:space="preserve">Oreophryne asplenicola Günther, 2003</w:t>
      </w:r>
      <w:r>
        <w:br/>
      </w:r>
      <w:r>
        <w:t xml:space="preserve">Oreophryne atrigularis Günther, Richards, and Iskandar, 2001</w:t>
      </w:r>
      <w:r>
        <w:br/>
      </w:r>
      <w:r>
        <w:t xml:space="preserve">Oreophryne banshee Kraus, 2016</w:t>
      </w:r>
      <w:r>
        <w:br/>
      </w:r>
      <w:r>
        <w:t xml:space="preserve">Oreophryne brevicrus Zweifel, 1956</w:t>
      </w:r>
      <w:r>
        <w:br/>
      </w:r>
      <w:r>
        <w:t xml:space="preserve">Oreophryne brevirostris Zweifel, Cogger, and Richards, 2005</w:t>
      </w:r>
      <w:r>
        <w:br/>
      </w:r>
      <w:r>
        <w:t xml:space="preserve">Oreophryne celebensis (Müller, 1894)</w:t>
      </w:r>
      <w:r>
        <w:br/>
      </w:r>
      <w:r>
        <w:t xml:space="preserve">Oreophryne choerophrynoides Günther, 2015</w:t>
      </w:r>
      <w:r>
        <w:br/>
      </w:r>
      <w:r>
        <w:t xml:space="preserve">Oreophryne chlorops Günther, Iskandar, and Richards, 2023</w:t>
      </w:r>
      <w:r>
        <w:br/>
      </w:r>
      <w:r>
        <w:t xml:space="preserve">Oreophryne clamata Günther, 2003</w:t>
      </w:r>
      <w:r>
        <w:br/>
      </w:r>
      <w:r>
        <w:t xml:space="preserve">Oreophryne crucifer (Van Kampen, 1913)</w:t>
      </w:r>
      <w:r>
        <w:br/>
      </w:r>
      <w:r>
        <w:t xml:space="preserve">Oreophryne curator Günther, Richards, and Dahl, 2014</w:t>
      </w:r>
      <w:r>
        <w:br/>
      </w:r>
      <w:r>
        <w:t xml:space="preserve">Oreophryne flava Parker, 1934</w:t>
      </w:r>
      <w:r>
        <w:br/>
      </w:r>
      <w:r>
        <w:t xml:space="preserve">Oreophryne flavomaculata Günther and Richards, 2016</w:t>
      </w:r>
      <w:r>
        <w:br/>
      </w:r>
      <w:r>
        <w:t xml:space="preserve">Oreophryne furu Günther, Richards, Tjaturadi, and Iskandar, 2009</w:t>
      </w:r>
      <w:r>
        <w:br/>
      </w:r>
      <w:r>
        <w:t xml:space="preserve">Oreophryne geminus Zweifel, Cogger, and Richards, 2005</w:t>
      </w:r>
      <w:r>
        <w:br/>
      </w:r>
      <w:r>
        <w:t xml:space="preserve">Oreophryne habbemensis Zweifel, Cogger, and Richards, 2005</w:t>
      </w:r>
      <w:r>
        <w:br/>
      </w:r>
      <w:r>
        <w:t xml:space="preserve">Oreophryne hypsiops Zweifel, Menzies, and Price, 2003</w:t>
      </w:r>
      <w:r>
        <w:br/>
      </w:r>
      <w:r>
        <w:t xml:space="preserve">Oreophryne idenburgensis Zweifel, 1956</w:t>
      </w:r>
      <w:r>
        <w:br/>
      </w:r>
      <w:r>
        <w:t xml:space="preserve">Oreophryne jeffersoniana Dunn, 1928</w:t>
      </w:r>
      <w:r>
        <w:br/>
      </w:r>
      <w:r>
        <w:t xml:space="preserve">Oreophryne kampeni Parker, 1934</w:t>
      </w:r>
      <w:r>
        <w:br/>
      </w:r>
      <w:r>
        <w:t xml:space="preserve">Oreophryne kapisa Günther, 2003</w:t>
      </w:r>
      <w:r>
        <w:br/>
      </w:r>
      <w:r>
        <w:t xml:space="preserve">Oreophryne mertoni (Roux, 1910)</w:t>
      </w:r>
      <w:r>
        <w:br/>
      </w:r>
      <w:r>
        <w:t xml:space="preserve">Oreophryne minuta Richards and Iskandar, 2000</w:t>
      </w:r>
      <w:r>
        <w:br/>
      </w:r>
      <w:r>
        <w:t xml:space="preserve">Oreophryne monticola (Boulenger, 1897)</w:t>
      </w:r>
      <w:r>
        <w:br/>
      </w:r>
      <w:r>
        <w:t xml:space="preserve">Oreophryne nicolasi Richards and Günther, 2019</w:t>
      </w:r>
      <w:r>
        <w:br/>
      </w:r>
      <w:r>
        <w:t xml:space="preserve">Oreophryne oviprotector Günther, Richards, Bickford, and Johnston, 2012</w:t>
      </w:r>
      <w:r>
        <w:br/>
      </w:r>
      <w:r>
        <w:t xml:space="preserve">Oreophryne pseudasplenicola Günther, 2003</w:t>
      </w:r>
      <w:r>
        <w:br/>
      </w:r>
      <w:r>
        <w:t xml:space="preserve">Oreophryne pseudunicolor Günther and Richards, 2016</w:t>
      </w:r>
      <w:r>
        <w:br/>
      </w:r>
      <w:r>
        <w:t xml:space="preserve">Oreophryne roedeli Günther, 2015</w:t>
      </w:r>
      <w:r>
        <w:br/>
      </w:r>
      <w:r>
        <w:t xml:space="preserve">Oreophryne rookmaakeri Mertens, 1927</w:t>
      </w:r>
      <w:r>
        <w:br/>
      </w:r>
      <w:r>
        <w:t xml:space="preserve">Oreophryne riyantoi Putri, Trilaksono, Kurniati, Engilis, and Hamidy, 2023</w:t>
      </w:r>
      <w:r>
        <w:br/>
      </w:r>
      <w:r>
        <w:t xml:space="preserve">Oreophryne sibilans Günther, 2003</w:t>
      </w:r>
      <w:r>
        <w:br/>
      </w:r>
      <w:r>
        <w:t xml:space="preserve">Oreophryne streiffeleri Günther and Richards, 2012</w:t>
      </w:r>
      <w:r>
        <w:br/>
      </w:r>
      <w:r>
        <w:t xml:space="preserve">Oreophryne terrestris Zweifel, Cogger, and Richards, 2005</w:t>
      </w:r>
      <w:r>
        <w:br/>
      </w:r>
      <w:r>
        <w:t xml:space="preserve">Oreophryne unicolor Günther, 2003</w:t>
      </w:r>
      <w:r>
        <w:br/>
      </w:r>
      <w:r>
        <w:t xml:space="preserve">Oreophryne waira Günther, 2003</w:t>
      </w:r>
      <w:r>
        <w:br/>
      </w:r>
      <w:r>
        <w:t xml:space="preserve">Oreophryne wapoga Günther, Richards, and Iskandar, 2001</w:t>
      </w:r>
      <w:r>
        <w:br/>
      </w:r>
      <w:r>
        <w:t xml:space="preserve">Oreophryne wolterstorffi (Werner, 1901)</w:t>
      </w:r>
      <w:r>
        <w:br/>
      </w:r>
      <w:r>
        <w:t xml:space="preserve">Oreophryne zimmeri Ahl, 1933</w:t>
      </w:r>
    </w:p>
    <w:bookmarkEnd w:id="61"/>
    <w:bookmarkStart w:id="156" w:name="citations"/>
    <w:p>
      <w:pPr>
        <w:pStyle w:val="Heading1"/>
      </w:pPr>
      <w:r>
        <w:t xml:space="preserve">Citations</w:t>
      </w:r>
    </w:p>
    <w:bookmarkStart w:id="155" w:name="refs"/>
    <w:bookmarkStart w:id="62" w:name="ref-Ahl:1933"/>
    <w:p>
      <w:pPr>
        <w:pStyle w:val="Bibliography"/>
      </w:pPr>
      <w:r>
        <w:t xml:space="preserve">Ahl, E. 1933. Ergebnisse der celebes-und halmaheira-expedition heinrich 1930–32. Mitteilungen aus dem Zoologischen Museum in Berlin 19:577–583.</w:t>
      </w:r>
    </w:p>
    <w:bookmarkEnd w:id="62"/>
    <w:bookmarkStart w:id="64" w:name="ref-Alcala:1986"/>
    <w:p>
      <w:pPr>
        <w:pStyle w:val="Bibliography"/>
      </w:pPr>
      <w:r>
        <w:t xml:space="preserve">Alcala, A. C. 1986.</w:t>
      </w:r>
      <w:r>
        <w:t xml:space="preserve"> </w:t>
      </w:r>
      <w:hyperlink r:id="rId63">
        <w:r>
          <w:rPr>
            <w:rStyle w:val="Hyperlink"/>
          </w:rPr>
          <w:t xml:space="preserve">Guide to philippine flora and fauna: Amphibians and reptiles</w:t>
        </w:r>
      </w:hyperlink>
      <w:r>
        <w:t xml:space="preserve">. Natural Resources Management Center, Ministry of Natural Resources; University of the Philippines.</w:t>
      </w:r>
    </w:p>
    <w:bookmarkEnd w:id="64"/>
    <w:bookmarkStart w:id="66" w:name="ref-Balinton:2015"/>
    <w:p>
      <w:pPr>
        <w:pStyle w:val="Bibliography"/>
      </w:pPr>
      <w:r>
        <w:t xml:space="preserve">Balinton, R. B., and C. A. de la Seña. 2015.</w:t>
      </w:r>
      <w:r>
        <w:t xml:space="preserve"> </w:t>
      </w:r>
      <w:hyperlink r:id="rId65">
        <w:r>
          <w:rPr>
            <w:rStyle w:val="Hyperlink"/>
          </w:rPr>
          <w:t xml:space="preserve">Karyotype of a rare minute frog, oreophryne cf. Anulata (anura: Microhylidae), in agusan marsh, mindanao, philippines</w:t>
        </w:r>
      </w:hyperlink>
      <w:r>
        <w:t xml:space="preserve">. The Herpetological Bulletin.</w:t>
      </w:r>
    </w:p>
    <w:bookmarkEnd w:id="66"/>
    <w:bookmarkStart w:id="67" w:name="ref-Boettger:1895"/>
    <w:p>
      <w:pPr>
        <w:pStyle w:val="Bibliography"/>
      </w:pPr>
      <w:r>
        <w:t xml:space="preserve">Boettger, O. 1895. Liste der reptilien und batrachier der insel halmaheira nach den sammlungen prof. Dr. W. K</w:t>
      </w:r>
      <w:r>
        <w:t xml:space="preserve">ü</w:t>
      </w:r>
      <w:r>
        <w:t xml:space="preserve">kenthal’s. Zoologischer Anzeiger 18:129–138.</w:t>
      </w:r>
    </w:p>
    <w:bookmarkEnd w:id="67"/>
    <w:bookmarkStart w:id="69" w:name="ref-Boulenger:1896"/>
    <w:p>
      <w:pPr>
        <w:pStyle w:val="Bibliography"/>
      </w:pPr>
      <w:r>
        <w:t xml:space="preserve">Boulenger, G. A. 1896.</w:t>
      </w:r>
      <w:r>
        <w:t xml:space="preserve"> </w:t>
      </w:r>
      <w:hyperlink r:id="rId68">
        <w:r>
          <w:rPr>
            <w:rStyle w:val="Hyperlink"/>
          </w:rPr>
          <w:t xml:space="preserve">Descriptions of new reptiles and batrachians obtained by mr. Alfred everett in celebes and jampea</w:t>
        </w:r>
      </w:hyperlink>
      <w:r>
        <w:t xml:space="preserve">. The Annals and magazine of natural history; zoology, botany, and geology, Series 6 18:62–64.</w:t>
      </w:r>
    </w:p>
    <w:bookmarkEnd w:id="69"/>
    <w:bookmarkStart w:id="71" w:name="ref-Brown:2015"/>
    <w:p>
      <w:pPr>
        <w:pStyle w:val="Bibliography"/>
      </w:pPr>
      <w:r>
        <w:t xml:space="preserve">Brown, R. M., C. D. Siler, S. J. Richards, A. C. Diesmos, and D. C. Cannatella. 2015.</w:t>
      </w:r>
      <w:r>
        <w:t xml:space="preserve"> </w:t>
      </w:r>
      <w:hyperlink r:id="rId70">
        <w:r>
          <w:rPr>
            <w:rStyle w:val="Hyperlink"/>
          </w:rPr>
          <w:t xml:space="preserve">Multilocus phylogeny and a new classification for southeast asian and melanesian forest frogs (family ceratobatrachidae)</w:t>
        </w:r>
      </w:hyperlink>
      <w:r>
        <w:t xml:space="preserve">. Zoological Journal of the Linnean Society 174:130–168.</w:t>
      </w:r>
    </w:p>
    <w:bookmarkEnd w:id="71"/>
    <w:bookmarkStart w:id="73" w:name="ref-deQueiroz:2020"/>
    <w:p>
      <w:pPr>
        <w:pStyle w:val="Bibliography"/>
      </w:pPr>
      <w:r>
        <w:t xml:space="preserve">de Queiroz, K., and P. Cantino. 2020.</w:t>
      </w:r>
      <w:r>
        <w:t xml:space="preserve"> </w:t>
      </w:r>
      <w:hyperlink r:id="rId72">
        <w:r>
          <w:rPr>
            <w:rStyle w:val="Hyperlink"/>
          </w:rPr>
          <w:t xml:space="preserve">International code of phylogenetic nomenclature (PhyloCode)</w:t>
        </w:r>
      </w:hyperlink>
      <w:r>
        <w:t xml:space="preserve">. 1st ed. CRC Press.</w:t>
      </w:r>
    </w:p>
    <w:bookmarkEnd w:id="73"/>
    <w:bookmarkStart w:id="75" w:name="ref-deQueiroz:1992"/>
    <w:p>
      <w:pPr>
        <w:pStyle w:val="Bibliography"/>
      </w:pPr>
      <w:r>
        <w:t xml:space="preserve">de Queiroz, K., and J. Gauthier. 1992.</w:t>
      </w:r>
      <w:r>
        <w:t xml:space="preserve"> </w:t>
      </w:r>
      <w:hyperlink r:id="rId74">
        <w:r>
          <w:rPr>
            <w:rStyle w:val="Hyperlink"/>
          </w:rPr>
          <w:t xml:space="preserve">Phylogenetic taxonomy</w:t>
        </w:r>
      </w:hyperlink>
      <w:r>
        <w:t xml:space="preserve">.</w:t>
      </w:r>
      <w:r>
        <w:t xml:space="preserve"> </w:t>
      </w:r>
      <w:r>
        <w:t xml:space="preserve">Annual Review of Ecology, Evolution, and Systematics</w:t>
      </w:r>
      <w:r>
        <w:t xml:space="preserve"> </w:t>
      </w:r>
      <w:r>
        <w:t xml:space="preserve">23:449–480.</w:t>
      </w:r>
    </w:p>
    <w:bookmarkEnd w:id="75"/>
    <w:bookmarkStart w:id="77" w:name="ref-deQueiroz:1990"/>
    <w:p>
      <w:pPr>
        <w:pStyle w:val="Bibliography"/>
      </w:pPr>
      <w:r>
        <w:t xml:space="preserve">de Queiroz, K., and J. Gauthier. 1990.</w:t>
      </w:r>
      <w:r>
        <w:t xml:space="preserve"> </w:t>
      </w:r>
      <w:hyperlink r:id="rId76">
        <w:r>
          <w:rPr>
            <w:rStyle w:val="Hyperlink"/>
          </w:rPr>
          <w:t xml:space="preserve">Phylogeny as a central principle in taxonomy - phylogenetic definitions of taxon names</w:t>
        </w:r>
      </w:hyperlink>
      <w:r>
        <w:t xml:space="preserve">. Systematic Zoology 39:307–322.</w:t>
      </w:r>
    </w:p>
    <w:bookmarkEnd w:id="77"/>
    <w:bookmarkStart w:id="79" w:name="ref-deQueiroz:1994"/>
    <w:p>
      <w:pPr>
        <w:pStyle w:val="Bibliography"/>
      </w:pPr>
      <w:r>
        <w:t xml:space="preserve">de Queiroz, K., and J. Gauthier. 1994.</w:t>
      </w:r>
      <w:r>
        <w:t xml:space="preserve"> </w:t>
      </w:r>
      <w:hyperlink r:id="rId78">
        <w:r>
          <w:rPr>
            <w:rStyle w:val="Hyperlink"/>
          </w:rPr>
          <w:t xml:space="preserve">Toward a phylogenetic system of biological nomenclature</w:t>
        </w:r>
      </w:hyperlink>
      <w:r>
        <w:t xml:space="preserve">.</w:t>
      </w:r>
      <w:r>
        <w:t xml:space="preserve"> </w:t>
      </w:r>
      <w:r>
        <w:t xml:space="preserve">Trends in Ecology &amp; Evolution</w:t>
      </w:r>
      <w:r>
        <w:t xml:space="preserve"> </w:t>
      </w:r>
      <w:r>
        <w:t xml:space="preserve">9:27–31.</w:t>
      </w:r>
    </w:p>
    <w:bookmarkEnd w:id="79"/>
    <w:bookmarkStart w:id="81" w:name="ref-deSa:2012"/>
    <w:p>
      <w:pPr>
        <w:pStyle w:val="Bibliography"/>
      </w:pPr>
      <w:r>
        <w:t xml:space="preserve">de Sa, R. O., J. W. Streicher, R. Sekonyela, M. C. Forlani, S. P. Loader, E. Greenbaum, S. Richards, and C. F. B. Haddad. 2012.</w:t>
      </w:r>
      <w:r>
        <w:t xml:space="preserve"> </w:t>
      </w:r>
      <w:hyperlink r:id="rId80">
        <w:r>
          <w:rPr>
            <w:rStyle w:val="Hyperlink"/>
          </w:rPr>
          <w:t xml:space="preserve">Molecular phylogeny of microhylid frogs (Anura: Microhylidae) with emphasis on relationships among New World genera</w:t>
        </w:r>
      </w:hyperlink>
      <w:r>
        <w:t xml:space="preserve">.</w:t>
      </w:r>
      <w:r>
        <w:t xml:space="preserve"> </w:t>
      </w:r>
      <w:r>
        <w:t xml:space="preserve">BMC Evolutionary Biology</w:t>
      </w:r>
      <w:r>
        <w:t xml:space="preserve"> </w:t>
      </w:r>
      <w:r>
        <w:t xml:space="preserve">12</w:t>
      </w:r>
      <w:r>
        <w:t xml:space="preserve">.</w:t>
      </w:r>
    </w:p>
    <w:bookmarkEnd w:id="81"/>
    <w:bookmarkStart w:id="83" w:name="ref-Edgar:2004"/>
    <w:p>
      <w:pPr>
        <w:pStyle w:val="Bibliography"/>
      </w:pPr>
      <w:r>
        <w:t xml:space="preserve">Edgar, R. C. 2004.</w:t>
      </w:r>
      <w:r>
        <w:t xml:space="preserve"> </w:t>
      </w:r>
      <w:hyperlink r:id="rId82">
        <w:r>
          <w:rPr>
            <w:rStyle w:val="Hyperlink"/>
          </w:rPr>
          <w:t xml:space="preserve">Muscle: A multiple sequence alignment method with reduced time and space complexity</w:t>
        </w:r>
      </w:hyperlink>
      <w:r>
        <w:t xml:space="preserve">. BMC Bioinformatics 5:113.</w:t>
      </w:r>
    </w:p>
    <w:bookmarkEnd w:id="83"/>
    <w:bookmarkStart w:id="85" w:name="ref-Engelkes:2020"/>
    <w:p>
      <w:pPr>
        <w:pStyle w:val="Bibliography"/>
      </w:pPr>
      <w:r>
        <w:t xml:space="preserve">Engelkes, K., L. Kath, T. Kleinteich, J. U. Hammel, A. Beerlink, and A. Haas. 2020.</w:t>
      </w:r>
      <w:r>
        <w:t xml:space="preserve"> </w:t>
      </w:r>
      <w:hyperlink r:id="rId84">
        <w:r>
          <w:rPr>
            <w:rStyle w:val="Hyperlink"/>
          </w:rPr>
          <w:t xml:space="preserve">Ecomorphology of the pectoral girdle in anurans (amphibia, anura): Shape diversity and biomechanical considerations</w:t>
        </w:r>
      </w:hyperlink>
      <w:r>
        <w:t xml:space="preserve">. ECOLOGY AND EVOLUTION 10:11467–11487.</w:t>
      </w:r>
    </w:p>
    <w:bookmarkEnd w:id="85"/>
    <w:bookmarkStart w:id="87" w:name="ref-Frost:2024"/>
    <w:p>
      <w:pPr>
        <w:pStyle w:val="Bibliography"/>
      </w:pPr>
      <w:r>
        <w:t xml:space="preserve">Frost, D. R. 2024.</w:t>
      </w:r>
      <w:r>
        <w:t xml:space="preserve"> </w:t>
      </w:r>
      <w:hyperlink r:id="rId86">
        <w:r>
          <w:rPr>
            <w:rStyle w:val="Hyperlink"/>
          </w:rPr>
          <w:t xml:space="preserve">Amphibian species of the world: An online reference. Version 6.2</w:t>
        </w:r>
      </w:hyperlink>
      <w:r>
        <w:t xml:space="preserve">.</w:t>
      </w:r>
    </w:p>
    <w:bookmarkEnd w:id="87"/>
    <w:bookmarkStart w:id="89" w:name="ref-Gillman:2020"/>
    <w:p>
      <w:pPr>
        <w:pStyle w:val="Bibliography"/>
      </w:pPr>
      <w:r>
        <w:t xml:space="preserve">Gillman, L. N., and S. D. Wright. 2020.</w:t>
      </w:r>
      <w:r>
        <w:t xml:space="preserve"> </w:t>
      </w:r>
      <w:hyperlink r:id="rId88">
        <w:r>
          <w:rPr>
            <w:rStyle w:val="Hyperlink"/>
          </w:rPr>
          <w:t xml:space="preserve">Restoring indigenous names in taxonomy</w:t>
        </w:r>
      </w:hyperlink>
      <w:r>
        <w:t xml:space="preserve">. Communications Biology 3:609.</w:t>
      </w:r>
    </w:p>
    <w:bookmarkEnd w:id="89"/>
    <w:bookmarkStart w:id="91" w:name="ref-Green:1986"/>
    <w:p>
      <w:pPr>
        <w:pStyle w:val="Bibliography"/>
      </w:pPr>
      <w:r>
        <w:t xml:space="preserve">Green, D., and M. Simon. 1986.</w:t>
      </w:r>
      <w:r>
        <w:t xml:space="preserve"> </w:t>
      </w:r>
      <w:hyperlink r:id="rId90">
        <w:r>
          <w:rPr>
            <w:rStyle w:val="Hyperlink"/>
          </w:rPr>
          <w:t xml:space="preserve">Digital microstructure in ecologically diverse sympatric microhylid frogs, genera cophixalus and sphenophryne (amphibia, anura), from papua-new-guinea</w:t>
        </w:r>
      </w:hyperlink>
      <w:r>
        <w:t xml:space="preserve">. Australian Journal of Zoology 34:135–145.</w:t>
      </w:r>
    </w:p>
    <w:bookmarkEnd w:id="91"/>
    <w:bookmarkStart w:id="93" w:name="ref-Gunther:2023"/>
    <w:p>
      <w:pPr>
        <w:pStyle w:val="Bibliography"/>
      </w:pPr>
      <w:r>
        <w:t xml:space="preserve">Günther, R., D. T. Iskandar, and S. J. Richards. 2023.</w:t>
      </w:r>
      <w:r>
        <w:t xml:space="preserve"> </w:t>
      </w:r>
      <w:hyperlink r:id="rId92">
        <w:r>
          <w:rPr>
            <w:rStyle w:val="Hyperlink"/>
          </w:rPr>
          <w:t xml:space="preserve">A new large</w:t>
        </w:r>
        <w:r>
          <w:rPr>
            <w:rStyle w:val="Hyperlink"/>
          </w:rPr>
          <w:t xml:space="preserve"> </w:t>
        </w:r>
        <w:r>
          <w:rPr>
            <w:rStyle w:val="Hyperlink"/>
            <w:i/>
            <w:iCs/>
          </w:rPr>
          <w:t xml:space="preserve">oreophryne</w:t>
        </w:r>
        <w:r>
          <w:rPr>
            <w:rStyle w:val="Hyperlink"/>
          </w:rPr>
          <w:t xml:space="preserve"> </w:t>
        </w:r>
        <w:r>
          <w:rPr>
            <w:rStyle w:val="Hyperlink"/>
          </w:rPr>
          <w:t xml:space="preserve">species from the mountains of papua province, indonesian new guinea (amphibia, anura, microhylidae)</w:t>
        </w:r>
      </w:hyperlink>
      <w:r>
        <w:t xml:space="preserve">. Vertebrate Zoology 73:153–159. Senckenberg Gesellschaft f</w:t>
      </w:r>
      <w:r>
        <w:t xml:space="preserve">ü</w:t>
      </w:r>
      <w:r>
        <w:t xml:space="preserve">r Naturforschung.</w:t>
      </w:r>
    </w:p>
    <w:bookmarkEnd w:id="93"/>
    <w:bookmarkStart w:id="94" w:name="ref-Gunther:2011"/>
    <w:p>
      <w:pPr>
        <w:pStyle w:val="Bibliography"/>
      </w:pPr>
      <w:r>
        <w:t xml:space="preserve">Günther, R., and S. J. Richards. 2011. Five new microhylid frog species from enga province, papua new guinea, and remarks on albericus alpestris (anura, microhylidae). VERTEBRATE ZOOLOGY 61:343–372.</w:t>
      </w:r>
    </w:p>
    <w:bookmarkEnd w:id="94"/>
    <w:bookmarkStart w:id="95" w:name="ref-Gunther:2001"/>
    <w:p>
      <w:pPr>
        <w:pStyle w:val="Bibliography"/>
      </w:pPr>
      <w:r>
        <w:t xml:space="preserve">Günther, R., S. Richards, and D. T. Iskandar. 2001. Two new species of the genus oreophryne from irian jaya, indonesia (amphibia, anura, microhylidae). Spixiana 24:257–274.</w:t>
      </w:r>
    </w:p>
    <w:bookmarkEnd w:id="95"/>
    <w:bookmarkStart w:id="97" w:name="ref-Hill:2022"/>
    <w:p>
      <w:pPr>
        <w:pStyle w:val="Bibliography"/>
      </w:pPr>
      <w:r>
        <w:t xml:space="preserve">Hill, E. C., C. J. Fraser, D. F. Gao, M. J. Jarman, E. R. Henry, B. Iova, A. Allison, and M. A. Butler. 2022.</w:t>
      </w:r>
      <w:r>
        <w:t xml:space="preserve"> </w:t>
      </w:r>
      <w:hyperlink r:id="rId96">
        <w:r>
          <w:rPr>
            <w:rStyle w:val="Hyperlink"/>
          </w:rPr>
          <w:t xml:space="preserve">Resolving the deep phylogeny: Implications for early adaptive radiation, cryptic, and present-day ecological diversity of papuan microhylid frogs</w:t>
        </w:r>
      </w:hyperlink>
      <w:r>
        <w:t xml:space="preserve">. Molecular Phylogenetics and Evolution 177. Academic Press Inc.</w:t>
      </w:r>
    </w:p>
    <w:bookmarkEnd w:id="97"/>
    <w:bookmarkStart w:id="98" w:name="ref-Hill:2023a"/>
    <w:p>
      <w:pPr>
        <w:pStyle w:val="Bibliography"/>
      </w:pPr>
      <w:r>
        <w:t xml:space="preserve">Hill, E. C., D. F. Gao, D. A. Polhemus, C. J. Fraser, B. Iova, A. Allison, and M. A. Butler. 2023a. Testing geology with biology: Plate tectonics and the diversification of microhylid frogs in the papuan region. Integrative Organismal Biology.</w:t>
      </w:r>
    </w:p>
    <w:bookmarkEnd w:id="98"/>
    <w:bookmarkStart w:id="100" w:name="ref-Hill:2023"/>
    <w:p>
      <w:pPr>
        <w:pStyle w:val="Bibliography"/>
      </w:pPr>
      <w:r>
        <w:t xml:space="preserve">Hill, E. C., M. J. Jarman, C. J. Fraser, D. F. Gao, E. R. Henry, A. R. Fisher, B. Iova, A. Allison, and M. A. Butler. 2023b.</w:t>
      </w:r>
      <w:r>
        <w:t xml:space="preserve"> </w:t>
      </w:r>
      <w:hyperlink r:id="rId99">
        <w:r>
          <w:rPr>
            <w:rStyle w:val="Hyperlink"/>
          </w:rPr>
          <w:t xml:space="preserve">Molecular and phylogenetic datasets for the asterophryinae frogs of new guinea with additional data on lifestyle, geography, and elevation</w:t>
        </w:r>
      </w:hyperlink>
      <w:r>
        <w:t xml:space="preserve">. Data in Brief 47:108987.</w:t>
      </w:r>
    </w:p>
    <w:bookmarkEnd w:id="100"/>
    <w:bookmarkStart w:id="102" w:name="ref-VanKampen:1923"/>
    <w:p>
      <w:pPr>
        <w:pStyle w:val="Bibliography"/>
      </w:pPr>
      <w:r>
        <w:t xml:space="preserve">Kampen, P. N. van. 1923.</w:t>
      </w:r>
      <w:r>
        <w:t xml:space="preserve"> </w:t>
      </w:r>
      <w:hyperlink r:id="rId101">
        <w:r>
          <w:rPr>
            <w:rStyle w:val="Hyperlink"/>
          </w:rPr>
          <w:t xml:space="preserve">The amphibia of the indo-australian archipelago</w:t>
        </w:r>
      </w:hyperlink>
      <w:r>
        <w:t xml:space="preserve">. E. J. Brill, ltd, Leiden.</w:t>
      </w:r>
    </w:p>
    <w:bookmarkEnd w:id="102"/>
    <w:bookmarkStart w:id="104" w:name="ref-Koehler:2008"/>
    <w:p>
      <w:pPr>
        <w:pStyle w:val="Bibliography"/>
      </w:pPr>
      <w:r>
        <w:t xml:space="preserve">Köhler, F., and R. Günther. 2008.</w:t>
      </w:r>
      <w:r>
        <w:t xml:space="preserve"> </w:t>
      </w:r>
      <w:hyperlink r:id="rId103">
        <w:r>
          <w:rPr>
            <w:rStyle w:val="Hyperlink"/>
          </w:rPr>
          <w:t xml:space="preserve">The radiation of microhylid frogs (amphibia : Anura) on new guinea: A mitochondrial phylogeny reveals parallel evolution of morphological and life history traits and disproves the current morphology-based classification</w:t>
        </w:r>
      </w:hyperlink>
      <w:r>
        <w:t xml:space="preserve">. Molecular Phylogenetics and Evolution 47:353–365. ACADEMIC PRESS INC ELSEVIER SCIENCE, 525 B ST, STE 1900, SAN DIEGO, CA 92101-4495 USA.</w:t>
      </w:r>
    </w:p>
    <w:bookmarkEnd w:id="104"/>
    <w:bookmarkStart w:id="106" w:name="ref-Kraus:2016"/>
    <w:p>
      <w:pPr>
        <w:pStyle w:val="Bibliography"/>
      </w:pPr>
      <w:r>
        <w:t xml:space="preserve">Kraus, F. 2016.</w:t>
      </w:r>
      <w:r>
        <w:t xml:space="preserve"> </w:t>
      </w:r>
      <w:hyperlink r:id="rId105">
        <w:r>
          <w:rPr>
            <w:rStyle w:val="Hyperlink"/>
          </w:rPr>
          <w:t xml:space="preserve">Ten new species of oreophryne (anura, microhylidae) from papua new guinea</w:t>
        </w:r>
      </w:hyperlink>
      <w:r>
        <w:t xml:space="preserve">. Zootaxa 4195:1–68. Magnolia Press.</w:t>
      </w:r>
    </w:p>
    <w:bookmarkEnd w:id="106"/>
    <w:bookmarkStart w:id="108" w:name="ref-Kraus:2013"/>
    <w:p>
      <w:pPr>
        <w:pStyle w:val="Bibliography"/>
      </w:pPr>
      <w:r>
        <w:t xml:space="preserve">Kraus, F. 2013.</w:t>
      </w:r>
      <w:r>
        <w:t xml:space="preserve"> </w:t>
      </w:r>
      <w:hyperlink r:id="rId107">
        <w:r>
          <w:rPr>
            <w:rStyle w:val="Hyperlink"/>
          </w:rPr>
          <w:t xml:space="preserve">Three new species of &lt;i&gt;oreophryne&lt;/i&gt; (anura, microhylidae) from papua new guinea</w:t>
        </w:r>
      </w:hyperlink>
      <w:r>
        <w:t xml:space="preserve">. ZOOKEYS 93–121.</w:t>
      </w:r>
    </w:p>
    <w:bookmarkEnd w:id="108"/>
    <w:bookmarkStart w:id="110" w:name="ref-Kraus:2009"/>
    <w:p>
      <w:pPr>
        <w:pStyle w:val="Bibliography"/>
      </w:pPr>
      <w:r>
        <w:t xml:space="preserve">Kraus, F., and A. Allison. 2009.</w:t>
      </w:r>
      <w:r>
        <w:t xml:space="preserve"> </w:t>
      </w:r>
      <w:hyperlink r:id="rId109">
        <w:r>
          <w:rPr>
            <w:rStyle w:val="Hyperlink"/>
          </w:rPr>
          <w:t xml:space="preserve">New microhylid frogs from the muller range, papua new guinea</w:t>
        </w:r>
      </w:hyperlink>
      <w:r>
        <w:t xml:space="preserve">. ZooKeys 26:53–76.</w:t>
      </w:r>
    </w:p>
    <w:bookmarkEnd w:id="110"/>
    <w:bookmarkStart w:id="111" w:name="ref-Kraus:2004"/>
    <w:p>
      <w:pPr>
        <w:pStyle w:val="Bibliography"/>
      </w:pPr>
      <w:r>
        <w:t xml:space="preserve">Kraus, F., and A. Allison. 2004. Notes on poorly known new guinea frogs. I. Microhylids from the d’entrecasteaux islands. HERPETOFAUNA-SYDNEY- 34:26–39. AUSTRALASIAN AFFILIATION OF HERPETOLOGICAL.</w:t>
      </w:r>
    </w:p>
    <w:bookmarkEnd w:id="111"/>
    <w:bookmarkStart w:id="113" w:name="ref-Lanfear:2012"/>
    <w:p>
      <w:pPr>
        <w:pStyle w:val="Bibliography"/>
      </w:pPr>
      <w:r>
        <w:t xml:space="preserve">Lanfear, R., B. Calcott, S. Y. W. Ho, and S. Guindon. 2012.</w:t>
      </w:r>
      <w:r>
        <w:t xml:space="preserve"> </w:t>
      </w:r>
      <w:hyperlink r:id="rId112">
        <w:r>
          <w:rPr>
            <w:rStyle w:val="Hyperlink"/>
          </w:rPr>
          <w:t xml:space="preserve">PartitionFinder: Combined Selection of Partitioning Schemes and Substitution Models for Phylogenetic Analyses</w:t>
        </w:r>
      </w:hyperlink>
      <w:r>
        <w:t xml:space="preserve">. Molecular Biology and Evolution 29:1695–1701.</w:t>
      </w:r>
    </w:p>
    <w:bookmarkEnd w:id="113"/>
    <w:bookmarkStart w:id="115" w:name="ref-Maddison:2023"/>
    <w:p>
      <w:pPr>
        <w:pStyle w:val="Bibliography"/>
      </w:pPr>
      <w:r>
        <w:t xml:space="preserve">Maddison, W. P., and D. R. Maddison. 2023.</w:t>
      </w:r>
      <w:r>
        <w:t xml:space="preserve"> </w:t>
      </w:r>
      <w:hyperlink r:id="rId114">
        <w:r>
          <w:rPr>
            <w:rStyle w:val="Hyperlink"/>
          </w:rPr>
          <w:t xml:space="preserve">Mesquite: A modular system for evolutionary analysis</w:t>
        </w:r>
      </w:hyperlink>
      <w:r>
        <w:t xml:space="preserve">.</w:t>
      </w:r>
    </w:p>
    <w:bookmarkEnd w:id="115"/>
    <w:bookmarkStart w:id="116" w:name="ref-Mehely:1897"/>
    <w:p>
      <w:pPr>
        <w:pStyle w:val="Bibliography"/>
      </w:pPr>
      <w:r>
        <w:t xml:space="preserve">Méhely, L. 1897. Further contributions to the herpetology of new-guinea. Term</w:t>
      </w:r>
      <w:r>
        <w:t xml:space="preserve">é</w:t>
      </w:r>
      <w:r>
        <w:t xml:space="preserve">szetrajzi F</w:t>
      </w:r>
      <w:r>
        <w:t xml:space="preserve">ü</w:t>
      </w:r>
      <w:r>
        <w:t xml:space="preserve">zetek 20:398–419.</w:t>
      </w:r>
    </w:p>
    <w:bookmarkEnd w:id="116"/>
    <w:bookmarkStart w:id="117" w:name="ref-Menzies:2006"/>
    <w:p>
      <w:pPr>
        <w:pStyle w:val="Bibliography"/>
      </w:pPr>
      <w:r>
        <w:t xml:space="preserve">Menzies, J. 2006. The frogs of new guinea and the solomon islands. Pensoft Publishers.</w:t>
      </w:r>
    </w:p>
    <w:bookmarkEnd w:id="117"/>
    <w:bookmarkStart w:id="119" w:name="ref-Minh:2020"/>
    <w:p>
      <w:pPr>
        <w:pStyle w:val="Bibliography"/>
      </w:pPr>
      <w:r>
        <w:t xml:space="preserve">Minh, B. Q., H. A. Schmidt, O. Chernomor, D. Schrempf, M. D. Woodhams, A. von Haeseler, and R. Lanfear. 2020.</w:t>
      </w:r>
      <w:r>
        <w:t xml:space="preserve"> </w:t>
      </w:r>
      <w:hyperlink r:id="rId118">
        <w:r>
          <w:rPr>
            <w:rStyle w:val="Hyperlink"/>
          </w:rPr>
          <w:t xml:space="preserve">IQ-TREE 2: New models and efficient methods for phylogenetic inference in the genomic era</w:t>
        </w:r>
      </w:hyperlink>
      <w:r>
        <w:t xml:space="preserve">. Molecular Biology and Evolution 37:1530–1534.</w:t>
      </w:r>
    </w:p>
    <w:bookmarkEnd w:id="119"/>
    <w:bookmarkStart w:id="120" w:name="ref-Muller:1894"/>
    <w:p>
      <w:pPr>
        <w:pStyle w:val="Bibliography"/>
      </w:pPr>
      <w:r>
        <w:t xml:space="preserve">Müller, F. 1894. Reptilien und amphibien aus celebes. Verhandlungen der Naturforschenden Gesellschaft in Basel 10:825–843.</w:t>
      </w:r>
    </w:p>
    <w:bookmarkEnd w:id="120"/>
    <w:bookmarkStart w:id="121" w:name="ref-Parker:1934"/>
    <w:p>
      <w:pPr>
        <w:pStyle w:val="Bibliography"/>
      </w:pPr>
      <w:r>
        <w:t xml:space="preserve">Parker, H. W. 1934. A monograph of the frogs of the family microhylidae. London: Trustees of the British Museum.</w:t>
      </w:r>
    </w:p>
    <w:bookmarkEnd w:id="121"/>
    <w:bookmarkStart w:id="122" w:name="ref-Peters:1878"/>
    <w:p>
      <w:pPr>
        <w:pStyle w:val="Bibliography"/>
      </w:pPr>
      <w:r>
        <w:t xml:space="preserve">Peters, W. C. H., and G. Doria. 1878. Catalogo dei rettili e dei batraci raccolti da o. Beccari, l.m. D’albertis a.a. Bruijn nella sotto-regione austro-malese. Annali del Museo civico di storia naturale di Genova 13:323–450.</w:t>
      </w:r>
    </w:p>
    <w:bookmarkEnd w:id="122"/>
    <w:bookmarkStart w:id="124" w:name="ref-Putri:2023"/>
    <w:p>
      <w:pPr>
        <w:pStyle w:val="Bibliography"/>
      </w:pPr>
      <w:r>
        <w:t xml:space="preserve">Putri, A., W. TRILAKSONO, H. KURNIATI, A. Hitch, A. Jr, K. Widayati, A. Farajallah, and A. Hamidy. 2023.</w:t>
      </w:r>
      <w:r>
        <w:t xml:space="preserve"> </w:t>
      </w:r>
      <w:hyperlink r:id="rId123">
        <w:r>
          <w:rPr>
            <w:rStyle w:val="Hyperlink"/>
          </w:rPr>
          <w:t xml:space="preserve">A new high elevation species of oreophryne boettger (anura: Microhylidae) from sulawesi, indonesia</w:t>
        </w:r>
      </w:hyperlink>
      <w:r>
        <w:t xml:space="preserve">. Zootaxa 5353:455–467.</w:t>
      </w:r>
    </w:p>
    <w:bookmarkEnd w:id="124"/>
    <w:bookmarkStart w:id="126" w:name="ref-R:2024"/>
    <w:p>
      <w:pPr>
        <w:pStyle w:val="Bibliography"/>
      </w:pPr>
      <w:r>
        <w:t xml:space="preserve">R Core Team. 2024.</w:t>
      </w:r>
      <w:r>
        <w:t xml:space="preserve"> </w:t>
      </w:r>
      <w:hyperlink r:id="rId125">
        <w:r>
          <w:rPr>
            <w:rStyle w:val="Hyperlink"/>
          </w:rPr>
          <w:t xml:space="preserve">R: A language and environment for statistical computing</w:t>
        </w:r>
      </w:hyperlink>
      <w:r>
        <w:t xml:space="preserve">. R Foundation for Statistical Computing, Vienna, Austria.</w:t>
      </w:r>
    </w:p>
    <w:bookmarkEnd w:id="126"/>
    <w:bookmarkStart w:id="128" w:name="ref-Revell:2012"/>
    <w:p>
      <w:pPr>
        <w:pStyle w:val="Bibliography"/>
      </w:pPr>
      <w:r>
        <w:t xml:space="preserve">Revell, L. J. 2012.</w:t>
      </w:r>
      <w:r>
        <w:t xml:space="preserve"> </w:t>
      </w:r>
      <w:hyperlink r:id="rId127">
        <w:r>
          <w:rPr>
            <w:rStyle w:val="Hyperlink"/>
          </w:rPr>
          <w:t xml:space="preserve">Phytools: An r package for phylogenetic comparative biology (and other things)</w:t>
        </w:r>
      </w:hyperlink>
      <w:r>
        <w:t xml:space="preserve">. Methods in Ecology and Evolution 3:217–223.</w:t>
      </w:r>
    </w:p>
    <w:bookmarkEnd w:id="128"/>
    <w:bookmarkStart w:id="130" w:name="ref-Rivera:2017"/>
    <w:p>
      <w:pPr>
        <w:pStyle w:val="Bibliography"/>
      </w:pPr>
      <w:r>
        <w:t xml:space="preserve">Rivera, J. A., F. Kraus, A. Allison, and M. A. Butler. 2017.</w:t>
      </w:r>
      <w:r>
        <w:t xml:space="preserve"> </w:t>
      </w:r>
      <w:hyperlink r:id="rId129">
        <w:r>
          <w:rPr>
            <w:rStyle w:val="Hyperlink"/>
          </w:rPr>
          <w:t xml:space="preserve">Molecular phylogenetics and dating of the problematic new guinea microhylid frogs (amphibia: Anura) reveals elevated speciation rates and need for taxonomic reclassification</w:t>
        </w:r>
      </w:hyperlink>
      <w:r>
        <w:t xml:space="preserve">. Molecular Phylogenetics and Evolution 112:1–11. Academic Press Inc.</w:t>
      </w:r>
    </w:p>
    <w:bookmarkEnd w:id="130"/>
    <w:bookmarkStart w:id="132" w:name="ref-Setiadi:2010"/>
    <w:p>
      <w:pPr>
        <w:pStyle w:val="Bibliography"/>
      </w:pPr>
      <w:r>
        <w:t xml:space="preserve">Setiadi, M. I., A. Hamidy, Z. Abidin, D. Susanto, R. M. Brown, A. T. Peterson, X. Li, and B. J. Evans. 2010.</w:t>
      </w:r>
      <w:r>
        <w:t xml:space="preserve"> </w:t>
      </w:r>
      <w:hyperlink r:id="rId131">
        <w:r>
          <w:rPr>
            <w:rStyle w:val="Hyperlink"/>
          </w:rPr>
          <w:t xml:space="preserve">Genetic structure of herpetofauna on halmahera island, indonesia: Implications for aketajawe-lolobata national park</w:t>
        </w:r>
      </w:hyperlink>
      <w:r>
        <w:t xml:space="preserve">. Conservation Biology 24:553–562.</w:t>
      </w:r>
    </w:p>
    <w:bookmarkEnd w:id="132"/>
    <w:bookmarkStart w:id="134" w:name="ref-Soliz:2025"/>
    <w:p>
      <w:pPr>
        <w:pStyle w:val="Bibliography"/>
      </w:pPr>
      <w:r>
        <w:t xml:space="preserve">Soliz, M. C., V. Abdala, and M. J. Tulli. 2025.</w:t>
      </w:r>
      <w:r>
        <w:t xml:space="preserve"> </w:t>
      </w:r>
      <w:hyperlink r:id="rId133">
        <w:r>
          <w:rPr>
            <w:rStyle w:val="Hyperlink"/>
          </w:rPr>
          <w:t xml:space="preserve">The ecological drivers of variation in pectoral girdle anatomy in frogs</w:t>
        </w:r>
      </w:hyperlink>
      <w:r>
        <w:t xml:space="preserve">. Acta Zoologica 106:38–54.</w:t>
      </w:r>
    </w:p>
    <w:bookmarkEnd w:id="134"/>
    <w:bookmarkStart w:id="136" w:name="ref-Tu:2018"/>
    <w:p>
      <w:pPr>
        <w:pStyle w:val="Bibliography"/>
      </w:pPr>
      <w:r>
        <w:t xml:space="preserve">Tu, N., M. Yang, D. Liang, and P. Zhang. 2018.</w:t>
      </w:r>
      <w:r>
        <w:t xml:space="preserve"> </w:t>
      </w:r>
      <w:hyperlink r:id="rId135">
        <w:r>
          <w:rPr>
            <w:rStyle w:val="Hyperlink"/>
          </w:rPr>
          <w:t xml:space="preserve">A large-scale phylogeny of microhylidae inferred from a combined dataset of 121 genes and 427 taxa</w:t>
        </w:r>
      </w:hyperlink>
      <w:r>
        <w:t xml:space="preserve">. Mol Phylogenet Evol 126:85–91.</w:t>
      </w:r>
    </w:p>
    <w:bookmarkEnd w:id="136"/>
    <w:bookmarkStart w:id="138" w:name="ref-Werner:1898"/>
    <w:p>
      <w:pPr>
        <w:pStyle w:val="Bibliography"/>
      </w:pPr>
      <w:r>
        <w:t xml:space="preserve">Werner, Franz. 1898.</w:t>
      </w:r>
      <w:r>
        <w:t xml:space="preserve"> </w:t>
      </w:r>
      <w:hyperlink r:id="rId137">
        <w:r>
          <w:rPr>
            <w:rStyle w:val="Hyperlink"/>
          </w:rPr>
          <w:t xml:space="preserve">Vorl</w:t>
        </w:r>
        <w:r>
          <w:rPr>
            <w:rStyle w:val="Hyperlink"/>
          </w:rPr>
          <w:t xml:space="preserve">ä</w:t>
        </w:r>
        <w:r>
          <w:rPr>
            <w:rStyle w:val="Hyperlink"/>
          </w:rPr>
          <w:t xml:space="preserve">ufige mitteilung</w:t>
        </w:r>
        <w:r>
          <w:rPr>
            <w:rStyle w:val="Hyperlink"/>
          </w:rPr>
          <w:t xml:space="preserve"> </w:t>
        </w:r>
        <w:r>
          <w:rPr>
            <w:rStyle w:val="Hyperlink"/>
          </w:rPr>
          <w:t xml:space="preserve">ü</w:t>
        </w:r>
        <w:r>
          <w:rPr>
            <w:rStyle w:val="Hyperlink"/>
          </w:rPr>
          <w:t xml:space="preserve">ber die von herrn prof. F. Dahl im bismarck-archipel gesammelten reptilien und batrachier</w:t>
        </w:r>
      </w:hyperlink>
      <w:r>
        <w:t xml:space="preserve">. Zoologischer Anzeiger 21:552–556. Jena VEB Gustav Fischer Verlag.</w:t>
      </w:r>
    </w:p>
    <w:bookmarkEnd w:id="138"/>
    <w:bookmarkStart w:id="140" w:name="ref-Wickham:2016"/>
    <w:p>
      <w:pPr>
        <w:pStyle w:val="Bibliography"/>
      </w:pPr>
      <w:r>
        <w:t xml:space="preserve">Wickham, H. 2016.</w:t>
      </w:r>
      <w:r>
        <w:t xml:space="preserve"> </w:t>
      </w:r>
      <w:hyperlink r:id="rId139">
        <w:r>
          <w:rPr>
            <w:rStyle w:val="Hyperlink"/>
          </w:rPr>
          <w:t xml:space="preserve">ggplot2: Elegant graphics for data analysis</w:t>
        </w:r>
      </w:hyperlink>
      <w:r>
        <w:t xml:space="preserve">. Springer-Verlag New York.</w:t>
      </w:r>
    </w:p>
    <w:bookmarkEnd w:id="140"/>
    <w:bookmarkStart w:id="142" w:name="ref-Ye:2012"/>
    <w:p>
      <w:pPr>
        <w:pStyle w:val="Bibliography"/>
      </w:pPr>
      <w:r>
        <w:t xml:space="preserve">Ye, J., G. Coulouris, I. Zaretskaya, I. Cutcutache, S. Rozen, and T. L. Madden. 2012.</w:t>
      </w:r>
      <w:r>
        <w:t xml:space="preserve"> </w:t>
      </w:r>
      <w:hyperlink r:id="rId141">
        <w:r>
          <w:rPr>
            <w:rStyle w:val="Hyperlink"/>
          </w:rPr>
          <w:t xml:space="preserve">Primer-BLAST: A tool to design target-specific primers for polymerase chain reaction</w:t>
        </w:r>
      </w:hyperlink>
      <w:r>
        <w:t xml:space="preserve">. BMC Bioinformatics 13:134.</w:t>
      </w:r>
    </w:p>
    <w:bookmarkEnd w:id="142"/>
    <w:bookmarkStart w:id="144" w:name="ref-Yu:2020"/>
    <w:p>
      <w:pPr>
        <w:pStyle w:val="Bibliography"/>
      </w:pPr>
      <w:r>
        <w:t xml:space="preserve">Yu, G. 2020.</w:t>
      </w:r>
      <w:r>
        <w:t xml:space="preserve"> </w:t>
      </w:r>
      <w:hyperlink r:id="rId143">
        <w:r>
          <w:rPr>
            <w:rStyle w:val="Hyperlink"/>
          </w:rPr>
          <w:t xml:space="preserve">Using ggtree to visualize data on tree-like structures</w:t>
        </w:r>
      </w:hyperlink>
      <w:r>
        <w:t xml:space="preserve">. Current Protocols in Bioinformatics 69:e96.</w:t>
      </w:r>
    </w:p>
    <w:bookmarkEnd w:id="144"/>
    <w:bookmarkStart w:id="146" w:name="ref-Yu:2017"/>
    <w:p>
      <w:pPr>
        <w:pStyle w:val="Bibliography"/>
      </w:pPr>
      <w:r>
        <w:t xml:space="preserve">Yu, G., D. Smith, H. Zhu, Y. Guan, and T. T.-Y. Lam. 2017.</w:t>
      </w:r>
      <w:r>
        <w:t xml:space="preserve"> </w:t>
      </w:r>
      <w:hyperlink r:id="rId145">
        <w:r>
          <w:rPr>
            <w:rStyle w:val="Hyperlink"/>
          </w:rPr>
          <w:t xml:space="preserve">Ggtree: An r package for visualization and annotation of phylogenetic trees with their covariates and other associated data.</w:t>
        </w:r>
      </w:hyperlink>
      <w:r>
        <w:t xml:space="preserve"> Methods in Ecology and Evolution 8:28–36.</w:t>
      </w:r>
    </w:p>
    <w:bookmarkEnd w:id="146"/>
    <w:bookmarkStart w:id="148" w:name="ref-ICZN:1999"/>
    <w:p>
      <w:pPr>
        <w:pStyle w:val="Bibliography"/>
      </w:pPr>
      <w:r>
        <w:t xml:space="preserve">Zoological Nomenclature, I. C. on, W. D. L. Ride, I. T. for Zoological Nomenclature., I. U. of Biological Sciences. General Assembly, and E. Natural History Museum (London. 1999.</w:t>
      </w:r>
      <w:r>
        <w:t xml:space="preserve"> </w:t>
      </w:r>
      <w:hyperlink r:id="rId147">
        <w:r>
          <w:rPr>
            <w:rStyle w:val="Hyperlink"/>
          </w:rPr>
          <w:t xml:space="preserve">International code of zoological nomenclature = code international de nomenclature zoologique</w:t>
        </w:r>
      </w:hyperlink>
      <w:r>
        <w:t xml:space="preserve">. London, International Trust for Zoological Nomenclature, c/o Natural History Museum, 1999.</w:t>
      </w:r>
    </w:p>
    <w:bookmarkEnd w:id="148"/>
    <w:bookmarkStart w:id="149" w:name="ref-Zweifel:2003"/>
    <w:p>
      <w:pPr>
        <w:pStyle w:val="Bibliography"/>
      </w:pPr>
      <w:r>
        <w:t xml:space="preserve">Zweifel, R. G. 2003. A new species of microhylid frog, genus oreophryne, from papua new guinea. American Museum Novitates 1–8.</w:t>
      </w:r>
    </w:p>
    <w:bookmarkEnd w:id="149"/>
    <w:bookmarkStart w:id="150" w:name="ref-Zweifel:1956"/>
    <w:p>
      <w:pPr>
        <w:pStyle w:val="Bibliography"/>
      </w:pPr>
      <w:r>
        <w:t xml:space="preserve">Zweifel, R. G. 1956. Microhylid frogs from new guinea, with descriptions of new species. American Museum Novitates 1–49.</w:t>
      </w:r>
    </w:p>
    <w:bookmarkEnd w:id="150"/>
    <w:bookmarkStart w:id="152" w:name="ref-Zweifel:2005"/>
    <w:p>
      <w:pPr>
        <w:pStyle w:val="Bibliography"/>
      </w:pPr>
      <w:r>
        <w:t xml:space="preserve">Zweifel, R. G., H. Cogger, and S. Richards. 2009.</w:t>
      </w:r>
      <w:r>
        <w:t xml:space="preserve"> </w:t>
      </w:r>
      <w:hyperlink r:id="rId151">
        <w:r>
          <w:rPr>
            <w:rStyle w:val="Hyperlink"/>
          </w:rPr>
          <w:t xml:space="preserve">Systematics of microhylid frogs, genus oreophryne, living at high elevations in new guinea</w:t>
        </w:r>
      </w:hyperlink>
      <w:r>
        <w:t xml:space="preserve">. American Museum Novitates 3495:1–25.</w:t>
      </w:r>
    </w:p>
    <w:bookmarkEnd w:id="152"/>
    <w:bookmarkStart w:id="154" w:name="ref-Zweifel:2003a"/>
    <w:p>
      <w:pPr>
        <w:pStyle w:val="Bibliography"/>
      </w:pPr>
      <w:r>
        <w:t xml:space="preserve">Zweifel, R., J. Menzies, and D. Price. 2003.</w:t>
      </w:r>
      <w:r>
        <w:t xml:space="preserve"> </w:t>
      </w:r>
      <w:hyperlink r:id="rId153">
        <w:r>
          <w:rPr>
            <w:rStyle w:val="Hyperlink"/>
          </w:rPr>
          <w:t xml:space="preserve">Systematics of microhylid frogs, genus oreophryne, from the north coast region of new guinea</w:t>
        </w:r>
      </w:hyperlink>
      <w:r>
        <w:t xml:space="preserve">. AMERICAN MUSEUM NOVITATES 1–31.</w:t>
      </w:r>
    </w:p>
    <w:bookmarkEnd w:id="154"/>
    <w:bookmarkEnd w:id="155"/>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24" Target="media/rId24.png" /><Relationship Type="http://schemas.openxmlformats.org/officeDocument/2006/relationships/hyperlink" Id="rId114" Target="http://www.mesquiteproject.org" TargetMode="External" /><Relationship Type="http://schemas.openxmlformats.org/officeDocument/2006/relationships/hyperlink" Id="rId65" Target="https://api.semanticscholar.org/CorpusID:202544117" TargetMode="External" /><Relationship Type="http://schemas.openxmlformats.org/officeDocument/2006/relationships/hyperlink" Id="rId63"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43" Target="https://doi.org/10.1002/cpbi.96" TargetMode="External" /><Relationship Type="http://schemas.openxmlformats.org/officeDocument/2006/relationships/hyperlink" Id="rId84" Target="https://doi.org/10.1002/ece3.6784" TargetMode="External" /><Relationship Type="http://schemas.openxmlformats.org/officeDocument/2006/relationships/hyperlink" Id="rId78" Target="https://doi.org/10.1016/0169-5347(94)90231-3" TargetMode="External" /><Relationship Type="http://schemas.openxmlformats.org/officeDocument/2006/relationships/hyperlink" Id="rId99" Target="https://doi.org/10.1016/j.dib.2023.108987" TargetMode="External" /><Relationship Type="http://schemas.openxmlformats.org/officeDocument/2006/relationships/hyperlink" Id="rId129" Target="https://doi.org/10.1016/j.ympev.2017.04.008" TargetMode="External" /><Relationship Type="http://schemas.openxmlformats.org/officeDocument/2006/relationships/hyperlink" Id="rId135" Target="https://doi.org/10.1016/j.ympev.2018.03.036" TargetMode="External" /><Relationship Type="http://schemas.openxmlformats.org/officeDocument/2006/relationships/hyperlink" Id="rId96" Target="https://doi.org/10.1016/j.ympev.2022.107618" TargetMode="External" /><Relationship Type="http://schemas.openxmlformats.org/officeDocument/2006/relationships/hyperlink" Id="rId88" Target="https://doi.org/10.1038/s42003-020-01344-y" TargetMode="External" /><Relationship Type="http://schemas.openxmlformats.org/officeDocument/2006/relationships/hyperlink" Id="rId90" Target="https://doi.org/10.1071/ZO9860135" TargetMode="External" /><Relationship Type="http://schemas.openxmlformats.org/officeDocument/2006/relationships/hyperlink" Id="rId118" Target="https://doi.org/10.1093/molbev/msaa015" TargetMode="External" /><Relationship Type="http://schemas.openxmlformats.org/officeDocument/2006/relationships/hyperlink" Id="rId112" Target="https://doi.org/10.1093/molbev/mss020" TargetMode="External" /><Relationship Type="http://schemas.openxmlformats.org/officeDocument/2006/relationships/hyperlink" Id="rId145" Target="https://doi.org/10.1111/2041-210X.12628" TargetMode="External" /><Relationship Type="http://schemas.openxmlformats.org/officeDocument/2006/relationships/hyperlink" Id="rId133" Target="https://doi.org/10.1111/azo.12494" TargetMode="External" /><Relationship Type="http://schemas.openxmlformats.org/officeDocument/2006/relationships/hyperlink" Id="rId131" Target="https://doi.org/10.1111/j.1523-1739.2009.01384.x" TargetMode="External" /><Relationship Type="http://schemas.openxmlformats.org/officeDocument/2006/relationships/hyperlink" Id="rId127" Target="https://doi.org/10.1111/j.2041-210X.2011.00169.x" TargetMode="External" /><Relationship Type="http://schemas.openxmlformats.org/officeDocument/2006/relationships/hyperlink" Id="rId70" Target="https://doi.org/10.1111/zoj.12232" TargetMode="External" /><Relationship Type="http://schemas.openxmlformats.org/officeDocument/2006/relationships/hyperlink" Id="rId74" Target="https://doi.org/10.1146/annurev.ecolsys.23.1.449" TargetMode="External" /><Relationship Type="http://schemas.openxmlformats.org/officeDocument/2006/relationships/hyperlink" Id="rId105" Target="https://doi.org/10.11646/zootaxa.4195.1.1" TargetMode="External" /><Relationship Type="http://schemas.openxmlformats.org/officeDocument/2006/relationships/hyperlink" Id="rId123" Target="https://doi.org/10.11646/zootaxa.5353.5.4" TargetMode="External" /><Relationship Type="http://schemas.openxmlformats.org/officeDocument/2006/relationships/hyperlink" Id="rId141" Target="https://doi.org/10.1186/1471-2105-13-134" TargetMode="External" /><Relationship Type="http://schemas.openxmlformats.org/officeDocument/2006/relationships/hyperlink" Id="rId82" Target="https://doi.org/10.1186/1471-2105-5-113" TargetMode="External" /><Relationship Type="http://schemas.openxmlformats.org/officeDocument/2006/relationships/hyperlink" Id="rId72" Target="https://doi.org/10.1201/9780429446320" TargetMode="External" /><Relationship Type="http://schemas.openxmlformats.org/officeDocument/2006/relationships/hyperlink" Id="rId153" Target="https://doi.org/10.1206/0003-0082(2003)415&lt;0001:SOMFGO&gt;2.0.CO;2" TargetMode="External" /><Relationship Type="http://schemas.openxmlformats.org/officeDocument/2006/relationships/hyperlink" Id="rId151" Target="https://doi.org/10.1206/0003-0082(2005)495[0001:SOMFGO]2.0.CO;2" TargetMode="External" /><Relationship Type="http://schemas.openxmlformats.org/officeDocument/2006/relationships/hyperlink" Id="rId76" Target="https://doi.org/10.2307/2992353" TargetMode="External" /><Relationship Type="http://schemas.openxmlformats.org/officeDocument/2006/relationships/hyperlink" Id="rId92" Target="https://doi.org/10.3897/vz.73.e94207" TargetMode="External" /><Relationship Type="http://schemas.openxmlformats.org/officeDocument/2006/relationships/hyperlink" Id="rId109" Target="https://doi.org/10.3897/zookeys.26.258" TargetMode="External" /><Relationship Type="http://schemas.openxmlformats.org/officeDocument/2006/relationships/hyperlink" Id="rId107" Target="https://doi.org/10.3897/zookeys.330.5795" TargetMode="External" /><Relationship Type="http://schemas.openxmlformats.org/officeDocument/2006/relationships/hyperlink" Id="rId103" Target="https://doi.org/DOI 10.1016/j.ympev.2007.11.032" TargetMode="External" /><Relationship Type="http://schemas.openxmlformats.org/officeDocument/2006/relationships/hyperlink" Id="rId86" Target="https://doi.org/doi.org/10.5531/db.vz.0001" TargetMode="External" /><Relationship Type="http://schemas.openxmlformats.org/officeDocument/2006/relationships/hyperlink" Id="rId80" Target="https://doi.org/{10.1186/1471-2148-12-241}" TargetMode="External" /><Relationship Type="http://schemas.openxmlformats.org/officeDocument/2006/relationships/hyperlink" Id="rId139" Target="https://ggplot2.tidyverse.org" TargetMode="External" /><Relationship Type="http://schemas.openxmlformats.org/officeDocument/2006/relationships/hyperlink" Id="rId125" Target="https://www.R-project.org/" TargetMode="External" /><Relationship Type="http://schemas.openxmlformats.org/officeDocument/2006/relationships/hyperlink" Id="rId147" Target="https://www.biodiversitylibrary.org/item/107142" TargetMode="External" /><Relationship Type="http://schemas.openxmlformats.org/officeDocument/2006/relationships/hyperlink" Id="rId68" Target="https://www.biodiversitylibrary.org/item/53362" TargetMode="External" /><Relationship Type="http://schemas.openxmlformats.org/officeDocument/2006/relationships/hyperlink" Id="rId101" Target="https://www.biodiversitylibrary.org/part/118043" TargetMode="External" /><Relationship Type="http://schemas.openxmlformats.org/officeDocument/2006/relationships/hyperlink" Id="rId137" Target="https://www.biodiversitylibrary.org/part/28256" TargetMode="External" /><Relationship Type="http://schemas.openxmlformats.org/officeDocument/2006/relationships/hyperlink" Id="rId22" Target="oreo-taxa-cut.qmd#sec-cut1" TargetMode="External" /><Relationship Type="http://schemas.openxmlformats.org/officeDocument/2006/relationships/hyperlink" Id="rId23" Target="oreo-taxa-cut.qmd#sec-cut2" TargetMode="External" /></Relationships>
</file>

<file path=word/_rels/footnotes.xml.rels><?xml version="1.0" encoding="UTF-8"?><Relationships xmlns="http://schemas.openxmlformats.org/package/2006/relationships"><Relationship Type="http://schemas.openxmlformats.org/officeDocument/2006/relationships/hyperlink" Id="rId114" Target="http://www.mesquiteproject.org" TargetMode="External" /><Relationship Type="http://schemas.openxmlformats.org/officeDocument/2006/relationships/hyperlink" Id="rId65" Target="https://api.semanticscholar.org/CorpusID:202544117" TargetMode="External" /><Relationship Type="http://schemas.openxmlformats.org/officeDocument/2006/relationships/hyperlink" Id="rId63"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43" Target="https://doi.org/10.1002/cpbi.96" TargetMode="External" /><Relationship Type="http://schemas.openxmlformats.org/officeDocument/2006/relationships/hyperlink" Id="rId84" Target="https://doi.org/10.1002/ece3.6784" TargetMode="External" /><Relationship Type="http://schemas.openxmlformats.org/officeDocument/2006/relationships/hyperlink" Id="rId78" Target="https://doi.org/10.1016/0169-5347(94)90231-3" TargetMode="External" /><Relationship Type="http://schemas.openxmlformats.org/officeDocument/2006/relationships/hyperlink" Id="rId99" Target="https://doi.org/10.1016/j.dib.2023.108987" TargetMode="External" /><Relationship Type="http://schemas.openxmlformats.org/officeDocument/2006/relationships/hyperlink" Id="rId129" Target="https://doi.org/10.1016/j.ympev.2017.04.008" TargetMode="External" /><Relationship Type="http://schemas.openxmlformats.org/officeDocument/2006/relationships/hyperlink" Id="rId135" Target="https://doi.org/10.1016/j.ympev.2018.03.036" TargetMode="External" /><Relationship Type="http://schemas.openxmlformats.org/officeDocument/2006/relationships/hyperlink" Id="rId96" Target="https://doi.org/10.1016/j.ympev.2022.107618" TargetMode="External" /><Relationship Type="http://schemas.openxmlformats.org/officeDocument/2006/relationships/hyperlink" Id="rId88" Target="https://doi.org/10.1038/s42003-020-01344-y" TargetMode="External" /><Relationship Type="http://schemas.openxmlformats.org/officeDocument/2006/relationships/hyperlink" Id="rId90" Target="https://doi.org/10.1071/ZO9860135" TargetMode="External" /><Relationship Type="http://schemas.openxmlformats.org/officeDocument/2006/relationships/hyperlink" Id="rId118" Target="https://doi.org/10.1093/molbev/msaa015" TargetMode="External" /><Relationship Type="http://schemas.openxmlformats.org/officeDocument/2006/relationships/hyperlink" Id="rId112" Target="https://doi.org/10.1093/molbev/mss020" TargetMode="External" /><Relationship Type="http://schemas.openxmlformats.org/officeDocument/2006/relationships/hyperlink" Id="rId145" Target="https://doi.org/10.1111/2041-210X.12628" TargetMode="External" /><Relationship Type="http://schemas.openxmlformats.org/officeDocument/2006/relationships/hyperlink" Id="rId133" Target="https://doi.org/10.1111/azo.12494" TargetMode="External" /><Relationship Type="http://schemas.openxmlformats.org/officeDocument/2006/relationships/hyperlink" Id="rId131" Target="https://doi.org/10.1111/j.1523-1739.2009.01384.x" TargetMode="External" /><Relationship Type="http://schemas.openxmlformats.org/officeDocument/2006/relationships/hyperlink" Id="rId127" Target="https://doi.org/10.1111/j.2041-210X.2011.00169.x" TargetMode="External" /><Relationship Type="http://schemas.openxmlformats.org/officeDocument/2006/relationships/hyperlink" Id="rId70" Target="https://doi.org/10.1111/zoj.12232" TargetMode="External" /><Relationship Type="http://schemas.openxmlformats.org/officeDocument/2006/relationships/hyperlink" Id="rId74" Target="https://doi.org/10.1146/annurev.ecolsys.23.1.449" TargetMode="External" /><Relationship Type="http://schemas.openxmlformats.org/officeDocument/2006/relationships/hyperlink" Id="rId105" Target="https://doi.org/10.11646/zootaxa.4195.1.1" TargetMode="External" /><Relationship Type="http://schemas.openxmlformats.org/officeDocument/2006/relationships/hyperlink" Id="rId123" Target="https://doi.org/10.11646/zootaxa.5353.5.4" TargetMode="External" /><Relationship Type="http://schemas.openxmlformats.org/officeDocument/2006/relationships/hyperlink" Id="rId141" Target="https://doi.org/10.1186/1471-2105-13-134" TargetMode="External" /><Relationship Type="http://schemas.openxmlformats.org/officeDocument/2006/relationships/hyperlink" Id="rId82" Target="https://doi.org/10.1186/1471-2105-5-113" TargetMode="External" /><Relationship Type="http://schemas.openxmlformats.org/officeDocument/2006/relationships/hyperlink" Id="rId72" Target="https://doi.org/10.1201/9780429446320" TargetMode="External" /><Relationship Type="http://schemas.openxmlformats.org/officeDocument/2006/relationships/hyperlink" Id="rId153" Target="https://doi.org/10.1206/0003-0082(2003)415&lt;0001:SOMFGO&gt;2.0.CO;2" TargetMode="External" /><Relationship Type="http://schemas.openxmlformats.org/officeDocument/2006/relationships/hyperlink" Id="rId151" Target="https://doi.org/10.1206/0003-0082(2005)495[0001:SOMFGO]2.0.CO;2" TargetMode="External" /><Relationship Type="http://schemas.openxmlformats.org/officeDocument/2006/relationships/hyperlink" Id="rId76" Target="https://doi.org/10.2307/2992353" TargetMode="External" /><Relationship Type="http://schemas.openxmlformats.org/officeDocument/2006/relationships/hyperlink" Id="rId92" Target="https://doi.org/10.3897/vz.73.e94207" TargetMode="External" /><Relationship Type="http://schemas.openxmlformats.org/officeDocument/2006/relationships/hyperlink" Id="rId109" Target="https://doi.org/10.3897/zookeys.26.258" TargetMode="External" /><Relationship Type="http://schemas.openxmlformats.org/officeDocument/2006/relationships/hyperlink" Id="rId107" Target="https://doi.org/10.3897/zookeys.330.5795" TargetMode="External" /><Relationship Type="http://schemas.openxmlformats.org/officeDocument/2006/relationships/hyperlink" Id="rId103" Target="https://doi.org/DOI 10.1016/j.ympev.2007.11.032" TargetMode="External" /><Relationship Type="http://schemas.openxmlformats.org/officeDocument/2006/relationships/hyperlink" Id="rId86" Target="https://doi.org/doi.org/10.5531/db.vz.0001" TargetMode="External" /><Relationship Type="http://schemas.openxmlformats.org/officeDocument/2006/relationships/hyperlink" Id="rId80" Target="https://doi.org/{10.1186/1471-2148-12-241}" TargetMode="External" /><Relationship Type="http://schemas.openxmlformats.org/officeDocument/2006/relationships/hyperlink" Id="rId139" Target="https://ggplot2.tidyverse.org" TargetMode="External" /><Relationship Type="http://schemas.openxmlformats.org/officeDocument/2006/relationships/hyperlink" Id="rId125" Target="https://www.R-project.org/" TargetMode="External" /><Relationship Type="http://schemas.openxmlformats.org/officeDocument/2006/relationships/hyperlink" Id="rId147" Target="https://www.biodiversitylibrary.org/item/107142" TargetMode="External" /><Relationship Type="http://schemas.openxmlformats.org/officeDocument/2006/relationships/hyperlink" Id="rId68" Target="https://www.biodiversitylibrary.org/item/53362" TargetMode="External" /><Relationship Type="http://schemas.openxmlformats.org/officeDocument/2006/relationships/hyperlink" Id="rId101" Target="https://www.biodiversitylibrary.org/part/118043" TargetMode="External" /><Relationship Type="http://schemas.openxmlformats.org/officeDocument/2006/relationships/hyperlink" Id="rId137" Target="https://www.biodiversitylibrary.org/part/28256" TargetMode="External" /><Relationship Type="http://schemas.openxmlformats.org/officeDocument/2006/relationships/hyperlink" Id="rId22" Target="oreo-taxa-cut.qmd#sec-cut1" TargetMode="External" /><Relationship Type="http://schemas.openxmlformats.org/officeDocument/2006/relationships/hyperlink" Id="rId23" Target="oreo-taxa-cut.qmd#sec-cu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Revealing the new arboreal frog genus Auparoparo after 130 years of Oreophryne sensu lato, subfamily Asterophrinae</dc:title>
  <dc:creator>Allison Fisher and Ke Cao, Allen Allison, Bulisa Iova, and Marguerite Butler</dc:creator>
  <cp:keywords/>
  <dcterms:created xsi:type="dcterms:W3CDTF">2025-04-17T08:47:51Z</dcterms:created>
  <dcterms:modified xsi:type="dcterms:W3CDTF">2025-04-17T08:47:51Z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oreophryne.bib</vt:lpwstr>
  </property>
  <property fmtid="{D5CDD505-2E9C-101B-9397-08002B2CF9AE}" pid="5" name="by-author">
    <vt:lpwstr/>
  </property>
  <property fmtid="{D5CDD505-2E9C-101B-9397-08002B2CF9AE}" pid="6" name="csl">
    <vt:lpwstr>evolution.csl</vt:lpwstr>
  </property>
  <property fmtid="{D5CDD505-2E9C-101B-9397-08002B2CF9AE}" pid="7" name="date">
    <vt:lpwstr>2025-04-16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