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7.png" ContentType="image/png"/>
  <Override PartName="/word/media/rId81.png" ContentType="image/png"/>
  <Override PartName="/word/media/rId89.png" ContentType="image/png"/>
  <Override PartName="/word/media/rId52.png" ContentType="image/png"/>
  <Override PartName="/word/media/rId38.png" ContentType="image/png"/>
  <Override PartName="/word/media/rId27.png" ContentType="image/png"/>
  <Override PartName="/word/media/rId73.png" ContentType="image/png"/>
  <Override PartName="/word/media/rId61.png" ContentType="image/png"/>
  <Override PartName="/word/media/rId47.png" ContentType="image/png"/>
  <Override PartName="/word/media/rId85.png" ContentType="image/png"/>
  <Override PartName="/word/media/rId33.jpg" ContentType="image/jpeg"/>
  <Override PartName="/word/media/rId69.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2023-11-06</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46"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2" w:name="fig-brain"/>
          <w:p>
            <w:pPr>
              <w:pStyle w:val="Compact"/>
              <w:jc w:val="center"/>
            </w:pPr>
            <w:r>
              <w:drawing>
                <wp:inline>
                  <wp:extent cx="5334000" cy="3450431"/>
                  <wp:effectExtent b="0" l="0" r="0" t="0"/>
                  <wp:docPr descr="" title="" id="28" name="Picture"/>
                  <a:graphic>
                    <a:graphicData uri="http://schemas.openxmlformats.org/drawingml/2006/picture">
                      <pic:pic>
                        <pic:nvPicPr>
                          <pic:cNvPr descr="../../images/lab11-cerebrum-lobes.png" id="29" name="Picture"/>
                          <pic:cNvPicPr>
                            <a:picLocks noChangeArrowheads="1" noChangeAspect="1"/>
                          </pic:cNvPicPr>
                        </pic:nvPicPr>
                        <pic:blipFill>
                          <a:blip r:embed="rId27"/>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0">
              <w:r>
                <w:rPr>
                  <w:rStyle w:val="Hyperlink"/>
                </w:rPr>
                <w:t xml:space="preserve">Jkwchui</w:t>
              </w:r>
            </w:hyperlink>
            <w:r>
              <w:t xml:space="preserve">, CC BY-SA 3.0,</w:t>
            </w:r>
            <w:r>
              <w:t xml:space="preserve"> </w:t>
            </w:r>
            <w:hyperlink r:id="rId31">
              <w:r>
                <w:rPr>
                  <w:rStyle w:val="Hyperlink"/>
                </w:rPr>
                <w:t xml:space="preserve">original</w:t>
              </w:r>
            </w:hyperlink>
          </w:p>
          <w:bookmarkEnd w:id="32"/>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2"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7" w:name="fig-neurons"/>
                <w:p>
                  <w:pPr>
                    <w:pStyle w:val="Compact"/>
                    <w:jc w:val="center"/>
                    <w:jc w:val="left"/>
                  </w:pPr>
                  <w:r>
                    <w:drawing>
                      <wp:inline>
                        <wp:extent cx="2971800" cy="2461306"/>
                        <wp:effectExtent b="0" l="0" r="0" t="0"/>
                        <wp:docPr descr="" title="" id="34" name="Picture"/>
                        <a:graphic>
                          <a:graphicData uri="http://schemas.openxmlformats.org/drawingml/2006/picture">
                            <pic:pic>
                              <pic:nvPicPr>
                                <pic:cNvPr descr="../../images/lab11-pyrimidal-neurons.jpg" id="35" name="Picture"/>
                                <pic:cNvPicPr>
                                  <a:picLocks noChangeArrowheads="1" noChangeAspect="1"/>
                                </pic:cNvPicPr>
                              </pic:nvPicPr>
                              <pic:blipFill>
                                <a:blip r:embed="rId33"/>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6">
                    <w:r>
                      <w:rPr>
                        <w:rStyle w:val="Hyperlink"/>
                      </w:rPr>
                      <w:t xml:space="preserve">CC BY 3.0</w:t>
                    </w:r>
                  </w:hyperlink>
                  <w:r>
                    <w:t xml:space="preserve">, via Wikimedia Commons</w:t>
                  </w:r>
                </w:p>
                <w:bookmarkEnd w:id="37"/>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1" w:name="fig-brainwaves"/>
                <w:p>
                  <w:pPr>
                    <w:pStyle w:val="Compact"/>
                    <w:jc w:val="center"/>
                    <w:jc w:val="left"/>
                  </w:pPr>
                  <w:r>
                    <w:drawing>
                      <wp:inline>
                        <wp:extent cx="2971800" cy="2401590"/>
                        <wp:effectExtent b="0" l="0" r="0" t="0"/>
                        <wp:docPr descr="" title="" id="39" name="Picture"/>
                        <a:graphic>
                          <a:graphicData uri="http://schemas.openxmlformats.org/drawingml/2006/picture">
                            <pic:pic>
                              <pic:nvPicPr>
                                <pic:cNvPr descr="../../images/lab11-brainwaves.png" id="40" name="Picture"/>
                                <pic:cNvPicPr>
                                  <a:picLocks noChangeArrowheads="1" noChangeAspect="1"/>
                                </pic:cNvPicPr>
                              </pic:nvPicPr>
                              <pic:blipFill>
                                <a:blip r:embed="rId38"/>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1"/>
              </w:tc>
            </w:tr>
          </w:tbl>
          <w:p/>
        </w:tc>
      </w:tr>
    </w:tbl>
    <w:p>
      <w:pPr>
        <w:pStyle w:val="BodyText"/>
      </w:pPr>
      <w:pPr>
        <w:spacing w:before="200"/>
        <w:pStyle w:val="ImageCaption"/>
      </w:pPr>
      <w:r>
        <w:t xml:space="preserve">Figure 2: Pyrimidal neurons and the most common EEG wave bands.</w:t>
      </w:r>
    </w:p>
    <w:bookmarkEnd w:id="42"/>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alpha(7-13Hz), beta (13-30Hz), theta (3.5-7Hz) and delta (0.5-3.5Hz) waves</w:t>
      </w:r>
      <w:r>
        <w:t xml:space="preserve"> </w:t>
      </w:r>
      <w:hyperlink w:anchor="tbl-eegpatterns">
        <w:r>
          <w:rPr>
            <w:rStyle w:val="Hyperlink"/>
          </w:rPr>
          <w:t xml:space="preserve">Table 1</w:t>
        </w:r>
      </w:hyperlink>
      <w:r>
        <w:t xml:space="preserve">. The dominance of the different frequences changes with different stages of sleep. Although these waves were originally defined during sleep, they do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3"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3"/>
          <w:p/>
        </w:tc>
      </w:tr>
    </w:tbl>
    <w:p>
      <w:pPr>
        <w:pStyle w:val="BodyText"/>
      </w:pPr>
      <w:r>
        <w:t xml:space="preserve">Alpha waves (8-12 Hz) can be measured spontaneously and are prominent over the occipital (visual) region of the brain. When our eyes are open and are in an alert state, alpha waves tend to be suppressed. They are prominent when the eyes are closed and we are relaxed (</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 Beta waves increase when we are alert and are associated with focus or problem-solving. Gamma waves are associated with cognitive processing.</w:t>
      </w:r>
    </w:p>
    <w:p>
      <w:pPr>
        <w:pStyle w:val="BodyText"/>
      </w:pPr>
      <w:r>
        <w:t xml:space="preserve">It is important to note that brain function is extremely complicated and not perfectly understood. In particular, there is no easy one-to-one interpretation of brain frequencies with particular cogntive functions. In other words, there are likely to be countless processes that generate similar wave frequencies. However, EEG is very good at detecting brain activity at great temporal and spatial resolution. The most sophisticated systems use 64-256 electrodes mapped across the brain and can provide spatial and temporal resolution in 3D. We will be using only two sets of electrodes targeting the frontal cortex and the occipital cortex, enough to detect some spatial differences, but we will have much better temporal resultion (and hopefully you can obtain clean signals if you can keep the level of noise down).</w:t>
      </w:r>
    </w:p>
    <w:p>
      <w:pPr>
        <w:pStyle w:val="BodyText"/>
      </w:pPr>
      <w:r>
        <w:t xml:space="preserve">Recently, there has been a lot of interest in using EEG to measure brain activity in an educational context. 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r>
        <w:t xml:space="preserve"> </w:t>
      </w:r>
      <w:r>
        <w:t xml:space="preserve">Meer and Weel (2017)</w:t>
      </w:r>
      <w:r>
        <w:t xml:space="preserve"> </w:t>
      </w:r>
      <w:r>
        <w:t xml:space="preserve">found that a decrease of theta/alpha brain waves (lower frequency) when drawing over typing, implying that the brain is more receptive to learning. Describing words (paraphrasing) was associated with an increase in the upper alpha/beta/gamma range (higher frequency waves), especially during ideation (the formatiom of ideas).</w:t>
      </w:r>
      <w:r>
        <w:t xml:space="preserve"> </w:t>
      </w:r>
      <w:r>
        <w:t xml:space="preserve">Ose Askvik, Weel, and Meer (2020)</w:t>
      </w:r>
      <w:r>
        <w:t xml:space="preserve"> </w:t>
      </w:r>
      <w:r>
        <w:t xml:space="preserve">explored brain activity while writing in cursive vs. drawing vs. typing.</w:t>
      </w:r>
    </w:p>
    <w:p>
      <w:pPr>
        <w:pStyle w:val="BodyText"/>
      </w:pPr>
      <w:r>
        <w:t xml:space="preserve">Your task today is to explore brain activity in the frontal and occipital cortex while the subject performs different tasks. Can you see changes in EEG pattern?</w:t>
      </w:r>
    </w:p>
    <w:bookmarkStart w:id="44"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equipment are set up correctly and ready to record.</w:t>
      </w:r>
    </w:p>
    <w:p>
      <w:pPr>
        <w:pStyle w:val="Compact"/>
        <w:numPr>
          <w:ilvl w:val="0"/>
          <w:numId w:val="1006"/>
        </w:numPr>
      </w:pPr>
      <w:r>
        <w:rPr>
          <w:i/>
          <w:iCs/>
        </w:rPr>
        <w:t xml:space="preserve">Detecting artifacts</w:t>
      </w:r>
      <w:r>
        <w:t xml:space="preserve">. You will learn how to indentify artifacts produced by unwanted electrical acticity.</w:t>
      </w:r>
    </w:p>
    <w:p>
      <w:pPr>
        <w:pStyle w:val="Compact"/>
        <w:numPr>
          <w:ilvl w:val="0"/>
          <w:numId w:val="1006"/>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6"/>
        </w:numPr>
      </w:pPr>
      <w:r>
        <w:rPr>
          <w:i/>
          <w:iCs/>
        </w:rPr>
        <w:t xml:space="preserve">One or more of your own experiments</w:t>
      </w:r>
      <w:r>
        <w:t xml:space="preserve">.</w:t>
      </w:r>
    </w:p>
    <w:bookmarkEnd w:id="44"/>
    <w:bookmarkStart w:id="45"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EEG Flat Electrodes</w:t>
      </w:r>
    </w:p>
    <w:p>
      <w:pPr>
        <w:pStyle w:val="Compact"/>
        <w:numPr>
          <w:ilvl w:val="0"/>
          <w:numId w:val="1007"/>
        </w:numPr>
      </w:pPr>
      <w:r>
        <w:t xml:space="preserve">Electrode Cream or Paste</w:t>
      </w:r>
    </w:p>
    <w:p>
      <w:pPr>
        <w:pStyle w:val="Compact"/>
        <w:numPr>
          <w:ilvl w:val="0"/>
          <w:numId w:val="1007"/>
        </w:numPr>
      </w:pPr>
      <w:r>
        <w:t xml:space="preserve">Alcohol Swabs</w:t>
      </w:r>
    </w:p>
    <w:p>
      <w:pPr>
        <w:pStyle w:val="Compact"/>
        <w:numPr>
          <w:ilvl w:val="0"/>
          <w:numId w:val="1007"/>
        </w:numPr>
      </w:pPr>
      <w:r>
        <w:t xml:space="preserve">Ace Bandgage</w:t>
      </w:r>
    </w:p>
    <w:p>
      <w:pPr>
        <w:pStyle w:val="Compact"/>
        <w:numPr>
          <w:ilvl w:val="0"/>
          <w:numId w:val="1007"/>
        </w:numPr>
      </w:pPr>
      <w:r>
        <w:t xml:space="preserve">Tape</w:t>
      </w:r>
    </w:p>
    <w:bookmarkEnd w:id="45"/>
    <w:bookmarkEnd w:id="46"/>
    <w:bookmarkStart w:id="57" w:name="procedure"/>
    <w:p>
      <w:pPr>
        <w:pStyle w:val="Heading1"/>
      </w:pPr>
      <w:r>
        <w:t xml:space="preserve">Procedure</w:t>
      </w:r>
    </w:p>
    <w:bookmarkStart w:id="51" w:name="subject-preparation"/>
    <w:p>
      <w:pPr>
        <w:pStyle w:val="Heading2"/>
      </w:pPr>
      <w:r>
        <w:t xml:space="preserve">Subject preparation</w:t>
      </w:r>
    </w:p>
    <w:p>
      <w:pPr>
        <w:numPr>
          <w:ilvl w:val="0"/>
          <w:numId w:val="1008"/>
        </w:numPr>
      </w:pPr>
      <w:r>
        <w:t xml:space="preserve">Make sure the PowerLab is turned off and the USB cable is connected to the computer.</w:t>
      </w:r>
    </w:p>
    <w:p>
      <w:pPr>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8"/>
        </w:numPr>
      </w:pPr>
      <w:r>
        <w:t xml:space="preserve">Attach the leads of the EEG Flat Electrodes to the Earth, CH1 NEG and POS pins closest to the labeled side on the Bio Amp Cable.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attach on either side of the forehead to record across the frontal lobe. Channel 2</w:t>
      </w:r>
      <w:r>
        <w:t xml:space="preserve"> </w:t>
      </w:r>
      <w:r>
        <w:t xml:space="preserve">“</w:t>
      </w:r>
      <w:r>
        <w:t xml:space="preserve">posiyive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cross the occipital lobe on the back of the head just above the neck. The Earth electrode will lead to the bare skin just behind the ear on the left side. Refer to Figure 1 for proper placement, but do not attach them to the volunteer. Follow the color scheme on the Bio Amp Cable.</w:t>
      </w:r>
    </w:p>
    <w:p>
      <w:pPr>
        <w:numPr>
          <w:ilvl w:val="0"/>
          <w:numId w:val="1008"/>
        </w:numPr>
      </w:pPr>
      <w:r>
        <w:t xml:space="preserve">Remove any jewelry from the volunteer’s face, ears, and neck. Use a ballpoint pen to mark a small cross on the skin on the back of the head, forehead, and behind the ear. Use Figure 1 as a guide. Abrade the skin with Abrasive Gel or Pad. This is important as abrasion helps reduce the skin’s resistance.</w:t>
      </w:r>
    </w:p>
    <w:p>
      <w:pPr>
        <w:numPr>
          <w:ilvl w:val="0"/>
          <w:numId w:val="1008"/>
        </w:numPr>
      </w:pPr>
      <w:r>
        <w:t xml:space="preserve">After abrasion, clean the area with an alcohol swab to remove the dead skin cells. While the skin is drying, scoop Electrode Paste into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Use the ACE bandage to wrap keep the flat electrodes tightly in contact with the head. This will help the electrodes maintain good contact with the skin. Make sure the electrode wires are nearly unwound and do not cross over any power cables or electronic equipment.</w:t>
      </w:r>
    </w:p>
    <w:p>
      <w:pPr>
        <w:numPr>
          <w:ilvl w:val="0"/>
          <w:numId w:val="1008"/>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08"/>
        </w:numPr>
      </w:pPr>
      <w:r>
        <w:t xml:space="preserve">Check that all five electrodes are properly connected to the volunteer and the Bio Amp Cable before proceeding.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0" w:name="fig-setup"/>
          <w:p>
            <w:pPr>
              <w:pStyle w:val="Compact"/>
              <w:jc w:val="center"/>
            </w:pPr>
            <w:r>
              <w:drawing>
                <wp:inline>
                  <wp:extent cx="4597400" cy="3733800"/>
                  <wp:effectExtent b="0" l="0" r="0" t="0"/>
                  <wp:docPr descr="" title="" id="48" name="Picture"/>
                  <a:graphic>
                    <a:graphicData uri="http://schemas.openxmlformats.org/drawingml/2006/picture">
                      <pic:pic>
                        <pic:nvPicPr>
                          <pic:cNvPr descr="../../images/lab11-eeg-setup.png" id="49" name="Picture"/>
                          <pic:cNvPicPr>
                            <a:picLocks noChangeArrowheads="1" noChangeAspect="1"/>
                          </pic:cNvPicPr>
                        </pic:nvPicPr>
                        <pic:blipFill>
                          <a:blip r:embed="rId47"/>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0"/>
        </w:tc>
      </w:tr>
    </w:tbl>
    <w:bookmarkEnd w:id="51"/>
    <w:bookmarkStart w:id="56" w:name="software-setup"/>
    <w:p>
      <w:pPr>
        <w:pStyle w:val="Heading2"/>
      </w:pPr>
      <w:r>
        <w:t xml:space="preserve">Software Setup</w:t>
      </w:r>
    </w:p>
    <w:p>
      <w:pPr>
        <w:numPr>
          <w:ilvl w:val="0"/>
          <w:numId w:val="1009"/>
        </w:numPr>
      </w:pPr>
      <w:r>
        <w:t xml:space="preserve">Start Chart using the EEG lab settings file. Four channels should appear: the</w:t>
      </w:r>
      <w:r>
        <w:t xml:space="preserve"> </w:t>
      </w:r>
      <w:r>
        <w:rPr>
          <w:b/>
          <w:bCs/>
        </w:rPr>
        <w:t xml:space="preserve">EEG frontal</w:t>
      </w:r>
      <w:r>
        <w:t xml:space="preserve"> </w:t>
      </w:r>
      <w:r>
        <w:t xml:space="preserve">and the</w:t>
      </w:r>
      <w:r>
        <w:t xml:space="preserve"> </w:t>
      </w:r>
      <w:r>
        <w:rPr>
          <w:b/>
          <w:bCs/>
        </w:rPr>
        <w:t xml:space="preserve">EEG occipital</w:t>
      </w:r>
      <w:r>
        <w:t xml:space="preserve">, and :</w:t>
      </w:r>
      <w:r>
        <w:t xml:space="preserve"> </w:t>
      </w:r>
      <w:r>
        <w:rPr>
          <w:b/>
          <w:bCs/>
        </w:rPr>
        <w:t xml:space="preserve">Alpha power frontal</w:t>
      </w:r>
      <w:r>
        <w:t xml:space="preserve"> </w:t>
      </w:r>
      <w:r>
        <w:t xml:space="preserve">and</w:t>
      </w:r>
      <w:r>
        <w:t xml:space="preserve"> </w:t>
      </w:r>
      <w:r>
        <w:rPr>
          <w:b/>
          <w:bCs/>
        </w:rPr>
        <w:t xml:space="preserve">Alpha power occipital</w:t>
      </w:r>
      <w:r>
        <w:t xml:space="preserve">.</w:t>
      </w:r>
    </w:p>
    <w:p>
      <w:pPr>
        <w:numPr>
          <w:ilvl w:val="0"/>
          <w:numId w:val="1009"/>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5" w:name="fig-bioamp"/>
          <w:p>
            <w:pPr>
              <w:pStyle w:val="Compact"/>
              <w:jc w:val="center"/>
            </w:pPr>
            <w:r>
              <w:drawing>
                <wp:inline>
                  <wp:extent cx="5334000" cy="3978105"/>
                  <wp:effectExtent b="0" l="0" r="0" t="0"/>
                  <wp:docPr descr="" title="" id="53" name="Picture"/>
                  <a:graphic>
                    <a:graphicData uri="http://schemas.openxmlformats.org/drawingml/2006/picture">
                      <pic:pic>
                        <pic:nvPicPr>
                          <pic:cNvPr descr="../../images/lab11-bioamp-dialog.png" id="54" name="Picture"/>
                          <pic:cNvPicPr>
                            <a:picLocks noChangeArrowheads="1" noChangeAspect="1"/>
                          </pic:cNvPicPr>
                        </pic:nvPicPr>
                        <pic:blipFill>
                          <a:blip r:embed="rId52"/>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5"/>
        </w:tc>
      </w:tr>
    </w:tbl>
    <w:bookmarkEnd w:id="56"/>
    <w:bookmarkEnd w:id="57"/>
    <w:bookmarkStart w:id="60" w:name="exercise-1-recognizing-artifacts"/>
    <w:p>
      <w:pPr>
        <w:pStyle w:val="Heading1"/>
      </w:pPr>
      <w:r>
        <w:t xml:space="preserve">Exercise 1: Recognizing Artifacts</w:t>
      </w:r>
    </w:p>
    <w:p>
      <w:pPr>
        <w:numPr>
          <w:ilvl w:val="0"/>
          <w:numId w:val="1010"/>
        </w:numPr>
      </w:pPr>
      <w:r>
        <w:t xml:space="preserve">Start recording. Ask the volunteer blink repeatedly and add a comment</w:t>
      </w:r>
      <w:r>
        <w:t xml:space="preserve"> </w:t>
      </w:r>
      <w:r>
        <w:t xml:space="preserve">“</w:t>
      </w:r>
      <w:r>
        <w:t xml:space="preserve">blinking</w:t>
      </w:r>
      <w:r>
        <w:t xml:space="preserve">”</w:t>
      </w:r>
      <w:r>
        <w:t xml:space="preserve">. Stop recording after 10 seconds.</w:t>
      </w:r>
    </w:p>
    <w:p>
      <w:pPr>
        <w:numPr>
          <w:ilvl w:val="0"/>
          <w:numId w:val="1010"/>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0"/>
        </w:numPr>
      </w:pPr>
      <w:r>
        <w:t xml:space="preserve">Record the volunteer making head movements.</w:t>
      </w:r>
    </w:p>
    <w:p>
      <w:pPr>
        <w:numPr>
          <w:ilvl w:val="0"/>
          <w:numId w:val="1010"/>
        </w:numPr>
      </w:pPr>
      <w:r>
        <w:t xml:space="preserve">Record the volunteer making jaw movements.</w:t>
      </w:r>
    </w:p>
    <w:p>
      <w:pPr>
        <w:numPr>
          <w:ilvl w:val="0"/>
          <w:numId w:val="1010"/>
        </w:numPr>
      </w:pPr>
      <w:r>
        <w:t xml:space="preserve">Record the volunteer swallowing.</w:t>
      </w:r>
    </w:p>
    <w:p>
      <w:pPr>
        <w:numPr>
          <w:ilvl w:val="0"/>
          <w:numId w:val="1010"/>
        </w:numPr>
      </w:pPr>
      <w:r>
        <w:t xml:space="preserve">Save your data, and open a new file with the same settings.</w:t>
      </w:r>
    </w:p>
    <w:bookmarkStart w:id="59" w:name="analysis"/>
    <w:p>
      <w:pPr>
        <w:pStyle w:val="Heading2"/>
      </w:pPr>
      <w:r>
        <w:t xml:space="preserve">Analysis</w:t>
      </w:r>
    </w:p>
    <w:bookmarkStart w:id="58" w:name="exercise-1-recognizing-artifacts-1"/>
    <w:p>
      <w:pPr>
        <w:pStyle w:val="Heading3"/>
      </w:pPr>
      <w:r>
        <w:t xml:space="preserve">Exercise 1: Recognizing Artifacts</w:t>
      </w:r>
    </w:p>
    <w:p>
      <w:pPr>
        <w:numPr>
          <w:ilvl w:val="0"/>
          <w:numId w:val="1011"/>
        </w:numPr>
      </w:pPr>
      <w:r>
        <w:t xml:space="preserve">Examine the vertical scale at the left of the Chart View, and note the positions corresponding to +50 µV and –50 µV. True EEG signals rarely exceed these limits.</w:t>
      </w:r>
    </w:p>
    <w:p>
      <w:pPr>
        <w:numPr>
          <w:ilvl w:val="0"/>
          <w:numId w:val="1011"/>
        </w:numPr>
      </w:pPr>
      <w:r>
        <w:t xml:space="preserve">Examine the entire data trace and Autoscale, if necessary. There may be some large signals outside the ±75 µV range. Such large signals are artifacts.</w:t>
      </w:r>
    </w:p>
    <w:bookmarkEnd w:id="58"/>
    <w:bookmarkEnd w:id="59"/>
    <w:bookmarkEnd w:id="60"/>
    <w:bookmarkStart w:id="68"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2"/>
        </w:numPr>
      </w:pPr>
      <w:r>
        <w:t xml:space="preserve">Make sure the volunteer is relaxed and comfortable. Have the volunteer close his/her eyes and remain quiet. Keep noise to a minimum and keep all distractions away from the volunteer.</w:t>
      </w:r>
    </w:p>
    <w:p>
      <w:pPr>
        <w:numPr>
          <w:ilvl w:val="0"/>
          <w:numId w:val="1012"/>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2"/>
        </w:numPr>
      </w:pPr>
      <w:r>
        <w:t xml:space="preserve">Tell the volunteer to open both eyes. Immediately press Return/Enter to add the comment. The subject should not be reading anything or moving their eyes around. Keep head, neck, and eyes very still with the gaze focused on a single point in front of them. Record with the volunteer’s eyes open for 10 seconds. Do not stop recording.</w:t>
      </w:r>
    </w:p>
    <w:p>
      <w:pPr>
        <w:numPr>
          <w:ilvl w:val="0"/>
          <w:numId w:val="1012"/>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2"/>
        </w:numPr>
      </w:pPr>
      <w:r>
        <w:t xml:space="preserve">Repeat steps 3 and 4 twice, to give you three sets of results. Save your data.</w:t>
      </w:r>
    </w:p>
    <w:bookmarkStart w:id="67" w:name="analysis-alpha-waves-in-the-eeg"/>
    <w:p>
      <w:pPr>
        <w:pStyle w:val="Heading2"/>
      </w:pPr>
      <w:r>
        <w:t xml:space="preserve">Analysis: Alpha Waves in the EEG</w:t>
      </w:r>
    </w:p>
    <w:p>
      <w:pPr>
        <w:pStyle w:val="Compact"/>
        <w:numPr>
          <w:ilvl w:val="0"/>
          <w:numId w:val="1013"/>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4" w:name="fig-eeg-raw"/>
          <w:p>
            <w:pPr>
              <w:pStyle w:val="Compact"/>
              <w:jc w:val="center"/>
            </w:pPr>
            <w:r>
              <w:drawing>
                <wp:inline>
                  <wp:extent cx="5334000" cy="3605695"/>
                  <wp:effectExtent b="0" l="0" r="0" t="0"/>
                  <wp:docPr descr="" title="" id="62" name="Picture"/>
                  <a:graphic>
                    <a:graphicData uri="http://schemas.openxmlformats.org/drawingml/2006/picture">
                      <pic:pic>
                        <pic:nvPicPr>
                          <pic:cNvPr descr="../../images/lab11-eeg-raw.png" id="63" name="Picture"/>
                          <pic:cNvPicPr>
                            <a:picLocks noChangeArrowheads="1" noChangeAspect="1"/>
                          </pic:cNvPicPr>
                        </pic:nvPicPr>
                        <pic:blipFill>
                          <a:blip r:embed="rId61"/>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4"/>
        </w:tc>
      </w:tr>
    </w:tbl>
    <w:p>
      <w:pPr>
        <w:pStyle w:val="Compact"/>
        <w:numPr>
          <w:ilvl w:val="0"/>
          <w:numId w:val="1014"/>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t xml:space="preserve">Note: If you cannot find brain activity that matches the alpha rhythm, re-attach the electrodes and repeat this exercise.</w:t>
      </w:r>
    </w:p>
    <w:p>
      <w:pPr>
        <w:numPr>
          <w:ilvl w:val="0"/>
          <w:numId w:val="1015"/>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5"/>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5"/>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5"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5"/>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66"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6"/>
          <w:p/>
        </w:tc>
      </w:tr>
    </w:tbl>
    <w:bookmarkEnd w:id="67"/>
    <w:bookmarkEnd w:id="68"/>
    <w:bookmarkStart w:id="94"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w:t>
      </w:r>
    </w:p>
    <w:p>
      <w:pPr>
        <w:pStyle w:val="BodyText"/>
      </w:pPr>
      <w:r>
        <w:t xml:space="preserve">Spectrum view conducts a spectral analysis of the data by separting the complex EEG signal into its component waveforms which differ by frequency. Specifically we will use the</w:t>
      </w:r>
      <w:r>
        <w:t xml:space="preserve"> </w:t>
      </w:r>
      <w:r>
        <w:t xml:space="preserve">“</w:t>
      </w:r>
      <w:r>
        <w:rPr>
          <w:i/>
          <w:iCs/>
        </w:rPr>
        <w:t xml:space="preserve">fast Fourier transform</w:t>
      </w:r>
      <w:r>
        <w:t xml:space="preserve">”</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 Thus, what we see is a plot of the power (y-axis)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 Power Spectrum Density (PSD) plot. The data can also be displayed as 3-dimensional color plot of spectral power, frequency, and time called a Spectrogram.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 power.)</w:t>
      </w:r>
    </w:p>
    <w:p>
      <w:pPr>
        <w:numPr>
          <w:ilvl w:val="0"/>
          <w:numId w:val="1016"/>
        </w:numPr>
      </w:pPr>
      <w:r>
        <w:t xml:space="preserve">Click on the home button on the lower left of the screen to open the Welcome Center. In the Experiments tab browse the</w:t>
      </w:r>
      <w:r>
        <w:t xml:space="preserve"> </w:t>
      </w:r>
      <w:r>
        <w:t xml:space="preserve">“</w:t>
      </w:r>
      <w:r>
        <w:t xml:space="preserve">EEG Spectral Analysis Tutorial.</w:t>
      </w:r>
      <w:r>
        <w:t xml:space="preserve">”</w:t>
      </w:r>
      <w:r>
        <w:t xml:space="preserve"> </w:t>
      </w:r>
      <w:r>
        <w:t xml:space="preserve">It will be in the Settings folder for this experiment. Open this file.</w:t>
      </w:r>
    </w:p>
    <w:p>
      <w:pPr>
        <w:numPr>
          <w:ilvl w:val="0"/>
          <w:numId w:val="1016"/>
        </w:numPr>
      </w:pPr>
      <w:r>
        <w:t xml:space="preserve">Examine the Chart View. Use the View Buttons to view each block. You should see five blocks of data. The first record is a slowly oscillating sine wave</w:t>
      </w:r>
    </w:p>
    <w:p>
      <w:pPr>
        <w:numPr>
          <w:ilvl w:val="0"/>
          <w:numId w:val="1016"/>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2" w:name="fig-button"/>
          <w:p>
            <w:pPr>
              <w:pStyle w:val="Compact"/>
              <w:jc w:val="center"/>
            </w:pPr>
            <w:r>
              <w:drawing>
                <wp:inline>
                  <wp:extent cx="1931110" cy="665018"/>
                  <wp:effectExtent b="0" l="0" r="0" t="0"/>
                  <wp:docPr descr="" title="" id="70" name="Picture"/>
                  <a:graphic>
                    <a:graphicData uri="http://schemas.openxmlformats.org/drawingml/2006/picture">
                      <pic:pic>
                        <pic:nvPicPr>
                          <pic:cNvPr descr="../../images/lab11-spectral-button.png" id="71" name="Picture"/>
                          <pic:cNvPicPr>
                            <a:picLocks noChangeArrowheads="1" noChangeAspect="1"/>
                          </pic:cNvPicPr>
                        </pic:nvPicPr>
                        <pic:blipFill>
                          <a:blip r:embed="rId69"/>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2"/>
        </w:tc>
      </w:tr>
    </w:tbl>
    <w:p>
      <w:pPr>
        <w:numPr>
          <w:ilvl w:val="0"/>
          <w:numId w:val="1017"/>
        </w:numPr>
      </w:pPr>
      <w:r>
        <w:t xml:space="preserve">Click the Smart Tile button in the LabChart Toolbar to display both windows in full screen mode.</w:t>
      </w:r>
    </w:p>
    <w:p>
      <w:pPr>
        <w:numPr>
          <w:ilvl w:val="0"/>
          <w:numId w:val="1017"/>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18"/>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76" w:name="fig-eeg-hz"/>
          <w:p>
            <w:pPr>
              <w:pStyle w:val="Compact"/>
              <w:jc w:val="center"/>
            </w:pPr>
            <w:r>
              <w:drawing>
                <wp:inline>
                  <wp:extent cx="3747121" cy="2014237"/>
                  <wp:effectExtent b="0" l="0" r="0" t="0"/>
                  <wp:docPr descr="" title="" id="74" name="Picture"/>
                  <a:graphic>
                    <a:graphicData uri="http://schemas.openxmlformats.org/drawingml/2006/picture">
                      <pic:pic>
                        <pic:nvPicPr>
                          <pic:cNvPr descr="../../images/lab11-eeg-hz.png" id="75" name="Picture"/>
                          <pic:cNvPicPr>
                            <a:picLocks noChangeArrowheads="1" noChangeAspect="1"/>
                          </pic:cNvPicPr>
                        </pic:nvPicPr>
                        <pic:blipFill>
                          <a:blip r:embed="rId73"/>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76"/>
        </w:tc>
      </w:tr>
    </w:tbl>
    <w:p>
      <w:pPr>
        <w:pStyle w:val="Compact"/>
        <w:numPr>
          <w:ilvl w:val="0"/>
          <w:numId w:val="1019"/>
        </w:numPr>
      </w:pPr>
      <w:r>
        <w:t xml:space="preserve">Set the horizontal scaling for the Spectrogram to 50:1.</w:t>
      </w:r>
    </w:p>
    <w:p>
      <w:pPr>
        <w:pStyle w:val="Compact"/>
        <w:numPr>
          <w:ilvl w:val="0"/>
          <w:numId w:val="1020"/>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1"/>
        </w:numPr>
      </w:pPr>
      <w:r>
        <w:t xml:space="preserve">What is the frequency in Hertz (Hz) of this sine wave? ______</w:t>
      </w:r>
    </w:p>
    <w:p>
      <w:pPr>
        <w:pStyle w:val="Compact"/>
        <w:numPr>
          <w:ilvl w:val="0"/>
          <w:numId w:val="1022"/>
        </w:numPr>
      </w:pPr>
      <w:r>
        <w:t xml:space="preserve">Select the second record and again view the result in the Spectrum view.</w:t>
      </w:r>
    </w:p>
    <w:p>
      <w:pPr>
        <w:pStyle w:val="Compact"/>
        <w:numPr>
          <w:ilvl w:val="0"/>
          <w:numId w:val="1023"/>
        </w:numPr>
      </w:pPr>
      <w:r>
        <w:t xml:space="preserve">What is the frequency in Hertz (Hz) of this second sine wave? _____</w:t>
      </w:r>
    </w:p>
    <w:p>
      <w:pPr>
        <w:pStyle w:val="Compact"/>
        <w:numPr>
          <w:ilvl w:val="0"/>
          <w:numId w:val="1024"/>
        </w:numPr>
      </w:pPr>
      <w:r>
        <w:t xml:space="preserve">Select the third record and again view the result in the Spectrum view. You should now see two prominent peaks (PSD plot) and bands (Spectrogram) in the result.</w:t>
      </w:r>
    </w:p>
    <w:p>
      <w:pPr>
        <w:pStyle w:val="Compact"/>
        <w:numPr>
          <w:ilvl w:val="0"/>
          <w:numId w:val="1025"/>
        </w:numPr>
      </w:pPr>
      <w:r>
        <w:t xml:space="preserve">Are these two peaks/bands the same as for the first two records? _____</w:t>
      </w:r>
    </w:p>
    <w:p>
      <w:pPr>
        <w:pStyle w:val="Compact"/>
        <w:numPr>
          <w:ilvl w:val="0"/>
          <w:numId w:val="1026"/>
        </w:numPr>
      </w:pPr>
      <w:r>
        <w:t xml:space="preserve">Select the fourth record and again view the result in the Spectrum view.</w:t>
      </w:r>
    </w:p>
    <w:p>
      <w:pPr>
        <w:pStyle w:val="Compact"/>
        <w:numPr>
          <w:ilvl w:val="0"/>
          <w:numId w:val="1027"/>
        </w:numPr>
      </w:pPr>
      <w:r>
        <w:t xml:space="preserve">Is there any regular signal within this record? _____</w:t>
      </w:r>
    </w:p>
    <w:p>
      <w:pPr>
        <w:numPr>
          <w:ilvl w:val="0"/>
          <w:numId w:val="1028"/>
        </w:numPr>
      </w:pPr>
      <w:r>
        <w:t xml:space="preserve">In Chart View compare the signal amplitudes of the fourth and fifth records. Note that the fifth record has lower amplitude compared with the fourth record.</w:t>
      </w:r>
    </w:p>
    <w:p>
      <w:pPr>
        <w:numPr>
          <w:ilvl w:val="0"/>
          <w:numId w:val="1028"/>
        </w:numPr>
      </w:pPr>
      <w:r>
        <w:t xml:space="preserve">Select the fourth record again. In the Spectrum view examine the PSD plot. Move the Waveform Cursor to the prominent peak.</w:t>
      </w:r>
    </w:p>
    <w:p>
      <w:pPr>
        <w:numPr>
          <w:ilvl w:val="0"/>
          <w:numId w:val="1029"/>
        </w:numPr>
      </w:pPr>
      <w:r>
        <w:t xml:space="preserve">What is the frequency (Hz) of this signal? _____</w:t>
      </w:r>
    </w:p>
    <w:p>
      <w:pPr>
        <w:numPr>
          <w:ilvl w:val="0"/>
          <w:numId w:val="1029"/>
        </w:numPr>
      </w:pPr>
      <w:r>
        <w:t xml:space="preserve">What is the power (mV2) of this signal? _____</w:t>
      </w:r>
    </w:p>
    <w:p>
      <w:pPr>
        <w:pStyle w:val="Compact"/>
        <w:numPr>
          <w:ilvl w:val="0"/>
          <w:numId w:val="1030"/>
        </w:numPr>
      </w:pPr>
      <w:r>
        <w:t xml:space="preserve">Select the fifth record and examine the PSD plot. Move the Waveform Cursor to the peak.</w:t>
      </w:r>
    </w:p>
    <w:p>
      <w:pPr>
        <w:numPr>
          <w:ilvl w:val="0"/>
          <w:numId w:val="1031"/>
        </w:numPr>
      </w:pPr>
      <w:r>
        <w:t xml:space="preserve">What is the frequency (Hz) of this signal? _____</w:t>
      </w:r>
    </w:p>
    <w:p>
      <w:pPr>
        <w:numPr>
          <w:ilvl w:val="0"/>
          <w:numId w:val="1031"/>
        </w:numPr>
      </w:pPr>
      <w:r>
        <w:t xml:space="preserve">What is the power (mV2) of this signal? _____</w:t>
      </w:r>
    </w:p>
    <w:p>
      <w:pPr>
        <w:pStyle w:val="Compact"/>
        <w:numPr>
          <w:ilvl w:val="0"/>
          <w:numId w:val="1032"/>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0" w:name="fig-6a"/>
                <w:p>
                  <w:pPr>
                    <w:pStyle w:val="Compact"/>
                    <w:jc w:val="center"/>
                    <w:jc w:val="left"/>
                  </w:pPr>
                  <w:r>
                    <w:drawing>
                      <wp:inline>
                        <wp:extent cx="4450506" cy="2500212"/>
                        <wp:effectExtent b="0" l="0" r="0" t="0"/>
                        <wp:docPr descr="" title="" id="78" name="Picture"/>
                        <a:graphic>
                          <a:graphicData uri="http://schemas.openxmlformats.org/drawingml/2006/picture">
                            <pic:pic>
                              <pic:nvPicPr>
                                <pic:cNvPr descr="../../images/lab11-6a.png" id="79" name="Picture"/>
                                <pic:cNvPicPr>
                                  <a:picLocks noChangeArrowheads="1" noChangeAspect="1"/>
                                </pic:cNvPicPr>
                              </pic:nvPicPr>
                              <pic:blipFill>
                                <a:blip r:embed="rId77"/>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0"/>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b"/>
                <w:p>
                  <w:pPr>
                    <w:pStyle w:val="Compact"/>
                    <w:jc w:val="center"/>
                    <w:jc w:val="left"/>
                  </w:pPr>
                  <w:r>
                    <w:drawing>
                      <wp:inline>
                        <wp:extent cx="4316223" cy="1963082"/>
                        <wp:effectExtent b="0" l="0" r="0" t="0"/>
                        <wp:docPr descr="" title="" id="82" name="Picture"/>
                        <a:graphic>
                          <a:graphicData uri="http://schemas.openxmlformats.org/drawingml/2006/picture">
                            <pic:pic>
                              <pic:nvPicPr>
                                <pic:cNvPr descr="../../images/lab11-6b.png" id="83" name="Picture"/>
                                <pic:cNvPicPr>
                                  <a:picLocks noChangeArrowheads="1" noChangeAspect="1"/>
                                </pic:cNvPicPr>
                              </pic:nvPicPr>
                              <pic:blipFill>
                                <a:blip r:embed="rId81"/>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4"/>
              </w:tc>
            </w:tr>
          </w:tbl>
          <w:p/>
        </w:tc>
      </w:tr>
    </w:tbl>
    <w:p>
      <w:pPr>
        <w:pStyle w:val="Compact"/>
        <w:numPr>
          <w:ilvl w:val="0"/>
          <w:numId w:val="1033"/>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4"/>
        </w:numPr>
      </w:pPr>
      <w:r>
        <w:t xml:space="preserve">How has the quality of the signal affected the wave features? _____</w:t>
      </w:r>
    </w:p>
    <w:bookmarkStart w:id="93"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5"/>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88" w:name="fig-eeg"/>
          <w:p>
            <w:pPr>
              <w:pStyle w:val="Compact"/>
              <w:jc w:val="center"/>
            </w:pPr>
            <w:r>
              <w:drawing>
                <wp:inline>
                  <wp:extent cx="5334000" cy="2513206"/>
                  <wp:effectExtent b="0" l="0" r="0" t="0"/>
                  <wp:docPr descr="" title="" id="86" name="Picture"/>
                  <a:graphic>
                    <a:graphicData uri="http://schemas.openxmlformats.org/drawingml/2006/picture">
                      <pic:pic>
                        <pic:nvPicPr>
                          <pic:cNvPr descr="../../images/lab11-eeg.png" id="87" name="Picture"/>
                          <pic:cNvPicPr>
                            <a:picLocks noChangeArrowheads="1" noChangeAspect="1"/>
                          </pic:cNvPicPr>
                        </pic:nvPicPr>
                        <pic:blipFill>
                          <a:blip r:embed="rId85"/>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88"/>
        </w:tc>
      </w:tr>
    </w:tbl>
    <w:p>
      <w:pPr>
        <w:pStyle w:val="Compact"/>
        <w:numPr>
          <w:ilvl w:val="0"/>
          <w:numId w:val="1036"/>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alpha"/>
          <w:p>
            <w:pPr>
              <w:pStyle w:val="Compact"/>
              <w:jc w:val="center"/>
            </w:pPr>
            <w:r>
              <w:drawing>
                <wp:inline>
                  <wp:extent cx="5334000" cy="3957483"/>
                  <wp:effectExtent b="0" l="0" r="0" t="0"/>
                  <wp:docPr descr="" title="" id="90" name="Picture"/>
                  <a:graphic>
                    <a:graphicData uri="http://schemas.openxmlformats.org/drawingml/2006/picture">
                      <pic:pic>
                        <pic:nvPicPr>
                          <pic:cNvPr descr="../../images/lab11-alpha.png" id="91" name="Picture"/>
                          <pic:cNvPicPr>
                            <a:picLocks noChangeArrowheads="1" noChangeAspect="1"/>
                          </pic:cNvPicPr>
                        </pic:nvPicPr>
                        <pic:blipFill>
                          <a:blip r:embed="rId89"/>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2"/>
        </w:tc>
      </w:tr>
    </w:tbl>
    <w:p>
      <w:pPr>
        <w:numPr>
          <w:ilvl w:val="0"/>
          <w:numId w:val="1037"/>
        </w:numPr>
      </w:pPr>
      <w:r>
        <w:t xml:space="preserve">Alpha activity shows up in the PSD plot as a clear peak in the 8-12 Hz range. Then print the PSD plot.</w:t>
      </w:r>
    </w:p>
    <w:p>
      <w:pPr>
        <w:numPr>
          <w:ilvl w:val="0"/>
          <w:numId w:val="1037"/>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37"/>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37"/>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3"/>
    <w:bookmarkEnd w:id="94"/>
    <w:bookmarkStart w:id="102"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5" name="Picture"/>
                  <a:graphic>
                    <a:graphicData uri="http://schemas.openxmlformats.org/drawingml/2006/picture">
                      <pic:pic>
                        <pic:nvPicPr>
                          <pic:cNvPr descr="/Applications/quarto/share/formats/docx/note.png" id="9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38"/>
              </w:numPr>
            </w:pPr>
            <w:r>
              <w:rPr>
                <w:b/>
                <w:bCs/>
              </w:rPr>
              <w:t xml:space="preserve">copying</w:t>
            </w:r>
            <w:r>
              <w:t xml:space="preserve">: reproducing information verbatim. Word-for-word.</w:t>
            </w:r>
          </w:p>
          <w:p>
            <w:pPr>
              <w:pStyle w:val="Compact"/>
              <w:numPr>
                <w:ilvl w:val="0"/>
                <w:numId w:val="1038"/>
              </w:numPr>
            </w:pPr>
            <w:r>
              <w:rPr>
                <w:b/>
                <w:bCs/>
              </w:rPr>
              <w:t xml:space="preserve">note taking</w:t>
            </w:r>
            <w:r>
              <w:t xml:space="preserve">: depicting the information content in your own words, whether in sentences, bullet points, or some more flexible format.</w:t>
            </w:r>
          </w:p>
          <w:p>
            <w:pPr>
              <w:pStyle w:val="Compact"/>
              <w:numPr>
                <w:ilvl w:val="0"/>
                <w:numId w:val="1038"/>
              </w:numPr>
            </w:pPr>
            <w:r>
              <w:rPr>
                <w:b/>
                <w:bCs/>
              </w:rPr>
              <w:t xml:space="preserve">drawing</w:t>
            </w:r>
            <w:r>
              <w:t xml:space="preserve">: doodling, drawimg, or making diagrams of the information, which can be labelled.</w:t>
            </w:r>
          </w:p>
          <w:p>
            <w:pPr>
              <w:pStyle w:val="Compact"/>
              <w:numPr>
                <w:ilvl w:val="0"/>
                <w:numId w:val="1038"/>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Applications/quarto/share/formats/docx/note.png" id="98"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39"/>
              </w:numPr>
            </w:pPr>
            <w:r>
              <w:t xml:space="preserve">handwriting (print)</w:t>
            </w:r>
          </w:p>
          <w:p>
            <w:pPr>
              <w:pStyle w:val="Compact"/>
              <w:numPr>
                <w:ilvl w:val="0"/>
                <w:numId w:val="1039"/>
              </w:numPr>
            </w:pPr>
            <w:r>
              <w:t xml:space="preserve">cursive writing</w:t>
            </w:r>
          </w:p>
          <w:p>
            <w:pPr>
              <w:pStyle w:val="Compact"/>
              <w:numPr>
                <w:ilvl w:val="0"/>
                <w:numId w:val="1039"/>
              </w:numPr>
            </w:pPr>
            <w:r>
              <w:t xml:space="preserve">typing</w:t>
            </w:r>
          </w:p>
        </w:tc>
      </w:tr>
    </w:tbl>
    <w:p>
      <w:pPr>
        <w:numPr>
          <w:ilvl w:val="0"/>
          <w:numId w:val="1040"/>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0"/>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0"/>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0"/>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0"/>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0"/>
        </w:numPr>
      </w:pPr>
      <w:r>
        <w:t xml:space="preserve">For the 7th prompt on the sheet, have the subject read the sentence and draw a diagram/picture to illustrate what the sentence describes.</w:t>
      </w:r>
    </w:p>
    <w:p>
      <w:pPr>
        <w:numPr>
          <w:ilvl w:val="0"/>
          <w:numId w:val="1040"/>
        </w:numPr>
      </w:pPr>
      <w:r>
        <w:t xml:space="preserve">For the 8th prompt on the sheet, have the subject only read the sentence (in their head) without doing any note-taking activity.</w:t>
      </w:r>
    </w:p>
    <w:p>
      <w:pPr>
        <w:numPr>
          <w:ilvl w:val="0"/>
          <w:numId w:val="1040"/>
        </w:numPr>
      </w:pPr>
      <w:r>
        <w:t xml:space="preserve">Design your own experiment to test another factor in note taking strategies. For example, having the sentence read aloud to the subject. Record this trial with appropriate commenting.</w:t>
      </w:r>
    </w:p>
    <w:bookmarkStart w:id="101" w:name="analysis-1"/>
    <w:p>
      <w:pPr>
        <w:pStyle w:val="Heading2"/>
      </w:pPr>
      <w:r>
        <w:t xml:space="preserve">Analysis</w:t>
      </w:r>
    </w:p>
    <w:bookmarkStart w:id="100"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1"/>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1"/>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1"/>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1"/>
        </w:numPr>
      </w:pPr>
      <w:r>
        <w:t xml:space="preserve">Make a copy of</w:t>
      </w:r>
      <w:r>
        <w:t xml:space="preserve"> </w:t>
      </w:r>
      <w:hyperlink r:id="rId99">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1"/>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2"/>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3"/>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3"/>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2"/>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4"/>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2"/>
        </w:numPr>
      </w:pPr>
      <w:r>
        <w:t xml:space="preserve">Come up with four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0"/>
    <w:bookmarkEnd w:id="101"/>
    <w:bookmarkEnd w:id="102"/>
    <w:bookmarkStart w:id="103" w:name="food-for-thought"/>
    <w:p>
      <w:pPr>
        <w:pStyle w:val="Heading1"/>
      </w:pPr>
      <w:r>
        <w:t xml:space="preserve">Food for thought</w:t>
      </w:r>
    </w:p>
    <w:p>
      <w:pPr>
        <w:numPr>
          <w:ilvl w:val="0"/>
          <w:numId w:val="1045"/>
        </w:numPr>
      </w:pPr>
      <w:r>
        <w:t xml:space="preserve">How does the human anatomy make it difficult to record and electroencephalogram or EEG?</w:t>
      </w:r>
    </w:p>
    <w:p>
      <w:pPr>
        <w:numPr>
          <w:ilvl w:val="0"/>
          <w:numId w:val="1045"/>
        </w:numPr>
      </w:pPr>
      <w:r>
        <w:t xml:space="preserve">What are common causes of the artifacts you recorded in Exercise 1? Name at least 3.</w:t>
      </w:r>
    </w:p>
    <w:p>
      <w:pPr>
        <w:numPr>
          <w:ilvl w:val="0"/>
          <w:numId w:val="1045"/>
        </w:numPr>
      </w:pPr>
      <w:r>
        <w:t xml:space="preserve">In exercise 2, under what conditions did you see alpha waves more clearly?</w:t>
      </w:r>
    </w:p>
    <w:p>
      <w:pPr>
        <w:numPr>
          <w:ilvl w:val="0"/>
          <w:numId w:val="1045"/>
        </w:numPr>
      </w:pPr>
      <w:r>
        <w:t xml:space="preserve">What are alpha waves thought to indicate?</w:t>
      </w:r>
    </w:p>
    <w:p>
      <w:pPr>
        <w:numPr>
          <w:ilvl w:val="0"/>
          <w:numId w:val="1045"/>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5"/>
        </w:numPr>
      </w:pPr>
      <w:r>
        <w:t xml:space="preserve">What is the purpose of taking a control measurement with hand movement only?</w:t>
      </w:r>
    </w:p>
    <w:p>
      <w:pPr>
        <w:numPr>
          <w:ilvl w:val="0"/>
          <w:numId w:val="1045"/>
        </w:numPr>
      </w:pPr>
      <w:r>
        <w:t xml:space="preserve">Which activities were easier or more difficult for the subject to perform? Which types of waves are more abundant during more difficult activities?</w:t>
      </w:r>
    </w:p>
    <w:bookmarkEnd w:id="103"/>
    <w:bookmarkStart w:id="112" w:name="after-lab"/>
    <w:p>
      <w:pPr>
        <w:pStyle w:val="Heading1"/>
      </w:pPr>
      <w:r>
        <w:t xml:space="preserve">After Lab:</w:t>
      </w:r>
    </w:p>
    <w:p>
      <w:pPr>
        <w:pStyle w:val="Compact"/>
        <w:numPr>
          <w:ilvl w:val="0"/>
          <w:numId w:val="1046"/>
        </w:numPr>
      </w:pPr>
      <w:r>
        <w:t xml:space="preserve">This will be a group lab report.</w:t>
      </w:r>
    </w:p>
    <w:p>
      <w:pPr>
        <w:pStyle w:val="Compact"/>
        <w:numPr>
          <w:ilvl w:val="0"/>
          <w:numId w:val="1046"/>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6"/>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46"/>
        </w:numPr>
      </w:pPr>
      <w:r>
        <w:t xml:space="preserve">Please remember to include respective contributions.</w:t>
      </w:r>
    </w:p>
    <w:bookmarkStart w:id="111" w:name="refs"/>
    <w:bookmarkStart w:id="105"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4">
        <w:r>
          <w:rPr>
            <w:rStyle w:val="Hyperlink"/>
          </w:rPr>
          <w:t xml:space="preserve">https://doi.org/10.1016/j.cub.2011.10.037</w:t>
        </w:r>
      </w:hyperlink>
      <w:r>
        <w:t xml:space="preserve">.</w:t>
      </w:r>
    </w:p>
    <w:bookmarkEnd w:id="105"/>
    <w:bookmarkStart w:id="107"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06">
        <w:r>
          <w:rPr>
            <w:rStyle w:val="Hyperlink"/>
          </w:rPr>
          <w:t xml:space="preserve">https://doi.org/10.3389/fpsyg.2017.00706</w:t>
        </w:r>
      </w:hyperlink>
      <w:r>
        <w:t xml:space="preserve">.</w:t>
      </w:r>
    </w:p>
    <w:bookmarkEnd w:id="107"/>
    <w:bookmarkStart w:id="109"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08">
        <w:r>
          <w:rPr>
            <w:rStyle w:val="Hyperlink"/>
          </w:rPr>
          <w:t xml:space="preserve">https://doi.org/10.3389/fpsyg.2020.01810</w:t>
        </w:r>
      </w:hyperlink>
      <w:r>
        <w:t xml:space="preserve">.</w:t>
      </w:r>
    </w:p>
    <w:bookmarkEnd w:id="109"/>
    <w:bookmarkStart w:id="110" w:name="ref-Vibell:2023"/>
    <w:p>
      <w:pPr>
        <w:pStyle w:val="Bibliography"/>
      </w:pPr>
      <w:r>
        <w:t xml:space="preserve">Vibell, Jonas. in prep.</w:t>
      </w:r>
      <w:r>
        <w:t xml:space="preserve"> </w:t>
      </w:r>
      <w:r>
        <w:t xml:space="preserve">“Ch. 3 Electroencephalography.”</w:t>
      </w:r>
      <w:r>
        <w:t xml:space="preserve"> </w:t>
      </w:r>
      <w:r>
        <w:t xml:space="preserve">In.</w:t>
      </w:r>
    </w:p>
    <w:bookmarkEnd w:id="110"/>
    <w:bookmarkEnd w:id="111"/>
    <w:bookmarkEnd w:id="11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1"/>
  </w:num>
  <w:num w:numId="1022">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3">
    <w:abstractNumId w:val="991"/>
  </w:num>
  <w:num w:numId="1024">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5">
    <w:abstractNumId w:val="991"/>
  </w:num>
  <w:num w:numId="102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7">
    <w:abstractNumId w:val="991"/>
  </w:num>
  <w:num w:numId="1028">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9">
    <w:abstractNumId w:val="991"/>
  </w:num>
  <w:num w:numId="1030">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1">
    <w:abstractNumId w:val="991"/>
  </w:num>
  <w:num w:numId="1032">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3">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1"/>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52" Target="media/rId52.png" /><Relationship Type="http://schemas.openxmlformats.org/officeDocument/2006/relationships/image" Id="rId38" Target="media/rId38.png" /><Relationship Type="http://schemas.openxmlformats.org/officeDocument/2006/relationships/image" Id="rId27" Target="media/rId27.png" /><Relationship Type="http://schemas.openxmlformats.org/officeDocument/2006/relationships/image" Id="rId73" Target="media/rId73.png" /><Relationship Type="http://schemas.openxmlformats.org/officeDocument/2006/relationships/image" Id="rId61" Target="media/rId61.png" /><Relationship Type="http://schemas.openxmlformats.org/officeDocument/2006/relationships/image" Id="rId47" Target="media/rId47.png" /><Relationship Type="http://schemas.openxmlformats.org/officeDocument/2006/relationships/image" Id="rId85" Target="media/rId85.png" /><Relationship Type="http://schemas.openxmlformats.org/officeDocument/2006/relationships/image" Id="rId33" Target="media/rId33.jpg" /><Relationship Type="http://schemas.openxmlformats.org/officeDocument/2006/relationships/image" Id="rId69" Target="media/rId69.png" /><Relationship Type="http://schemas.openxmlformats.org/officeDocument/2006/relationships/image" Id="rId20" Target="media/rId20.png" /><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3" Target="../../labs-misc/lab-notebook.qmd#sec-prelab" TargetMode="External" /><Relationship Type="http://schemas.openxmlformats.org/officeDocument/2006/relationships/hyperlink" Id="rId30" Target="http://training.seer.cancer.gov/module_anatomy/unit5_3_nerve_org1_cns.html" TargetMode="External" /><Relationship Type="http://schemas.openxmlformats.org/officeDocument/2006/relationships/hyperlink" Id="rId31" Target="https://commons.wikimedia.org/w/index.php?curid=29055751" TargetMode="External" /><Relationship Type="http://schemas.openxmlformats.org/officeDocument/2006/relationships/hyperlink" Id="rId36" Target="https://creativecommons.org/licenses/by/3.0" TargetMode="External" /><Relationship Type="http://schemas.openxmlformats.org/officeDocument/2006/relationships/hyperlink" Id="rId99" Target="https://docs.google.com/spreadsheets/d/1NszouoafNYPwEMO5w8iF_cYApgp0K3NM04JTTBrygWI/edit?usp=sharing" TargetMode="External" /><Relationship Type="http://schemas.openxmlformats.org/officeDocument/2006/relationships/hyperlink" Id="rId104" Target="https://doi.org/10.1016/j.cub.2011.10.037" TargetMode="External" /><Relationship Type="http://schemas.openxmlformats.org/officeDocument/2006/relationships/hyperlink" Id="rId106" Target="https://doi.org/10.3389/fpsyg.2017.00706" TargetMode="External" /><Relationship Type="http://schemas.openxmlformats.org/officeDocument/2006/relationships/hyperlink" Id="rId108"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2024-09-03T22:06:14Z</dcterms:created>
  <dcterms:modified xsi:type="dcterms:W3CDTF">2024-09-03T22:06:14Z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2023-11-06</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