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snugly to the calf (</w:t>
      </w:r>
      <w:hyperlink w:anchor="fig-calf">
        <w:r>
          <w:rPr>
            <w:rStyle w:val="Hyperlink"/>
          </w:rPr>
          <w:t xml:space="preserve">Figure 4</w:t>
        </w:r>
      </w:hyperlink>
      <w:r>
        <w:t xml:space="preserve">).</w:t>
      </w:r>
      <w:r>
        <w:t xml:space="preserve"> </w:t>
      </w:r>
      <w:r>
        <w:rPr>
          <w:i/>
          <w:iCs/>
        </w:rPr>
        <w:t xml:space="preserve">It should feel tight and the sensor fabric should be slightly stretched.</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week-3"/>
    <w:p>
      <w:pPr>
        <w:pStyle w:val="Heading1"/>
      </w:pPr>
      <w:r>
        <w:t xml:space="preserve">After Lab: Assignment Week 3:</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2025-09-29T22:26:07Z</dcterms:created>
  <dcterms:modified xsi:type="dcterms:W3CDTF">2025-09-29T22:26:07Z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