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11: Human Electroencephalography (EEG)</w:t>
      </w:r>
    </w:p>
    <w:p>
      <w:pPr>
        <w:pStyle w:val="Author"/>
      </w:pPr>
      <w:r>
        <w:t xml:space="preserve">Allison Fisher and Marguerite Butler</w:t>
      </w:r>
    </w:p>
    <w:p>
      <w:pPr>
        <w:pStyle w:val="Date"/>
      </w:pPr>
      <w:r>
        <w:t xml:space="preserve">2024-11-14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“open field”</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center"/>
                  </w:pPr>
                  <w:r>
                    <w:t xml:space="preserve">EEG pattern</w:t>
                  </w:r>
                </w:p>
              </w:tc>
              <w:tc>
                <w:tcPr/>
                <w:p>
                  <w:pPr>
                    <w:pStyle w:val="Compact"/>
                    <w:jc w:val="center"/>
                  </w:pPr>
                  <w:r>
                    <w:t xml:space="preserve">Frequency (Hz)</w:t>
                  </w:r>
                </w:p>
              </w:tc>
              <w:tc>
                <w:tcPr/>
                <w:p>
                  <w:pPr>
                    <w:pStyle w:val="Compact"/>
                    <w:jc w:val="center"/>
                  </w:pPr>
                  <w:r>
                    <w:t xml:space="preserve">Behavioral/Psychological State</w:t>
                  </w:r>
                </w:p>
              </w:tc>
            </w:tr>
            <w:tr>
              <w:tc>
                <w:tcPr/>
                <w:p>
                  <w:pPr>
                    <w:pStyle w:val="Compact"/>
                    <w:jc w:val="center"/>
                  </w:pPr>
                  <w:r>
                    <w:t xml:space="preserve">Delta</w:t>
                  </w:r>
                </w:p>
              </w:tc>
              <w:tc>
                <w:tcPr/>
                <w:p>
                  <w:pPr>
                    <w:pStyle w:val="Compact"/>
                    <w:jc w:val="center"/>
                  </w:pPr>
                  <w:r>
                    <w:t xml:space="preserve">0.5-3.5</w:t>
                  </w:r>
                </w:p>
              </w:tc>
              <w:tc>
                <w:tcPr/>
                <w:p>
                  <w:pPr>
                    <w:pStyle w:val="Compact"/>
                    <w:jc w:val="center"/>
                  </w:pPr>
                  <w:r>
                    <w:t xml:space="preserve">Deep, restful sleep; vague dream states.</w:t>
                  </w:r>
                </w:p>
              </w:tc>
            </w:tr>
            <w:tr>
              <w:tc>
                <w:tcPr/>
                <w:p>
                  <w:pPr>
                    <w:pStyle w:val="Compact"/>
                    <w:jc w:val="center"/>
                  </w:pPr>
                  <w:r>
                    <w:t xml:space="preserve">Theta</w:t>
                  </w:r>
                </w:p>
              </w:tc>
              <w:tc>
                <w:tcPr/>
                <w:p>
                  <w:pPr>
                    <w:pStyle w:val="Compact"/>
                    <w:jc w:val="center"/>
                  </w:pPr>
                  <w:r>
                    <w:t xml:space="preserve">3.5-7</w:t>
                  </w:r>
                </w:p>
              </w:tc>
              <w:tc>
                <w:tcPr/>
                <w:p>
                  <w:pPr>
                    <w:pStyle w:val="Compact"/>
                    <w:jc w:val="center"/>
                  </w:pPr>
                  <w:r>
                    <w:t xml:space="preserve">Visual imagery, imagery when falling asleep or just before awakening; light sleep.</w:t>
                  </w:r>
                </w:p>
              </w:tc>
            </w:tr>
            <w:tr>
              <w:tc>
                <w:tcPr/>
                <w:p>
                  <w:pPr>
                    <w:pStyle w:val="Compact"/>
                    <w:jc w:val="center"/>
                  </w:pPr>
                  <w:r>
                    <w:t xml:space="preserve">Alpha</w:t>
                  </w:r>
                </w:p>
              </w:tc>
              <w:tc>
                <w:tcPr/>
                <w:p>
                  <w:pPr>
                    <w:pStyle w:val="Compact"/>
                    <w:jc w:val="center"/>
                  </w:pPr>
                  <w:r>
                    <w:t xml:space="preserve">7-13</w:t>
                  </w:r>
                </w:p>
              </w:tc>
              <w:tc>
                <w:tcPr/>
                <w:p>
                  <w:pPr>
                    <w:pStyle w:val="Compact"/>
                    <w:jc w:val="center"/>
                  </w:pPr>
                  <w:r>
                    <w:t xml:space="preserve">Awake, non-focused, relaxed, drowsy, or non-vigilant; Low level of environmental stimulation (for example when eyes are closed).</w:t>
                  </w:r>
                </w:p>
              </w:tc>
            </w:tr>
            <w:tr>
              <w:tc>
                <w:tcPr/>
                <w:p>
                  <w:pPr>
                    <w:pStyle w:val="Compact"/>
                    <w:jc w:val="center"/>
                  </w:pPr>
                  <w:r>
                    <w:t xml:space="preserve">Beta</w:t>
                  </w:r>
                </w:p>
              </w:tc>
              <w:tc>
                <w:tcPr/>
                <w:p>
                  <w:pPr>
                    <w:pStyle w:val="Compact"/>
                    <w:jc w:val="center"/>
                  </w:pPr>
                  <w:r>
                    <w:t xml:space="preserve">13-30</w:t>
                  </w:r>
                </w:p>
              </w:tc>
              <w:tc>
                <w:tcPr/>
                <w:p>
                  <w:pPr>
                    <w:pStyle w:val="Compact"/>
                    <w:jc w:val="center"/>
                  </w:pPr>
                  <w:r>
                    <w:t xml:space="preserve">Awake, alert, focused attention or problem-solving; dream/REM sleep; high level of environmental stimulation (for example when eyes are open).</w:t>
                  </w:r>
                </w:p>
              </w:tc>
            </w:tr>
            <w:tr>
              <w:tc>
                <w:tcPr/>
                <w:p>
                  <w:pPr>
                    <w:pStyle w:val="Compact"/>
                    <w:jc w:val="center"/>
                  </w:pPr>
                  <w:r>
                    <w:t xml:space="preserve">Gamma</w:t>
                  </w:r>
                </w:p>
              </w:tc>
              <w:tc>
                <w:tcPr/>
                <w:p>
                  <w:pPr>
                    <w:pStyle w:val="Compact"/>
                    <w:jc w:val="center"/>
                  </w:pPr>
                  <w:r>
                    <w:t xml:space="preserve">30-70, &gt;70</w:t>
                  </w:r>
                </w:p>
              </w:tc>
              <w:tc>
                <w:tcPr/>
                <w:p>
                  <w:pPr>
                    <w:pStyle w:val="Compac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“eyes open/eyes closed”</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“positive”</w:t>
      </w:r>
      <w:r>
        <w:t xml:space="preserve"> </w:t>
      </w:r>
      <w:r>
        <w:t xml:space="preserve">and</w:t>
      </w:r>
      <w:r>
        <w:t xml:space="preserve"> </w:t>
      </w:r>
      <w:r>
        <w:t xml:space="preserve">“negative”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“Bioamp”</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“blinking”</w:t>
      </w:r>
      <w:r>
        <w:t xml:space="preserve">. Stop recording after 10 seconds.</w:t>
      </w:r>
    </w:p>
    <w:p>
      <w:pPr>
        <w:numPr>
          <w:ilvl w:val="0"/>
          <w:numId w:val="1013"/>
        </w:numPr>
      </w:pPr>
      <w:r>
        <w:t xml:space="preserve">Record the volunteer making eye movements. Add a comment</w:t>
      </w:r>
      <w:r>
        <w:t xml:space="preserve"> </w:t>
      </w:r>
      <w:r>
        <w:t xml:space="preserve">“eye movements.”</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“open;”</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“shut.”</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“eyes shut”</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Amplitude</w:t>
                  </w:r>
                </w:p>
              </w:tc>
            </w:tr>
            <w:tr>
              <w:tc>
                <w:tcPr/>
                <w:p>
                  <w:pPr>
                    <w:pStyle w:val="Compact"/>
                    <w:jc w:val="center"/>
                  </w:pPr>
                  <w:r>
                    <w:t xml:space="preserve">Wave 1</w:t>
                  </w:r>
                </w:p>
              </w:tc>
              <w:tc>
                <w:tcPr/>
                <w:p>
                  <w:pPr>
                    <w:pStyle w:val="Compact"/>
                  </w:pPr>
                </w:p>
              </w:tc>
            </w:tr>
            <w:tr>
              <w:tc>
                <w:tcPr/>
                <w:p>
                  <w:pPr>
                    <w:pStyle w:val="Compact"/>
                    <w:jc w:val="center"/>
                  </w:pPr>
                  <w:r>
                    <w:t xml:space="preserve">Wave 2</w:t>
                  </w:r>
                </w:p>
              </w:tc>
              <w:tc>
                <w:tcPr/>
                <w:p>
                  <w:pPr>
                    <w:pStyle w:val="Compact"/>
                  </w:pPr>
                </w:p>
              </w:tc>
            </w:tr>
            <w:tr>
              <w:tc>
                <w:tcPr/>
                <w:p>
                  <w:pPr>
                    <w:pStyle w:val="Compact"/>
                    <w:jc w:val="center"/>
                  </w:pPr>
                  <w:r>
                    <w:t xml:space="preserve">Wave 3</w:t>
                  </w:r>
                </w:p>
              </w:tc>
              <w:tc>
                <w:tcPr/>
                <w:p>
                  <w:pPr>
                    <w:pStyle w:val="Compact"/>
                  </w:pPr>
                </w:p>
              </w:tc>
            </w:tr>
            <w:tr>
              <w:tc>
                <w:tcPr/>
                <w:p>
                  <w:pPr>
                    <w:pStyle w:val="Compac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“begin hand movement control”</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“begin handwritten copying”</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“begin handwritten notetaking”</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“EEG Frontal”</w:t>
      </w:r>
      <w:r>
        <w:t xml:space="preserve"> </w:t>
      </w:r>
      <w:r>
        <w:t xml:space="preserve">and</w:t>
      </w:r>
      <w:r>
        <w:t xml:space="preserve"> </w:t>
      </w:r>
      <w:r>
        <w:rPr>
          <w:i/>
          <w:iCs/>
        </w:rPr>
        <w:t xml:space="preserve">“EEG Occipital”</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“Handwritten_Copying.txt”</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“eyes open”</w:t>
      </w:r>
      <w:r>
        <w:t xml:space="preserve"> </w:t>
      </w:r>
      <w:r>
        <w:t xml:space="preserve">and</w:t>
      </w:r>
      <w:r>
        <w:t xml:space="preserve"> </w:t>
      </w:r>
      <w:r>
        <w:rPr>
          <w:i/>
          <w:iCs/>
        </w:rPr>
        <w:t xml:space="preserve">“eyes closed”</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“Do we see a decrease in alpha waves and an increase in beta waves with eyes open?”</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“Is there any difference in gamma waves in the frontal lobe across the modes of handwriting, cursive, or typing for the notetaking strategy?”</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2025-08-26T22:56:59Z</dcterms:created>
  <dcterms:modified xsi:type="dcterms:W3CDTF">2025-08-26T22:56:59Z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