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0.png" ContentType="image/png"/>
  <Override PartName="/word/media/rId84.png" ContentType="image/png"/>
  <Override PartName="/word/media/rId92.png" ContentType="image/png"/>
  <Override PartName="/word/media/rId56.png" ContentType="image/png"/>
  <Override PartName="/word/media/rId39.png" ContentType="image/png"/>
  <Override PartName="/word/media/rId28.png" ContentType="image/png"/>
  <Override PartName="/word/media/rId76.png" ContentType="image/png"/>
  <Override PartName="/word/media/rId64.png" ContentType="image/png"/>
  <Override PartName="/word/media/rId51.png" ContentType="image/png"/>
  <Override PartName="/word/media/rId88.png" ContentType="image/png"/>
  <Override PartName="/word/media/rId34.jpg" ContentType="image/jpeg"/>
  <Override PartName="/word/media/rId72.png" ContentType="image/png"/>
  <Override PartName="/word/media/rId20.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 11: Human Electroencephalography (EEG)</w:t>
      </w:r>
    </w:p>
    <w:p>
      <w:pPr>
        <w:pStyle w:val="Author"/>
      </w:pPr>
      <w:r>
        <w:t xml:space="preserve">Allison Fisher and Marguerite Butler</w:t>
      </w:r>
    </w:p>
    <w:p>
      <w:pPr>
        <w:pStyle w:val="Date"/>
      </w:pPr>
      <w:r>
        <w:t xml:space="preserve">2024-11-14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Originally written by Allison Fisher and Marguerite Butler 11/06/2023</w:t>
      </w:r>
    </w:p>
    <w:p>
      <w:pPr>
        <w:pStyle w:val="BodyText"/>
      </w:pPr>
      <w:r>
        <w:t xml:space="preserve">Additional 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50"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w:t>
      </w:r>
      <w:hyperlink r:id="rId27">
        <w:r>
          <w:rPr>
            <w:rStyle w:val="Hyperlink"/>
          </w:rPr>
          <w:t xml:space="preserve">link</w:t>
        </w:r>
      </w:hyperlink>
      <w:r>
        <w:t xml:space="preserve">)</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3" w:name="fig-brain"/>
          <w:p>
            <w:pPr>
              <w:pStyle w:val="Compact"/>
              <w:jc w:val="center"/>
            </w:pPr>
            <w:r>
              <w:drawing>
                <wp:inline>
                  <wp:extent cx="5334000" cy="3450431"/>
                  <wp:effectExtent b="0" l="0" r="0" t="0"/>
                  <wp:docPr descr="" title="" id="29" name="Picture"/>
                  <a:graphic>
                    <a:graphicData uri="http://schemas.openxmlformats.org/drawingml/2006/picture">
                      <pic:pic>
                        <pic:nvPicPr>
                          <pic:cNvPr descr="../../images/lab11-cerebrum-lobes.png" id="30" name="Picture"/>
                          <pic:cNvPicPr>
                            <a:picLocks noChangeArrowheads="1" noChangeAspect="1"/>
                          </pic:cNvPicPr>
                        </pic:nvPicPr>
                        <pic:blipFill>
                          <a:blip r:embed="rId28"/>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1">
              <w:r>
                <w:rPr>
                  <w:rStyle w:val="Hyperlink"/>
                </w:rPr>
                <w:t xml:space="preserve">Jkwchui</w:t>
              </w:r>
            </w:hyperlink>
            <w:r>
              <w:t xml:space="preserve">, CC BY-SA 3.0,</w:t>
            </w:r>
            <w:r>
              <w:t xml:space="preserve"> </w:t>
            </w:r>
            <w:hyperlink r:id="rId32">
              <w:r>
                <w:rPr>
                  <w:rStyle w:val="Hyperlink"/>
                </w:rPr>
                <w:t xml:space="preserve">original</w:t>
              </w:r>
            </w:hyperlink>
          </w:p>
          <w:bookmarkEnd w:id="33"/>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“open field”</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3"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8" w:name="fig-neurons"/>
                <w:p>
                  <w:pPr>
                    <w:pStyle w:val="Compact"/>
                    <w:jc w:val="center"/>
                    <w:jc w:val="left"/>
                  </w:pPr>
                  <w:r>
                    <w:drawing>
                      <wp:inline>
                        <wp:extent cx="2971800" cy="2461306"/>
                        <wp:effectExtent b="0" l="0" r="0" t="0"/>
                        <wp:docPr descr="" title="" id="35" name="Picture"/>
                        <a:graphic>
                          <a:graphicData uri="http://schemas.openxmlformats.org/drawingml/2006/picture">
                            <pic:pic>
                              <pic:nvPicPr>
                                <pic:cNvPr descr="../../images/lab11-pyrimidal-neurons.jpg" id="36" name="Picture"/>
                                <pic:cNvPicPr>
                                  <a:picLocks noChangeArrowheads="1" noChangeAspect="1"/>
                                </pic:cNvPicPr>
                              </pic:nvPicPr>
                              <pic:blipFill>
                                <a:blip r:embed="rId34"/>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7">
                    <w:r>
                      <w:rPr>
                        <w:rStyle w:val="Hyperlink"/>
                      </w:rPr>
                      <w:t xml:space="preserve">CC BY 3.0</w:t>
                    </w:r>
                  </w:hyperlink>
                  <w:r>
                    <w:t xml:space="preserve">, via Wikimedia Commons</w:t>
                  </w:r>
                </w:p>
                <w:bookmarkEnd w:id="38"/>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2" w:name="fig-brainwaves"/>
                <w:p>
                  <w:pPr>
                    <w:pStyle w:val="Compact"/>
                    <w:jc w:val="center"/>
                    <w:jc w:val="left"/>
                  </w:pPr>
                  <w:r>
                    <w:drawing>
                      <wp:inline>
                        <wp:extent cx="2971800" cy="2401590"/>
                        <wp:effectExtent b="0" l="0" r="0" t="0"/>
                        <wp:docPr descr="" title="" id="40" name="Picture"/>
                        <a:graphic>
                          <a:graphicData uri="http://schemas.openxmlformats.org/drawingml/2006/picture">
                            <pic:pic>
                              <pic:nvPicPr>
                                <pic:cNvPr descr="../../images/lab11-brainwaves.png" id="41" name="Picture"/>
                                <pic:cNvPicPr>
                                  <a:picLocks noChangeArrowheads="1" noChangeAspect="1"/>
                                </pic:cNvPicPr>
                              </pic:nvPicPr>
                              <pic:blipFill>
                                <a:blip r:embed="rId39"/>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2"/>
              </w:tc>
            </w:tr>
          </w:tbl>
          <w:p/>
        </w:tc>
      </w:tr>
    </w:tbl>
    <w:p>
      <w:pPr>
        <w:pStyle w:val="BodyText"/>
      </w:pPr>
      <w:pPr>
        <w:spacing w:before="200"/>
        <w:pStyle w:val="ImageCaption"/>
      </w:pPr>
      <w:r>
        <w:t xml:space="preserve">Figure 2: Pyrimidal neurons and the most common EEG wave bands.</w:t>
      </w:r>
    </w:p>
    <w:bookmarkEnd w:id="43"/>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 (7-13Hz), beta (13-30Hz), theta (3.5-7Hz) and delta (0.5-3.5Hz) waves</w:t>
      </w:r>
      <w:r>
        <w:t xml:space="preserve"> </w:t>
      </w:r>
      <w:hyperlink w:anchor="tbl-eegpatterns">
        <w:r>
          <w:rPr>
            <w:rStyle w:val="Hyperlink"/>
          </w:rPr>
          <w:t xml:space="preserve">Table 1</w:t>
        </w:r>
      </w:hyperlink>
      <w:r>
        <w:t xml:space="preserve">. These waves were originally defined during sleep, with the dominance of the different frequences changing with different stages of sleep. They were later discovered to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4"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center"/>
                  </w:pPr>
                  <w:r>
                    <w:t xml:space="preserve">EEG pattern</w:t>
                  </w:r>
                </w:p>
              </w:tc>
              <w:tc>
                <w:tcPr/>
                <w:p>
                  <w:pPr>
                    <w:pStyle w:val="Compact"/>
                    <w:jc w:val="center"/>
                  </w:pPr>
                  <w:r>
                    <w:t xml:space="preserve">Frequency (Hz)</w:t>
                  </w:r>
                </w:p>
              </w:tc>
              <w:tc>
                <w:tcPr/>
                <w:p>
                  <w:pPr>
                    <w:pStyle w:val="Compact"/>
                    <w:jc w:val="center"/>
                  </w:pPr>
                  <w:r>
                    <w:t xml:space="preserve">Behavioral/Psychological State</w:t>
                  </w:r>
                </w:p>
              </w:tc>
            </w:tr>
            <w:tr>
              <w:tc>
                <w:tcPr/>
                <w:p>
                  <w:pPr>
                    <w:pStyle w:val="Compact"/>
                    <w:jc w:val="center"/>
                  </w:pPr>
                  <w:r>
                    <w:t xml:space="preserve">Delta</w:t>
                  </w:r>
                </w:p>
              </w:tc>
              <w:tc>
                <w:tcPr/>
                <w:p>
                  <w:pPr>
                    <w:pStyle w:val="Compact"/>
                    <w:jc w:val="center"/>
                  </w:pPr>
                  <w:r>
                    <w:t xml:space="preserve">0.5-3.5</w:t>
                  </w:r>
                </w:p>
              </w:tc>
              <w:tc>
                <w:tcPr/>
                <w:p>
                  <w:pPr>
                    <w:pStyle w:val="Compact"/>
                    <w:jc w:val="center"/>
                  </w:pPr>
                  <w:r>
                    <w:t xml:space="preserve">Deep, restful sleep; vague dream states.</w:t>
                  </w:r>
                </w:p>
              </w:tc>
            </w:tr>
            <w:tr>
              <w:tc>
                <w:tcPr/>
                <w:p>
                  <w:pPr>
                    <w:pStyle w:val="Compact"/>
                    <w:jc w:val="center"/>
                  </w:pPr>
                  <w:r>
                    <w:t xml:space="preserve">Theta</w:t>
                  </w:r>
                </w:p>
              </w:tc>
              <w:tc>
                <w:tcPr/>
                <w:p>
                  <w:pPr>
                    <w:pStyle w:val="Compact"/>
                    <w:jc w:val="center"/>
                  </w:pPr>
                  <w:r>
                    <w:t xml:space="preserve">3.5-7</w:t>
                  </w:r>
                </w:p>
              </w:tc>
              <w:tc>
                <w:tcPr/>
                <w:p>
                  <w:pPr>
                    <w:pStyle w:val="Compact"/>
                    <w:jc w:val="center"/>
                  </w:pPr>
                  <w:r>
                    <w:t xml:space="preserve">Visual imagery, imagery when falling asleep or just before awakening; light sleep.</w:t>
                  </w:r>
                </w:p>
              </w:tc>
            </w:tr>
            <w:tr>
              <w:tc>
                <w:tcPr/>
                <w:p>
                  <w:pPr>
                    <w:pStyle w:val="Compact"/>
                    <w:jc w:val="center"/>
                  </w:pPr>
                  <w:r>
                    <w:t xml:space="preserve">Alpha</w:t>
                  </w:r>
                </w:p>
              </w:tc>
              <w:tc>
                <w:tcPr/>
                <w:p>
                  <w:pPr>
                    <w:pStyle w:val="Compact"/>
                    <w:jc w:val="center"/>
                  </w:pPr>
                  <w:r>
                    <w:t xml:space="preserve">7-13</w:t>
                  </w:r>
                </w:p>
              </w:tc>
              <w:tc>
                <w:tcPr/>
                <w:p>
                  <w:pPr>
                    <w:pStyle w:val="Compact"/>
                    <w:jc w:val="center"/>
                  </w:pPr>
                  <w:r>
                    <w:t xml:space="preserve">Awake, non-focused, relaxed, drowsy, or non-vigilant; Low level of environmental stimulation (for example when eyes are closed).</w:t>
                  </w:r>
                </w:p>
              </w:tc>
            </w:tr>
            <w:tr>
              <w:tc>
                <w:tcPr/>
                <w:p>
                  <w:pPr>
                    <w:pStyle w:val="Compact"/>
                    <w:jc w:val="center"/>
                  </w:pPr>
                  <w:r>
                    <w:t xml:space="preserve">Beta</w:t>
                  </w:r>
                </w:p>
              </w:tc>
              <w:tc>
                <w:tcPr/>
                <w:p>
                  <w:pPr>
                    <w:pStyle w:val="Compact"/>
                    <w:jc w:val="center"/>
                  </w:pPr>
                  <w:r>
                    <w:t xml:space="preserve">13-30</w:t>
                  </w:r>
                </w:p>
              </w:tc>
              <w:tc>
                <w:tcPr/>
                <w:p>
                  <w:pPr>
                    <w:pStyle w:val="Compact"/>
                    <w:jc w:val="center"/>
                  </w:pPr>
                  <w:r>
                    <w:t xml:space="preserve">Awake, alert, focused attention or problem-solving; dream/REM sleep; high level of environmental stimulation (for example when eyes are open).</w:t>
                  </w:r>
                </w:p>
              </w:tc>
            </w:tr>
            <w:tr>
              <w:tc>
                <w:tcPr/>
                <w:p>
                  <w:pPr>
                    <w:pStyle w:val="Compact"/>
                    <w:jc w:val="center"/>
                  </w:pPr>
                  <w:r>
                    <w:t xml:space="preserve">Gamma</w:t>
                  </w:r>
                </w:p>
              </w:tc>
              <w:tc>
                <w:tcPr/>
                <w:p>
                  <w:pPr>
                    <w:pStyle w:val="Compact"/>
                    <w:jc w:val="center"/>
                  </w:pPr>
                  <w:r>
                    <w:t xml:space="preserve">30-70, &gt;70</w:t>
                  </w:r>
                </w:p>
              </w:tc>
              <w:tc>
                <w:tcPr/>
                <w:p>
                  <w:pPr>
                    <w:pStyle w:val="Compact"/>
                    <w:jc w:val="center"/>
                  </w:pPr>
                  <w:r>
                    <w:t xml:space="preserve">Associated with cognitive processing, correlated with large-scale brain networking.</w:t>
                  </w:r>
                </w:p>
              </w:tc>
            </w:tr>
          </w:tbl>
          <w:bookmarkEnd w:id="44"/>
          <w:p/>
        </w:tc>
      </w:tr>
    </w:tbl>
    <w:p>
      <w:pPr>
        <w:pStyle w:val="BodyText"/>
      </w:pPr>
      <w:r>
        <w:rPr>
          <w:b/>
          <w:bCs/>
        </w:rPr>
        <w:t xml:space="preserve">Alpha waves</w:t>
      </w:r>
      <w:r>
        <w:t xml:space="preserve"> </w:t>
      </w:r>
      <w:r>
        <w:t xml:space="preserve">(8-12 Hz) can be measured spontaneously and are prominent over the occipital (visual) region of the brain.</w:t>
      </w:r>
      <w:r>
        <w:t xml:space="preserve"> </w:t>
      </w:r>
      <w:r>
        <w:rPr>
          <w:i/>
          <w:iCs/>
        </w:rPr>
        <w:t xml:space="preserve">When our eyes are open and are in an alert state</w:t>
      </w:r>
      <w:r>
        <w:t xml:space="preserve">, alpha waves tend to be</w:t>
      </w:r>
      <w:r>
        <w:t xml:space="preserve"> </w:t>
      </w:r>
      <w:r>
        <w:rPr>
          <w:b/>
          <w:bCs/>
        </w:rPr>
        <w:t xml:space="preserve">suppressed</w:t>
      </w:r>
      <w:r>
        <w:t xml:space="preserve">. They are</w:t>
      </w:r>
      <w:r>
        <w:t xml:space="preserve"> </w:t>
      </w:r>
      <w:r>
        <w:rPr>
          <w:b/>
          <w:bCs/>
        </w:rPr>
        <w:t xml:space="preserve">prominent</w:t>
      </w:r>
      <w:r>
        <w:t xml:space="preserve"> </w:t>
      </w:r>
      <w:r>
        <w:t xml:space="preserve">when</w:t>
      </w:r>
      <w:r>
        <w:t xml:space="preserve"> </w:t>
      </w:r>
      <w:r>
        <w:rPr>
          <w:i/>
          <w:iCs/>
        </w:rPr>
        <w:t xml:space="preserve">the eyes are closed and we are relaxed</w:t>
      </w:r>
      <w:r>
        <w:t xml:space="preserve"> </w:t>
      </w:r>
      <w:r>
        <w:t xml:space="preserve">(</w:t>
      </w:r>
      <w:hyperlink w:anchor="tbl-eegpatterns">
        <w:r>
          <w:rPr>
            <w:rStyle w:val="Hyperlink"/>
          </w:rPr>
          <w:t xml:space="preserve">Table 1</w:t>
        </w:r>
      </w:hyperlink>
      <w:r>
        <w:t xml:space="preserve">). You will do an</w:t>
      </w:r>
      <w:r>
        <w:t xml:space="preserve"> </w:t>
      </w:r>
      <w:r>
        <w:t xml:space="preserve">“eyes open/eyes closed”</w:t>
      </w:r>
      <w:r>
        <w:t xml:space="preserve"> </w:t>
      </w:r>
      <w:r>
        <w:t xml:space="preserve">experiment today.</w:t>
      </w:r>
      <w:r>
        <w:t xml:space="preserve"> </w:t>
      </w:r>
      <w:r>
        <w:rPr>
          <w:b/>
          <w:bCs/>
        </w:rPr>
        <w:t xml:space="preserve">Beta waves</w:t>
      </w:r>
      <w:r>
        <w:t xml:space="preserve"> </w:t>
      </w:r>
      <w:r>
        <w:rPr>
          <w:i/>
          <w:iCs/>
        </w:rPr>
        <w:t xml:space="preserve">increase when we are alert</w:t>
      </w:r>
      <w:r>
        <w:t xml:space="preserve"> </w:t>
      </w:r>
      <w:r>
        <w:t xml:space="preserve">and are associated with</w:t>
      </w:r>
      <w:r>
        <w:t xml:space="preserve"> </w:t>
      </w:r>
      <w:r>
        <w:rPr>
          <w:i/>
          <w:iCs/>
        </w:rPr>
        <w:t xml:space="preserve">focus or problem-solving</w:t>
      </w:r>
      <w:r>
        <w:t xml:space="preserve">.</w:t>
      </w:r>
      <w:r>
        <w:t xml:space="preserve"> </w:t>
      </w:r>
      <w:r>
        <w:rPr>
          <w:b/>
          <w:bCs/>
        </w:rPr>
        <w:t xml:space="preserve">Gamma waves</w:t>
      </w:r>
      <w:r>
        <w:t xml:space="preserve"> </w:t>
      </w:r>
      <w:r>
        <w:t xml:space="preserve">are associated with</w:t>
      </w:r>
      <w:r>
        <w:t xml:space="preserve"> </w:t>
      </w:r>
      <w:r>
        <w:rPr>
          <w:i/>
          <w:iCs/>
        </w:rPr>
        <w:t xml:space="preserve">cognitive processing</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6" name="Picture"/>
                  <a:graphic>
                    <a:graphicData uri="http://schemas.openxmlformats.org/drawingml/2006/picture">
                      <pic:pic>
                        <pic:nvPicPr>
                          <pic:cNvPr descr="/Applications/quarto/share/formats/docx/tip.png" id="47" name="Picture"/>
                          <pic:cNvPicPr>
                            <a:picLocks noChangeArrowheads="1" noChangeAspect="1"/>
                          </pic:cNvPicPr>
                        </pic:nvPicPr>
                        <pic:blipFill>
                          <a:blip r:embed="rId4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It is important to note that</w:t>
            </w:r>
          </w:p>
        </w:tc>
      </w:tr>
      <w:tr>
        <w:trPr>
          <w:cantSplit/>
        </w:trPr>
        <w:tc>
          <w:tcPr>
            <w:tcMar>
              <w:top w:w="108" w:type="dxa"/>
              <w:bottom w:w="108" w:type="dxa"/>
            </w:tcMar>
          </w:tcPr>
          <w:p>
            <w:pPr>
              <w:pStyle w:val="BodyText"/>
            </w:pPr>
            <w:pPr>
              <w:spacing w:before="16"/>
            </w:pPr>
            <w:r>
              <w:t xml:space="preserve">Brain function is extremely complicated and not perfectly understood. In particular,</w:t>
            </w:r>
            <w:r>
              <w:t xml:space="preserve"> </w:t>
            </w:r>
            <w:r>
              <w:rPr>
                <w:b/>
                <w:bCs/>
              </w:rPr>
              <w:t xml:space="preserve">there is no easy one-to-one interpretation of brain frequencies with particular cogntive functions.</w:t>
            </w:r>
            <w:r>
              <w:t xml:space="preserve"> </w:t>
            </w:r>
            <w:r>
              <w:t xml:space="preserve">In other words, there are likely to be countless processes that generate similar wave frequencies.</w:t>
            </w:r>
          </w:p>
          <w:p>
            <w:pPr>
              <w:pStyle w:val="BodyText"/>
            </w:pPr>
            <w:r>
              <w:rPr>
                <w:i/>
                <w:iCs/>
              </w:rPr>
              <w:t xml:space="preserve">However, EEG is very good at detecting brain activity at great temporal and spatial resolution</w:t>
            </w:r>
            <w:r>
              <w:t xml:space="preserve">. The most sophisticated systems use 64-256 electrodes mapped across the brain and can provide spatial and temporal resolution in 3D.</w:t>
            </w:r>
          </w:p>
          <w:p>
            <w:pPr>
              <w:pStyle w:val="BodyText"/>
            </w:pPr>
            <w:pPr>
              <w:spacing w:after="16"/>
            </w:pPr>
            <w:r>
              <w:t xml:space="preserve">We will be using only two sets of electrodes targeting the frontal cortex and the occipital cortex,</w:t>
            </w:r>
            <w:r>
              <w:t xml:space="preserve"> </w:t>
            </w:r>
            <w:r>
              <w:rPr>
                <w:i/>
                <w:iCs/>
              </w:rPr>
              <w:t xml:space="preserve">enough to detect some spatial differences</w:t>
            </w:r>
            <w:r>
              <w:t xml:space="preserve"> </w:t>
            </w:r>
            <w:r>
              <w:t xml:space="preserve">(i.e., frontal vs. occipital lobes),</w:t>
            </w:r>
            <w:r>
              <w:t xml:space="preserve"> </w:t>
            </w:r>
            <w:r>
              <w:rPr>
                <w:i/>
                <w:iCs/>
              </w:rPr>
              <w:t xml:space="preserve">but we will have much better temporal resolution</w:t>
            </w:r>
            <w:r>
              <w:t xml:space="preserve"> </w:t>
            </w:r>
            <w:r>
              <w:t xml:space="preserve">(allowing you to correlate brain activity with events, and hopefully you can obtain clean signals if you can keep the level of noise down).</w:t>
            </w:r>
          </w:p>
        </w:tc>
      </w:tr>
    </w:tbl>
    <w:p>
      <w:pPr>
        <w:pStyle w:val="BodyText"/>
      </w:pPr>
      <w:r>
        <w:rPr>
          <w:i/>
          <w:iCs/>
        </w:rPr>
        <w:t xml:space="preserve">Recently, there has been a lot of interest in using EEG to measure brain activity in an educational context.</w:t>
      </w:r>
      <w:r>
        <w:t xml:space="preserve"> </w:t>
      </w:r>
      <w:r>
        <w:t xml:space="preserve">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p>
    <w:p>
      <w:pPr>
        <w:pStyle w:val="Compact"/>
        <w:numPr>
          <w:ilvl w:val="0"/>
          <w:numId w:val="1006"/>
        </w:numPr>
      </w:pPr>
      <w:r>
        <w:t xml:space="preserve">Meer and Weel (2017)</w:t>
      </w:r>
      <w:r>
        <w:t xml:space="preserve"> </w:t>
      </w:r>
      <w:r>
        <w:t xml:space="preserve">found that a decrease of lower frequency waves in the theta/alpha bands when drawing over typing, implying that the brain is more receptive to learning.</w:t>
      </w:r>
    </w:p>
    <w:p>
      <w:pPr>
        <w:pStyle w:val="Compact"/>
        <w:numPr>
          <w:ilvl w:val="0"/>
          <w:numId w:val="1006"/>
        </w:numPr>
      </w:pPr>
      <w:r>
        <w:t xml:space="preserve">Describing words (paraphrasing) was associated with an increase in the upper alpha/beta/gamma range (higher frequency waves), especially during ideation (the formatiom of ideas).</w:t>
      </w:r>
    </w:p>
    <w:p>
      <w:pPr>
        <w:pStyle w:val="Compact"/>
        <w:numPr>
          <w:ilvl w:val="0"/>
          <w:numId w:val="1006"/>
        </w:numPr>
      </w:pPr>
      <w:r>
        <w:t xml:space="preserve">Ose Askvik, Weel, and Meer (2020)</w:t>
      </w:r>
      <w:r>
        <w:t xml:space="preserve"> </w:t>
      </w:r>
      <w:r>
        <w:t xml:space="preserve">explored brain activity while writing in cursive vs. drawing vs. typing.</w:t>
      </w:r>
    </w:p>
    <w:p>
      <w:pPr>
        <w:pStyle w:val="FirstParagraph"/>
      </w:pPr>
      <w:r>
        <w:t xml:space="preserve">Your task today is to explore brain activity in the frontal and occipital cortex while the subject performs different tasks. Can you see changes in EEG pattern?</w:t>
      </w:r>
    </w:p>
    <w:bookmarkStart w:id="48" w:name="what-you-will-do-in-the-laboratory"/>
    <w:p>
      <w:pPr>
        <w:pStyle w:val="Heading3"/>
      </w:pPr>
      <w:r>
        <w:t xml:space="preserve">What you will do in the laboratory</w:t>
      </w:r>
    </w:p>
    <w:p>
      <w:pPr>
        <w:pStyle w:val="Compact"/>
        <w:numPr>
          <w:ilvl w:val="0"/>
          <w:numId w:val="1007"/>
        </w:numPr>
      </w:pPr>
      <w:r>
        <w:rPr>
          <w:i/>
          <w:iCs/>
        </w:rPr>
        <w:t xml:space="preserve">Setup</w:t>
      </w:r>
      <w:r>
        <w:t xml:space="preserve">. Check that the equipment are set up correctly and ready to record.</w:t>
      </w:r>
    </w:p>
    <w:p>
      <w:pPr>
        <w:pStyle w:val="Compact"/>
        <w:numPr>
          <w:ilvl w:val="0"/>
          <w:numId w:val="1007"/>
        </w:numPr>
      </w:pPr>
      <w:r>
        <w:rPr>
          <w:i/>
          <w:iCs/>
        </w:rPr>
        <w:t xml:space="preserve">Detecting artifacts</w:t>
      </w:r>
      <w:r>
        <w:t xml:space="preserve">. You will learn how to indentify artifacts produced by unwanted electrical acticity.</w:t>
      </w:r>
    </w:p>
    <w:p>
      <w:pPr>
        <w:pStyle w:val="Compact"/>
        <w:numPr>
          <w:ilvl w:val="0"/>
          <w:numId w:val="1007"/>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7"/>
        </w:numPr>
      </w:pPr>
      <w:r>
        <w:rPr>
          <w:i/>
          <w:iCs/>
        </w:rPr>
        <w:t xml:space="preserve">Your own experiments</w:t>
      </w:r>
      <w:r>
        <w:t xml:space="preserve">.</w:t>
      </w:r>
    </w:p>
    <w:bookmarkEnd w:id="48"/>
    <w:bookmarkStart w:id="49" w:name="equipment"/>
    <w:p>
      <w:pPr>
        <w:pStyle w:val="Heading2"/>
      </w:pPr>
      <w:r>
        <w:t xml:space="preserve">Equipment</w:t>
      </w:r>
    </w:p>
    <w:p>
      <w:pPr>
        <w:pStyle w:val="Compact"/>
        <w:numPr>
          <w:ilvl w:val="0"/>
          <w:numId w:val="1008"/>
        </w:numPr>
      </w:pPr>
      <w:r>
        <w:t xml:space="preserve">PowerLab data acquisition system</w:t>
      </w:r>
    </w:p>
    <w:p>
      <w:pPr>
        <w:pStyle w:val="Compact"/>
        <w:numPr>
          <w:ilvl w:val="0"/>
          <w:numId w:val="1008"/>
        </w:numPr>
      </w:pPr>
      <w:r>
        <w:t xml:space="preserve">LabChart 8 or later</w:t>
      </w:r>
    </w:p>
    <w:p>
      <w:pPr>
        <w:pStyle w:val="Compact"/>
        <w:numPr>
          <w:ilvl w:val="0"/>
          <w:numId w:val="1008"/>
        </w:numPr>
      </w:pPr>
      <w:r>
        <w:t xml:space="preserve">5 Lead Shielded Bio Amp Cable</w:t>
      </w:r>
    </w:p>
    <w:p>
      <w:pPr>
        <w:pStyle w:val="Compact"/>
        <w:numPr>
          <w:ilvl w:val="0"/>
          <w:numId w:val="1008"/>
        </w:numPr>
      </w:pPr>
      <w:r>
        <w:t xml:space="preserve">EEG Flat Electrodes</w:t>
      </w:r>
    </w:p>
    <w:p>
      <w:pPr>
        <w:pStyle w:val="Compact"/>
        <w:numPr>
          <w:ilvl w:val="0"/>
          <w:numId w:val="1008"/>
        </w:numPr>
      </w:pPr>
      <w:r>
        <w:t xml:space="preserve">Electrode Cream or Paste</w:t>
      </w:r>
    </w:p>
    <w:p>
      <w:pPr>
        <w:pStyle w:val="Compact"/>
        <w:numPr>
          <w:ilvl w:val="0"/>
          <w:numId w:val="1008"/>
        </w:numPr>
      </w:pPr>
      <w:r>
        <w:t xml:space="preserve">Alcohol Swabs</w:t>
      </w:r>
    </w:p>
    <w:p>
      <w:pPr>
        <w:pStyle w:val="Compact"/>
        <w:numPr>
          <w:ilvl w:val="0"/>
          <w:numId w:val="1008"/>
        </w:numPr>
      </w:pPr>
      <w:r>
        <w:t xml:space="preserve">Ace Bandgage</w:t>
      </w:r>
    </w:p>
    <w:p>
      <w:pPr>
        <w:pStyle w:val="Compact"/>
        <w:numPr>
          <w:ilvl w:val="0"/>
          <w:numId w:val="1008"/>
        </w:numPr>
      </w:pPr>
      <w:r>
        <w:t xml:space="preserve">Tape</w:t>
      </w:r>
    </w:p>
    <w:bookmarkEnd w:id="49"/>
    <w:bookmarkEnd w:id="50"/>
    <w:bookmarkStart w:id="61" w:name="procedure"/>
    <w:p>
      <w:pPr>
        <w:pStyle w:val="Heading1"/>
      </w:pPr>
      <w:r>
        <w:t xml:space="preserve">Procedure</w:t>
      </w:r>
    </w:p>
    <w:bookmarkStart w:id="55" w:name="subject-preparation"/>
    <w:p>
      <w:pPr>
        <w:pStyle w:val="Heading2"/>
      </w:pPr>
      <w:r>
        <w:t xml:space="preserve">Subject preparation</w:t>
      </w:r>
    </w:p>
    <w:p>
      <w:pPr>
        <w:numPr>
          <w:ilvl w:val="0"/>
          <w:numId w:val="1009"/>
        </w:numPr>
      </w:pPr>
      <w:r>
        <w:t xml:space="preserve">Make sure the PowerLab is turned off and the USB cable is connected to the computer.</w:t>
      </w:r>
    </w:p>
    <w:p>
      <w:pPr>
        <w:numPr>
          <w:ilvl w:val="0"/>
          <w:numId w:val="1009"/>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9"/>
        </w:numPr>
      </w:pPr>
      <w:r>
        <w:t xml:space="preserve">Remove any jewelry from the volunteer’s face, ears, and neck.</w:t>
      </w:r>
    </w:p>
    <w:p>
      <w:pPr>
        <w:numPr>
          <w:ilvl w:val="0"/>
          <w:numId w:val="1009"/>
        </w:numPr>
      </w:pPr>
      <w:r>
        <w:t xml:space="preserve">Unwind and straighten all of the flat electrodes. Attach the leads of the EEG Flat Electrodes the pins closest to the labled side of the Bio Amp Cable. You will need all 5 leads.</w:t>
      </w:r>
    </w:p>
    <w:p>
      <w:pPr>
        <w:numPr>
          <w:ilvl w:val="0"/>
          <w:numId w:val="1009"/>
        </w:numPr>
      </w:pPr>
      <w:r>
        <w:t xml:space="preserve">Refer to (</w:t>
      </w:r>
      <w:hyperlink w:anchor="fig-setup">
        <w:r>
          <w:rPr>
            <w:rStyle w:val="Hyperlink"/>
          </w:rPr>
          <w:t xml:space="preserve">Figure 3</w:t>
        </w:r>
      </w:hyperlink>
      <w:r>
        <w:t xml:space="preserve">) for proper electrode placement, but note that we will be using 5 electrodes: two on the frontal lobe and two on the occipital lobe, and a ground.</w:t>
      </w:r>
    </w:p>
    <w:p>
      <w:pPr>
        <w:pStyle w:val="Compact"/>
        <w:numPr>
          <w:ilvl w:val="0"/>
          <w:numId w:val="1010"/>
        </w:numPr>
      </w:pPr>
      <w:r>
        <w:rPr>
          <w:b/>
          <w:bCs/>
        </w:rPr>
        <w:t xml:space="preserve">Frontal lobe</w:t>
      </w:r>
      <w:r>
        <w:t xml:space="preserve">: Channel 1</w:t>
      </w:r>
      <w:r>
        <w:t xml:space="preserve"> </w:t>
      </w:r>
      <w:r>
        <w:t xml:space="preserve">“positive”</w:t>
      </w:r>
      <w:r>
        <w:t xml:space="preserve"> </w:t>
      </w:r>
      <w:r>
        <w:t xml:space="preserve">and</w:t>
      </w:r>
      <w:r>
        <w:t xml:space="preserve"> </w:t>
      </w:r>
      <w:r>
        <w:t xml:space="preserve">“negative”</w:t>
      </w:r>
      <w:r>
        <w:t xml:space="preserve"> </w:t>
      </w:r>
      <w:r>
        <w:t xml:space="preserve">electrodes will be 3-4cm apart on either side of the forehead.</w:t>
      </w:r>
    </w:p>
    <w:p>
      <w:pPr>
        <w:pStyle w:val="Compact"/>
        <w:numPr>
          <w:ilvl w:val="0"/>
          <w:numId w:val="1010"/>
        </w:numPr>
      </w:pPr>
      <w:r>
        <w:rPr>
          <w:b/>
          <w:bCs/>
        </w:rPr>
        <w:t xml:space="preserve">Occipital lobe</w:t>
      </w:r>
      <w:r>
        <w:t xml:space="preserve">: Channel 2</w:t>
      </w:r>
      <w:r>
        <w:t xml:space="preserve"> </w:t>
      </w:r>
      <w:r>
        <w:t xml:space="preserve">“positive”</w:t>
      </w:r>
      <w:r>
        <w:t xml:space="preserve"> </w:t>
      </w:r>
      <w:r>
        <w:t xml:space="preserve">and</w:t>
      </w:r>
      <w:r>
        <w:t xml:space="preserve"> </w:t>
      </w:r>
      <w:r>
        <w:t xml:space="preserve">“negative”</w:t>
      </w:r>
      <w:r>
        <w:t xml:space="preserve"> </w:t>
      </w:r>
      <w:r>
        <w:t xml:space="preserve">electrodes will be 3-4cm apart on the back of the head (where the skull bulges out). Place the</w:t>
      </w:r>
    </w:p>
    <w:p>
      <w:pPr>
        <w:pStyle w:val="Compact"/>
        <w:numPr>
          <w:ilvl w:val="0"/>
          <w:numId w:val="1010"/>
        </w:numPr>
      </w:pPr>
      <w:r>
        <w:rPr>
          <w:b/>
          <w:bCs/>
        </w:rPr>
        <w:t xml:space="preserve">Earth electrode</w:t>
      </w:r>
      <w:r>
        <w:t xml:space="preserve"> </w:t>
      </w:r>
      <w:r>
        <w:t xml:space="preserve">on the bare skin on the bone just behind the ear on the left side.</w:t>
      </w:r>
    </w:p>
    <w:p>
      <w:pPr>
        <w:numPr>
          <w:ilvl w:val="0"/>
          <w:numId w:val="1011"/>
        </w:numPr>
      </w:pPr>
      <w:r>
        <w:t xml:space="preserve">For the occipital lobe, it helps to part the hair across the back of the head from side to side to expose the electrode area for the occipital lobe and use hair pins to keep the hair out of the way. For long-haired subjects, rubber bands to make a top-knot ponytail may help.</w:t>
      </w:r>
    </w:p>
    <w:p>
      <w:pPr>
        <w:numPr>
          <w:ilvl w:val="0"/>
          <w:numId w:val="1011"/>
        </w:numPr>
      </w:pPr>
      <w:r>
        <w:t xml:space="preserve">You can use a ballpoint pen to lightly mark the skin if you wish. Let the subject abrade their own skin with a fingernail or an alcohol swab to remove dead skin cells. Abrasion helps reduce the skinʻs resistance.</w:t>
      </w:r>
    </w:p>
    <w:p>
      <w:pPr>
        <w:numPr>
          <w:ilvl w:val="0"/>
          <w:numId w:val="1011"/>
        </w:numPr>
      </w:pPr>
      <w:r>
        <w:t xml:space="preserve">Apply electrode Paste 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Avoid air gaps. Wrap the ACE bandage around the head to press the flat electrodes snugly on the head in good contact with the skin.</w:t>
      </w:r>
    </w:p>
    <w:p>
      <w:pPr>
        <w:numPr>
          <w:ilvl w:val="0"/>
          <w:numId w:val="1011"/>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11"/>
        </w:numPr>
      </w:pPr>
      <w:r>
        <w:t xml:space="preserve">Check that all five electrodes are properly connected to the volunteer and the Bio Amp Cable before proceeding. Make sure the electrode wires do not cross over any power cables or electronic equipment.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4" w:name="fig-setup"/>
          <w:p>
            <w:pPr>
              <w:pStyle w:val="Compact"/>
              <w:jc w:val="center"/>
            </w:pPr>
            <w:r>
              <w:drawing>
                <wp:inline>
                  <wp:extent cx="4597400" cy="3733800"/>
                  <wp:effectExtent b="0" l="0" r="0" t="0"/>
                  <wp:docPr descr="" title="" id="52" name="Picture"/>
                  <a:graphic>
                    <a:graphicData uri="http://schemas.openxmlformats.org/drawingml/2006/picture">
                      <pic:pic>
                        <pic:nvPicPr>
                          <pic:cNvPr descr="../../images/lab11-eeg-setup.png" id="53" name="Picture"/>
                          <pic:cNvPicPr>
                            <a:picLocks noChangeArrowheads="1" noChangeAspect="1"/>
                          </pic:cNvPicPr>
                        </pic:nvPicPr>
                        <pic:blipFill>
                          <a:blip r:embed="rId51"/>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4"/>
        </w:tc>
      </w:tr>
    </w:tbl>
    <w:bookmarkEnd w:id="55"/>
    <w:bookmarkStart w:id="60" w:name="software-setup"/>
    <w:p>
      <w:pPr>
        <w:pStyle w:val="Heading2"/>
      </w:pPr>
      <w:r>
        <w:t xml:space="preserve">Software Setup</w:t>
      </w:r>
    </w:p>
    <w:p>
      <w:pPr>
        <w:numPr>
          <w:ilvl w:val="0"/>
          <w:numId w:val="1012"/>
        </w:numPr>
      </w:pPr>
      <w:r>
        <w:t xml:space="preserve">Start Chart using the EEG lab settings file. Four channels should appear: the</w:t>
      </w:r>
      <w:r>
        <w:t xml:space="preserve"> </w:t>
      </w:r>
      <w:r>
        <w:rPr>
          <w:b/>
          <w:bCs/>
        </w:rPr>
        <w:t xml:space="preserve">EEG frontal</w:t>
      </w:r>
      <w:r>
        <w:t xml:space="preserve"> </w:t>
      </w:r>
      <w:r>
        <w:t xml:space="preserve">and</w:t>
      </w:r>
      <w:r>
        <w:t xml:space="preserve"> </w:t>
      </w:r>
      <w:r>
        <w:rPr>
          <w:b/>
          <w:bCs/>
        </w:rPr>
        <w:t xml:space="preserve">EEG occipital</w:t>
      </w:r>
      <w:r>
        <w:t xml:space="preserve">,</w:t>
      </w:r>
      <w:r>
        <w:t xml:space="preserve"> </w:t>
      </w:r>
      <w:r>
        <w:rPr>
          <w:b/>
          <w:bCs/>
        </w:rPr>
        <w:t xml:space="preserve">Alpha power frontal</w:t>
      </w:r>
      <w:r>
        <w:t xml:space="preserve">, and</w:t>
      </w:r>
      <w:r>
        <w:t xml:space="preserve"> </w:t>
      </w:r>
      <w:r>
        <w:rPr>
          <w:b/>
          <w:bCs/>
        </w:rPr>
        <w:t xml:space="preserve">Alpha power occipital</w:t>
      </w:r>
      <w:r>
        <w:t xml:space="preserve">.</w:t>
      </w:r>
    </w:p>
    <w:p>
      <w:pPr>
        <w:numPr>
          <w:ilvl w:val="0"/>
          <w:numId w:val="1012"/>
        </w:numPr>
      </w:pPr>
      <w:r>
        <w:t xml:space="preserve">Make sure that the EEG channels are set to the</w:t>
      </w:r>
      <w:r>
        <w:t xml:space="preserve"> </w:t>
      </w:r>
      <w:r>
        <w:t xml:space="preserve">“Bioamp”</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9" w:name="fig-bioamp"/>
          <w:p>
            <w:pPr>
              <w:pStyle w:val="Compact"/>
              <w:jc w:val="center"/>
            </w:pPr>
            <w:r>
              <w:drawing>
                <wp:inline>
                  <wp:extent cx="5334000" cy="3978105"/>
                  <wp:effectExtent b="0" l="0" r="0" t="0"/>
                  <wp:docPr descr="" title="" id="57" name="Picture"/>
                  <a:graphic>
                    <a:graphicData uri="http://schemas.openxmlformats.org/drawingml/2006/picture">
                      <pic:pic>
                        <pic:nvPicPr>
                          <pic:cNvPr descr="../../images/lab11-bioamp-dialog.png" id="58" name="Picture"/>
                          <pic:cNvPicPr>
                            <a:picLocks noChangeArrowheads="1" noChangeAspect="1"/>
                          </pic:cNvPicPr>
                        </pic:nvPicPr>
                        <pic:blipFill>
                          <a:blip r:embed="rId56"/>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9"/>
        </w:tc>
      </w:tr>
    </w:tbl>
    <w:bookmarkEnd w:id="60"/>
    <w:bookmarkEnd w:id="61"/>
    <w:bookmarkStart w:id="63" w:name="exercise-1-recognizing-artifacts"/>
    <w:p>
      <w:pPr>
        <w:pStyle w:val="Heading1"/>
      </w:pPr>
      <w:r>
        <w:t xml:space="preserve">Exercise 1: Recognizing Artifacts</w:t>
      </w:r>
    </w:p>
    <w:p>
      <w:pPr>
        <w:numPr>
          <w:ilvl w:val="0"/>
          <w:numId w:val="1013"/>
        </w:numPr>
      </w:pPr>
      <w:r>
        <w:t xml:space="preserve">Start recording. Ask the volunteer to blink repeatedly and add a comment</w:t>
      </w:r>
      <w:r>
        <w:t xml:space="preserve"> </w:t>
      </w:r>
      <w:r>
        <w:t xml:space="preserve">“blinking”</w:t>
      </w:r>
      <w:r>
        <w:t xml:space="preserve">. Stop recording after 10 seconds.</w:t>
      </w:r>
    </w:p>
    <w:p>
      <w:pPr>
        <w:numPr>
          <w:ilvl w:val="0"/>
          <w:numId w:val="1013"/>
        </w:numPr>
      </w:pPr>
      <w:r>
        <w:t xml:space="preserve">Record the volunteer making eye movements. Add a comment</w:t>
      </w:r>
      <w:r>
        <w:t xml:space="preserve"> </w:t>
      </w:r>
      <w:r>
        <w:t xml:space="preserve">“eye movements.”</w:t>
      </w:r>
      <w:r>
        <w:t xml:space="preserve"> </w:t>
      </w:r>
      <w:r>
        <w:t xml:space="preserve">Have the volunteer gaze up-and-down and left-and-right in a repeated pattern. Make sure the volunteer is keeping their head still and only moving their eyes.</w:t>
      </w:r>
    </w:p>
    <w:p>
      <w:pPr>
        <w:numPr>
          <w:ilvl w:val="0"/>
          <w:numId w:val="1013"/>
        </w:numPr>
      </w:pPr>
      <w:r>
        <w:t xml:space="preserve">Record the volunteer making head movements.</w:t>
      </w:r>
    </w:p>
    <w:p>
      <w:pPr>
        <w:numPr>
          <w:ilvl w:val="0"/>
          <w:numId w:val="1013"/>
        </w:numPr>
      </w:pPr>
      <w:r>
        <w:t xml:space="preserve">Record the volunteer making jaw movements.</w:t>
      </w:r>
    </w:p>
    <w:p>
      <w:pPr>
        <w:numPr>
          <w:ilvl w:val="0"/>
          <w:numId w:val="1013"/>
        </w:numPr>
      </w:pPr>
      <w:r>
        <w:t xml:space="preserve">Record the volunteer swallowing.</w:t>
      </w:r>
    </w:p>
    <w:p>
      <w:pPr>
        <w:numPr>
          <w:ilvl w:val="0"/>
          <w:numId w:val="1013"/>
        </w:numPr>
      </w:pPr>
      <w:r>
        <w:t xml:space="preserve">Save your data, and open a new file with the same settings.</w:t>
      </w:r>
    </w:p>
    <w:bookmarkStart w:id="62" w:name="X93dae5744e5b5fcb95e0dd39d06747af4bb1f7e"/>
    <w:p>
      <w:pPr>
        <w:pStyle w:val="Heading3"/>
      </w:pPr>
      <w:r>
        <w:t xml:space="preserve">Analysis Exercise 1: Recognizing Artifacts</w:t>
      </w:r>
    </w:p>
    <w:p>
      <w:pPr>
        <w:numPr>
          <w:ilvl w:val="0"/>
          <w:numId w:val="1014"/>
        </w:numPr>
      </w:pPr>
      <w:r>
        <w:t xml:space="preserve">Examine the vertical scale at the left of the Chart View, and note the positions corresponding to +50</w:t>
      </w:r>
      <w:r>
        <w:t xml:space="preserve"> </w:t>
      </w:r>
      <m:oMath>
        <m:r>
          <m:t>μ</m:t>
        </m:r>
      </m:oMath>
      <w:r>
        <w:t xml:space="preserve">V and –50</w:t>
      </w:r>
      <w:r>
        <w:t xml:space="preserve"> </w:t>
      </w:r>
      <m:oMath>
        <m:r>
          <m:t>μ</m:t>
        </m:r>
      </m:oMath>
      <w:r>
        <w:t xml:space="preserve">V. True EEG signals rarely exceed these limits.</w:t>
      </w:r>
    </w:p>
    <w:p>
      <w:pPr>
        <w:numPr>
          <w:ilvl w:val="0"/>
          <w:numId w:val="1014"/>
        </w:numPr>
      </w:pPr>
      <w:r>
        <w:t xml:space="preserve">Examine the entire data trace and Autoscale, if necessary. There may be some large signals outside the ±75</w:t>
      </w:r>
      <w:r>
        <w:t xml:space="preserve"> </w:t>
      </w:r>
      <m:oMath>
        <m:r>
          <m:t>μ</m:t>
        </m:r>
      </m:oMath>
      <w:r>
        <w:t xml:space="preserve">V range. Such large signals are artifacts.</w:t>
      </w:r>
    </w:p>
    <w:bookmarkEnd w:id="62"/>
    <w:bookmarkEnd w:id="63"/>
    <w:bookmarkStart w:id="71"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5"/>
        </w:numPr>
      </w:pPr>
      <w:r>
        <w:t xml:space="preserve">Make sure the volunteer is relaxed and comfortable. Have the volunteer close his/her eyes and remain quiet. Keep noise to a minimum and keep all distractions away from the volunteer.</w:t>
      </w:r>
    </w:p>
    <w:p>
      <w:pPr>
        <w:numPr>
          <w:ilvl w:val="0"/>
          <w:numId w:val="1015"/>
        </w:numPr>
      </w:pPr>
      <w:r>
        <w:t xml:space="preserve">Start recording. Record for 30 seconds. Prepare a comment with</w:t>
      </w:r>
      <w:r>
        <w:t xml:space="preserve"> </w:t>
      </w:r>
      <w:r>
        <w:t xml:space="preserve">“open;”</w:t>
      </w:r>
      <w:r>
        <w:t xml:space="preserve"> </w:t>
      </w:r>
      <w:r>
        <w:t xml:space="preserve">do not enter it yet.</w:t>
      </w:r>
    </w:p>
    <w:p>
      <w:pPr>
        <w:numPr>
          <w:ilvl w:val="0"/>
          <w:numId w:val="1015"/>
        </w:numPr>
      </w:pPr>
      <w:r>
        <w:t xml:space="preserve">Tell the volunteer to open both eyes. Immediately press Return/Enter to add the comment.</w:t>
      </w:r>
      <w:r>
        <w:t xml:space="preserve"> </w:t>
      </w:r>
      <w:r>
        <w:rPr>
          <w:i/>
          <w:iCs/>
        </w:rPr>
        <w:t xml:space="preserve">The subject should not be reading anything or moving their eyes around. Keep head, neck, and eyes very still with the gaze focused on a single point in front of them.</w:t>
      </w:r>
      <w:r>
        <w:t xml:space="preserve"> </w:t>
      </w:r>
      <w:r>
        <w:t xml:space="preserve">Record with the volunteer’s eyes open for 10 seconds. Do not stop recording.</w:t>
      </w:r>
    </w:p>
    <w:p>
      <w:pPr>
        <w:numPr>
          <w:ilvl w:val="0"/>
          <w:numId w:val="1015"/>
        </w:numPr>
      </w:pPr>
      <w:r>
        <w:t xml:space="preserve">Prepare a comment with</w:t>
      </w:r>
      <w:r>
        <w:t xml:space="preserve"> </w:t>
      </w:r>
      <w:r>
        <w:t xml:space="preserve">“shut.”</w:t>
      </w:r>
      <w:r>
        <w:t xml:space="preserve"> </w:t>
      </w:r>
      <w:r>
        <w:t xml:space="preserve">When the 10 seconds are complete, tell the volunteer to close both eyes. Immediately press Return/Enter to add the comment.</w:t>
      </w:r>
    </w:p>
    <w:p>
      <w:pPr>
        <w:numPr>
          <w:ilvl w:val="0"/>
          <w:numId w:val="1015"/>
        </w:numPr>
      </w:pPr>
      <w:r>
        <w:t xml:space="preserve">Repeat steps 3 and 4 twice, to give you three sets of results. Save your data.</w:t>
      </w:r>
    </w:p>
    <w:bookmarkStart w:id="70" w:name="Xcc6b23f1ff4e99288a1b1981dfb71a90021a042"/>
    <w:p>
      <w:pPr>
        <w:pStyle w:val="Heading3"/>
      </w:pPr>
      <w:r>
        <w:t xml:space="preserve">Analysis Exercise 2: Alpha Waves in the EEG</w:t>
      </w:r>
    </w:p>
    <w:p>
      <w:pPr>
        <w:pStyle w:val="Compact"/>
        <w:numPr>
          <w:ilvl w:val="0"/>
          <w:numId w:val="1016"/>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7" w:name="fig-eeg-raw"/>
          <w:p>
            <w:pPr>
              <w:pStyle w:val="Compact"/>
              <w:jc w:val="center"/>
            </w:pPr>
            <w:r>
              <w:drawing>
                <wp:inline>
                  <wp:extent cx="5334000" cy="3605695"/>
                  <wp:effectExtent b="0" l="0" r="0" t="0"/>
                  <wp:docPr descr="" title="" id="65" name="Picture"/>
                  <a:graphic>
                    <a:graphicData uri="http://schemas.openxmlformats.org/drawingml/2006/picture">
                      <pic:pic>
                        <pic:nvPicPr>
                          <pic:cNvPr descr="../../images/lab11-eeg-raw.png" id="66" name="Picture"/>
                          <pic:cNvPicPr>
                            <a:picLocks noChangeArrowheads="1" noChangeAspect="1"/>
                          </pic:cNvPicPr>
                        </pic:nvPicPr>
                        <pic:blipFill>
                          <a:blip r:embed="rId64"/>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7"/>
        </w:tc>
      </w:tr>
    </w:tbl>
    <w:p>
      <w:pPr>
        <w:pStyle w:val="Compact"/>
        <w:numPr>
          <w:ilvl w:val="0"/>
          <w:numId w:val="1017"/>
        </w:numPr>
      </w:pPr>
      <w:r>
        <w:t xml:space="preserve">In Chart View scroll through the</w:t>
      </w:r>
      <w:r>
        <w:t xml:space="preserve"> </w:t>
      </w:r>
      <w:r>
        <w:t xml:space="preserve">“eyes shut”</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rPr>
          <w:b/>
          <w:bCs/>
        </w:rPr>
        <w:t xml:space="preserve">Note: If you cannot find brain activity that matches the alpha rhythm, re-attach the electrodes and repeat this exercise.</w:t>
      </w:r>
    </w:p>
    <w:p>
      <w:pPr>
        <w:numPr>
          <w:ilvl w:val="0"/>
          <w:numId w:val="1018"/>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8"/>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8"/>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8"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center"/>
                  </w:pPr>
                  <w:r>
                    <w:t xml:space="preserve">Amplitude</w:t>
                  </w:r>
                </w:p>
              </w:tc>
            </w:tr>
            <w:tr>
              <w:tc>
                <w:tcPr/>
                <w:p>
                  <w:pPr>
                    <w:pStyle w:val="Compact"/>
                    <w:jc w:val="center"/>
                  </w:pPr>
                  <w:r>
                    <w:t xml:space="preserve">Wave 1</w:t>
                  </w:r>
                </w:p>
              </w:tc>
              <w:tc>
                <w:tcPr/>
                <w:p>
                  <w:pPr>
                    <w:pStyle w:val="Compact"/>
                  </w:pPr>
                </w:p>
              </w:tc>
            </w:tr>
            <w:tr>
              <w:tc>
                <w:tcPr/>
                <w:p>
                  <w:pPr>
                    <w:pStyle w:val="Compact"/>
                    <w:jc w:val="center"/>
                  </w:pPr>
                  <w:r>
                    <w:t xml:space="preserve">Wave 2</w:t>
                  </w:r>
                </w:p>
              </w:tc>
              <w:tc>
                <w:tcPr/>
                <w:p>
                  <w:pPr>
                    <w:pStyle w:val="Compact"/>
                  </w:pPr>
                </w:p>
              </w:tc>
            </w:tr>
            <w:tr>
              <w:tc>
                <w:tcPr/>
                <w:p>
                  <w:pPr>
                    <w:pStyle w:val="Compact"/>
                    <w:jc w:val="center"/>
                  </w:pPr>
                  <w:r>
                    <w:t xml:space="preserve">Wave 3</w:t>
                  </w:r>
                </w:p>
              </w:tc>
              <w:tc>
                <w:tcPr/>
                <w:p>
                  <w:pPr>
                    <w:pStyle w:val="Compact"/>
                  </w:pPr>
                </w:p>
              </w:tc>
            </w:tr>
            <w:tr>
              <w:tc>
                <w:tcPr/>
                <w:p>
                  <w:pPr>
                    <w:pStyle w:val="Compact"/>
                    <w:jc w:val="center"/>
                  </w:pPr>
                  <w:r>
                    <w:t xml:space="preserve">Wave 4</w:t>
                  </w:r>
                </w:p>
              </w:tc>
              <w:tc>
                <w:tcPr/>
                <w:p>
                  <w:pPr>
                    <w:pStyle w:val="Compact"/>
                  </w:pPr>
                </w:p>
              </w:tc>
            </w:tr>
          </w:tbl>
          <w:bookmarkEnd w:id="68"/>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9"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center"/>
                  </w:pPr>
                  <w:r>
                    <w:t xml:space="preserve">Amplitude</w:t>
                  </w:r>
                </w:p>
              </w:tc>
            </w:tr>
            <w:tr>
              <w:tc>
                <w:tcPr/>
                <w:p>
                  <w:pPr>
                    <w:pStyle w:val="Compact"/>
                    <w:jc w:val="center"/>
                  </w:pPr>
                  <w:r>
                    <w:t xml:space="preserve">Wave 1</w:t>
                  </w:r>
                </w:p>
              </w:tc>
              <w:tc>
                <w:tcPr/>
                <w:p>
                  <w:pPr>
                    <w:pStyle w:val="Compact"/>
                  </w:pPr>
                </w:p>
              </w:tc>
            </w:tr>
            <w:tr>
              <w:tc>
                <w:tcPr/>
                <w:p>
                  <w:pPr>
                    <w:pStyle w:val="Compact"/>
                    <w:jc w:val="center"/>
                  </w:pPr>
                  <w:r>
                    <w:t xml:space="preserve">Wave 2</w:t>
                  </w:r>
                </w:p>
              </w:tc>
              <w:tc>
                <w:tcPr/>
                <w:p>
                  <w:pPr>
                    <w:pStyle w:val="Compact"/>
                  </w:pPr>
                </w:p>
              </w:tc>
            </w:tr>
            <w:tr>
              <w:tc>
                <w:tcPr/>
                <w:p>
                  <w:pPr>
                    <w:pStyle w:val="Compact"/>
                    <w:jc w:val="center"/>
                  </w:pPr>
                  <w:r>
                    <w:t xml:space="preserve">Wave 3</w:t>
                  </w:r>
                </w:p>
              </w:tc>
              <w:tc>
                <w:tcPr/>
                <w:p>
                  <w:pPr>
                    <w:pStyle w:val="Compact"/>
                  </w:pPr>
                </w:p>
              </w:tc>
            </w:tr>
            <w:tr>
              <w:tc>
                <w:tcPr/>
                <w:p>
                  <w:pPr>
                    <w:pStyle w:val="Compact"/>
                    <w:jc w:val="center"/>
                  </w:pPr>
                  <w:r>
                    <w:t xml:space="preserve">Wave 4</w:t>
                  </w:r>
                </w:p>
              </w:tc>
              <w:tc>
                <w:tcPr/>
                <w:p>
                  <w:pPr>
                    <w:pStyle w:val="Compact"/>
                  </w:pPr>
                </w:p>
              </w:tc>
            </w:tr>
          </w:tbl>
          <w:bookmarkEnd w:id="69"/>
          <w:p/>
        </w:tc>
      </w:tr>
    </w:tbl>
    <w:bookmarkEnd w:id="70"/>
    <w:bookmarkEnd w:id="71"/>
    <w:bookmarkStart w:id="97"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 Spectrum view conducts a spectral analysis of the data by separting the complex EEG signal into its component waveforms which differ by frequency.</w:t>
      </w:r>
    </w:p>
    <w:p>
      <w:pPr>
        <w:pStyle w:val="BodyText"/>
      </w:pPr>
      <w:r>
        <w:t xml:space="preserve">Specifically we will use the</w:t>
      </w:r>
      <w:r>
        <w:t xml:space="preserve"> </w:t>
      </w:r>
      <w:r>
        <w:rPr>
          <w:b/>
          <w:bCs/>
          <w:i/>
          <w:iCs/>
        </w:rPr>
        <w:t xml:space="preserve">fast Fourier transform</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w:t>
      </w:r>
    </w:p>
    <w:p>
      <w:pPr>
        <w:pStyle w:val="BodyText"/>
      </w:pPr>
      <w:r>
        <w:t xml:space="preserve">What we see as a result is a plot of the</w:t>
      </w:r>
      <w:r>
        <w:t xml:space="preserve"> </w:t>
      </w:r>
      <w:r>
        <w:rPr>
          <w:b/>
          <w:bCs/>
        </w:rPr>
        <w:t xml:space="preserve">power</w:t>
      </w:r>
      <w:r>
        <w:t xml:space="preserve"> </w:t>
      </w:r>
      <w:r>
        <w:t xml:space="preserve">(y-axis)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w:t>
      </w:r>
      <w:r>
        <w:t xml:space="preserve"> </w:t>
      </w:r>
      <w:r>
        <w:rPr>
          <w:b/>
          <w:bCs/>
        </w:rPr>
        <w:t xml:space="preserve">Power Spectrum Density (PSD)</w:t>
      </w:r>
      <w:r>
        <w:t xml:space="preserve"> </w:t>
      </w:r>
      <w:r>
        <w:t xml:space="preserve">plot. The data can also be displayed as 3-dimensional color plot of spectral power, frequency, and time called a</w:t>
      </w:r>
      <w:r>
        <w:t xml:space="preserve"> </w:t>
      </w:r>
      <w:r>
        <w:rPr>
          <w:b/>
          <w:bCs/>
        </w:rPr>
        <w:t xml:space="preserve">Spectrogram</w:t>
      </w:r>
      <w:r>
        <w:t xml:space="preserve">.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w:t>
      </w:r>
      <w:r>
        <w:t xml:space="preserve"> </w:t>
      </w:r>
      <w:r>
        <w:rPr>
          <w:i/>
          <w:iCs/>
        </w:rPr>
        <w:t xml:space="preserve">power</w:t>
      </w:r>
      <w:r>
        <w:t xml:space="preserve">.)</w:t>
      </w:r>
    </w:p>
    <w:p>
      <w:pPr>
        <w:numPr>
          <w:ilvl w:val="0"/>
          <w:numId w:val="1019"/>
        </w:numPr>
      </w:pPr>
      <w:r>
        <w:t xml:space="preserve">Open the</w:t>
      </w:r>
      <w:r>
        <w:t xml:space="preserve"> </w:t>
      </w:r>
      <w:r>
        <w:rPr>
          <w:b/>
          <w:bCs/>
        </w:rPr>
        <w:t xml:space="preserve">EEG Spectral Analysis Tutorial</w:t>
      </w:r>
      <w:r>
        <w:t xml:space="preserve">. It is in the Welcome Center, under the Experiments tab. It is also on the Animal Physiology Settings Folder.</w:t>
      </w:r>
    </w:p>
    <w:p>
      <w:pPr>
        <w:numPr>
          <w:ilvl w:val="0"/>
          <w:numId w:val="1019"/>
        </w:numPr>
      </w:pPr>
      <w:r>
        <w:t xml:space="preserve">Examine the Chart View. Use the View Buttons to view each block. You should see five blocks of data. The first record is a slowly oscillating sine wave</w:t>
      </w:r>
    </w:p>
    <w:p>
      <w:pPr>
        <w:numPr>
          <w:ilvl w:val="0"/>
          <w:numId w:val="1019"/>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5" w:name="fig-button"/>
          <w:p>
            <w:pPr>
              <w:pStyle w:val="Compact"/>
              <w:jc w:val="center"/>
            </w:pPr>
            <w:r>
              <w:drawing>
                <wp:inline>
                  <wp:extent cx="1931110" cy="665018"/>
                  <wp:effectExtent b="0" l="0" r="0" t="0"/>
                  <wp:docPr descr="" title="" id="73" name="Picture"/>
                  <a:graphic>
                    <a:graphicData uri="http://schemas.openxmlformats.org/drawingml/2006/picture">
                      <pic:pic>
                        <pic:nvPicPr>
                          <pic:cNvPr descr="../../images/lab11-spectral-button.png" id="74" name="Picture"/>
                          <pic:cNvPicPr>
                            <a:picLocks noChangeArrowheads="1" noChangeAspect="1"/>
                          </pic:cNvPicPr>
                        </pic:nvPicPr>
                        <pic:blipFill>
                          <a:blip r:embed="rId72"/>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5"/>
        </w:tc>
      </w:tr>
    </w:tbl>
    <w:p>
      <w:pPr>
        <w:numPr>
          <w:ilvl w:val="0"/>
          <w:numId w:val="1020"/>
        </w:numPr>
      </w:pPr>
      <w:r>
        <w:t xml:space="preserve">Click the Smart Tile button in the LabChart Toolbar to display both windows in full screen mode.</w:t>
      </w:r>
    </w:p>
    <w:p>
      <w:pPr>
        <w:numPr>
          <w:ilvl w:val="0"/>
          <w:numId w:val="1020"/>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21"/>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9" w:name="fig-eeg-hz"/>
          <w:p>
            <w:pPr>
              <w:pStyle w:val="Compact"/>
              <w:jc w:val="center"/>
            </w:pPr>
            <w:r>
              <w:drawing>
                <wp:inline>
                  <wp:extent cx="3747121" cy="2014237"/>
                  <wp:effectExtent b="0" l="0" r="0" t="0"/>
                  <wp:docPr descr="" title="" id="77" name="Picture"/>
                  <a:graphic>
                    <a:graphicData uri="http://schemas.openxmlformats.org/drawingml/2006/picture">
                      <pic:pic>
                        <pic:nvPicPr>
                          <pic:cNvPr descr="../../images/lab11-eeg-hz.png" id="78" name="Picture"/>
                          <pic:cNvPicPr>
                            <a:picLocks noChangeArrowheads="1" noChangeAspect="1"/>
                          </pic:cNvPicPr>
                        </pic:nvPicPr>
                        <pic:blipFill>
                          <a:blip r:embed="rId76"/>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9"/>
        </w:tc>
      </w:tr>
    </w:tbl>
    <w:p>
      <w:pPr>
        <w:pStyle w:val="Compact"/>
        <w:numPr>
          <w:ilvl w:val="0"/>
          <w:numId w:val="1022"/>
        </w:numPr>
      </w:pPr>
      <w:r>
        <w:t xml:space="preserve">Set the horizontal scaling for the Spectrogram to 50:1.</w:t>
      </w:r>
    </w:p>
    <w:p>
      <w:pPr>
        <w:pStyle w:val="Compact"/>
        <w:numPr>
          <w:ilvl w:val="0"/>
          <w:numId w:val="1023"/>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4"/>
        </w:numPr>
      </w:pPr>
      <w:r>
        <w:t xml:space="preserve">What is the frequency in Hertz (Hz) of this sine wave? ______</w:t>
      </w:r>
    </w:p>
    <w:p>
      <w:pPr>
        <w:pStyle w:val="Compact"/>
        <w:numPr>
          <w:ilvl w:val="0"/>
          <w:numId w:val="1025"/>
        </w:numPr>
      </w:pPr>
      <w:r>
        <w:t xml:space="preserve">Select the second record and again view the result in the Spectrum view.</w:t>
      </w:r>
    </w:p>
    <w:p>
      <w:pPr>
        <w:pStyle w:val="Compact"/>
        <w:numPr>
          <w:ilvl w:val="0"/>
          <w:numId w:val="1026"/>
        </w:numPr>
      </w:pPr>
      <w:r>
        <w:t xml:space="preserve">What is the frequency in Hertz (Hz) of this second sine wave? _____</w:t>
      </w:r>
    </w:p>
    <w:p>
      <w:pPr>
        <w:pStyle w:val="Compact"/>
        <w:numPr>
          <w:ilvl w:val="0"/>
          <w:numId w:val="1027"/>
        </w:numPr>
      </w:pPr>
      <w:r>
        <w:t xml:space="preserve">Select the third record and again view the result in the Spectrum view. You should now see two prominent peaks (PSD plot) and bands (Spectrogram) in the result.</w:t>
      </w:r>
    </w:p>
    <w:p>
      <w:pPr>
        <w:pStyle w:val="Compact"/>
        <w:numPr>
          <w:ilvl w:val="0"/>
          <w:numId w:val="1028"/>
        </w:numPr>
      </w:pPr>
      <w:r>
        <w:t xml:space="preserve">Are these two peaks/bands the same as for the first two records? _____</w:t>
      </w:r>
    </w:p>
    <w:p>
      <w:pPr>
        <w:pStyle w:val="Compact"/>
        <w:numPr>
          <w:ilvl w:val="0"/>
          <w:numId w:val="1029"/>
        </w:numPr>
      </w:pPr>
      <w:r>
        <w:t xml:space="preserve">Select the fourth record and again view the result in the Spectrum view.</w:t>
      </w:r>
    </w:p>
    <w:p>
      <w:pPr>
        <w:pStyle w:val="Compact"/>
        <w:numPr>
          <w:ilvl w:val="0"/>
          <w:numId w:val="1030"/>
        </w:numPr>
      </w:pPr>
      <w:r>
        <w:t xml:space="preserve">Is there any regular signal within this record? _____</w:t>
      </w:r>
    </w:p>
    <w:p>
      <w:pPr>
        <w:numPr>
          <w:ilvl w:val="0"/>
          <w:numId w:val="1031"/>
        </w:numPr>
      </w:pPr>
      <w:r>
        <w:t xml:space="preserve">In Chart View compare the signal amplitudes of the fourth and fifth records. Note that the fifth record has lower amplitude compared with the fourth record.</w:t>
      </w:r>
    </w:p>
    <w:p>
      <w:pPr>
        <w:numPr>
          <w:ilvl w:val="0"/>
          <w:numId w:val="1031"/>
        </w:numPr>
      </w:pPr>
      <w:r>
        <w:t xml:space="preserve">Select the fourth record again. In the Spectrum view examine the PSD plot. Move the Waveform Cursor to the prominent peak.</w:t>
      </w:r>
    </w:p>
    <w:p>
      <w:pPr>
        <w:numPr>
          <w:ilvl w:val="0"/>
          <w:numId w:val="1032"/>
        </w:numPr>
      </w:pPr>
      <w:r>
        <w:t xml:space="preserve">What is the frequency (Hz) of this signal? _____</w:t>
      </w:r>
    </w:p>
    <w:p>
      <w:pPr>
        <w:numPr>
          <w:ilvl w:val="0"/>
          <w:numId w:val="1032"/>
        </w:numPr>
      </w:pPr>
      <w:r>
        <w:t xml:space="preserve">What is the power (mV2) of this signal? _____</w:t>
      </w:r>
    </w:p>
    <w:p>
      <w:pPr>
        <w:pStyle w:val="Compact"/>
        <w:numPr>
          <w:ilvl w:val="0"/>
          <w:numId w:val="1033"/>
        </w:numPr>
      </w:pPr>
      <w:r>
        <w:t xml:space="preserve">Select the fifth record and examine the PSD plot. Move the Waveform Cursor to the peak.</w:t>
      </w:r>
    </w:p>
    <w:p>
      <w:pPr>
        <w:numPr>
          <w:ilvl w:val="0"/>
          <w:numId w:val="1034"/>
        </w:numPr>
      </w:pPr>
      <w:r>
        <w:t xml:space="preserve">What is the frequency (Hz) of this signal? _____</w:t>
      </w:r>
    </w:p>
    <w:p>
      <w:pPr>
        <w:numPr>
          <w:ilvl w:val="0"/>
          <w:numId w:val="1034"/>
        </w:numPr>
      </w:pPr>
      <w:r>
        <w:t xml:space="preserve">What is the power (mV2) of this signal? _____</w:t>
      </w:r>
    </w:p>
    <w:p>
      <w:pPr>
        <w:pStyle w:val="Compact"/>
        <w:numPr>
          <w:ilvl w:val="0"/>
          <w:numId w:val="1035"/>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r>
        <w:t xml:space="preserve"> </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3" w:name="fig-6a"/>
                <w:p>
                  <w:pPr>
                    <w:pStyle w:val="Compact"/>
                    <w:jc w:val="center"/>
                    <w:jc w:val="left"/>
                  </w:pPr>
                  <w:r>
                    <w:drawing>
                      <wp:inline>
                        <wp:extent cx="4450506" cy="2500212"/>
                        <wp:effectExtent b="0" l="0" r="0" t="0"/>
                        <wp:docPr descr="" title="" id="81" name="Picture"/>
                        <a:graphic>
                          <a:graphicData uri="http://schemas.openxmlformats.org/drawingml/2006/picture">
                            <pic:pic>
                              <pic:nvPicPr>
                                <pic:cNvPr descr="../../images/lab11-6a.png" id="82" name="Picture"/>
                                <pic:cNvPicPr>
                                  <a:picLocks noChangeArrowheads="1" noChangeAspect="1"/>
                                </pic:cNvPicPr>
                              </pic:nvPicPr>
                              <pic:blipFill>
                                <a:blip r:embed="rId80"/>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3"/>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7" w:name="fig-6b"/>
                <w:p>
                  <w:pPr>
                    <w:pStyle w:val="Compact"/>
                    <w:jc w:val="center"/>
                    <w:jc w:val="left"/>
                  </w:pPr>
                  <w:r>
                    <w:drawing>
                      <wp:inline>
                        <wp:extent cx="4316223" cy="1963082"/>
                        <wp:effectExtent b="0" l="0" r="0" t="0"/>
                        <wp:docPr descr="" title="" id="85" name="Picture"/>
                        <a:graphic>
                          <a:graphicData uri="http://schemas.openxmlformats.org/drawingml/2006/picture">
                            <pic:pic>
                              <pic:nvPicPr>
                                <pic:cNvPr descr="../../images/lab11-6b.png" id="86" name="Picture"/>
                                <pic:cNvPicPr>
                                  <a:picLocks noChangeArrowheads="1" noChangeAspect="1"/>
                                </pic:cNvPicPr>
                              </pic:nvPicPr>
                              <pic:blipFill>
                                <a:blip r:embed="rId84"/>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7"/>
              </w:tc>
            </w:tr>
          </w:tbl>
          <w:p/>
        </w:tc>
      </w:tr>
    </w:tbl>
    <w:p>
      <w:pPr>
        <w:pStyle w:val="Compact"/>
        <w:numPr>
          <w:ilvl w:val="0"/>
          <w:numId w:val="1036"/>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7"/>
        </w:numPr>
      </w:pPr>
      <w:r>
        <w:t xml:space="preserve">How has the quality of the signal affected the wave features? _____</w:t>
      </w:r>
    </w:p>
    <w:bookmarkStart w:id="96"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8"/>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1" w:name="fig-eeg"/>
          <w:p>
            <w:pPr>
              <w:pStyle w:val="Compact"/>
              <w:jc w:val="center"/>
            </w:pPr>
            <w:r>
              <w:drawing>
                <wp:inline>
                  <wp:extent cx="5334000" cy="2513206"/>
                  <wp:effectExtent b="0" l="0" r="0" t="0"/>
                  <wp:docPr descr="" title="" id="89" name="Picture"/>
                  <a:graphic>
                    <a:graphicData uri="http://schemas.openxmlformats.org/drawingml/2006/picture">
                      <pic:pic>
                        <pic:nvPicPr>
                          <pic:cNvPr descr="../../images/lab11-eeg.png" id="90" name="Picture"/>
                          <pic:cNvPicPr>
                            <a:picLocks noChangeArrowheads="1" noChangeAspect="1"/>
                          </pic:cNvPicPr>
                        </pic:nvPicPr>
                        <pic:blipFill>
                          <a:blip r:embed="rId88"/>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91"/>
        </w:tc>
      </w:tr>
    </w:tbl>
    <w:p>
      <w:pPr>
        <w:pStyle w:val="Compact"/>
        <w:numPr>
          <w:ilvl w:val="0"/>
          <w:numId w:val="1039"/>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5" w:name="fig-alpha"/>
          <w:p>
            <w:pPr>
              <w:pStyle w:val="Compact"/>
              <w:jc w:val="center"/>
            </w:pPr>
            <w:r>
              <w:drawing>
                <wp:inline>
                  <wp:extent cx="5334000" cy="3957483"/>
                  <wp:effectExtent b="0" l="0" r="0" t="0"/>
                  <wp:docPr descr="" title="" id="93" name="Picture"/>
                  <a:graphic>
                    <a:graphicData uri="http://schemas.openxmlformats.org/drawingml/2006/picture">
                      <pic:pic>
                        <pic:nvPicPr>
                          <pic:cNvPr descr="../../images/lab11-alpha.png" id="94" name="Picture"/>
                          <pic:cNvPicPr>
                            <a:picLocks noChangeArrowheads="1" noChangeAspect="1"/>
                          </pic:cNvPicPr>
                        </pic:nvPicPr>
                        <pic:blipFill>
                          <a:blip r:embed="rId92"/>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5"/>
        </w:tc>
      </w:tr>
    </w:tbl>
    <w:p>
      <w:pPr>
        <w:numPr>
          <w:ilvl w:val="0"/>
          <w:numId w:val="1040"/>
        </w:numPr>
      </w:pPr>
      <w:r>
        <w:t xml:space="preserve">Alpha activity shows up in the PSD plot as a clear peak in the 8-12 Hz range. Then print the PSD plot.</w:t>
      </w:r>
    </w:p>
    <w:p>
      <w:pPr>
        <w:numPr>
          <w:ilvl w:val="0"/>
          <w:numId w:val="1040"/>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40"/>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40"/>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6"/>
    <w:bookmarkEnd w:id="97"/>
    <w:bookmarkStart w:id="104"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8" name="Picture"/>
                  <a:graphic>
                    <a:graphicData uri="http://schemas.openxmlformats.org/drawingml/2006/picture">
                      <pic:pic>
                        <pic:nvPicPr>
                          <pic:cNvPr descr="/Applications/quarto/share/formats/docx/note.png" id="9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41"/>
              </w:numPr>
            </w:pPr>
            <w:r>
              <w:rPr>
                <w:b/>
                <w:bCs/>
              </w:rPr>
              <w:t xml:space="preserve">copying</w:t>
            </w:r>
            <w:r>
              <w:t xml:space="preserve">: reproducing information verbatim. Word-for-word.</w:t>
            </w:r>
          </w:p>
          <w:p>
            <w:pPr>
              <w:pStyle w:val="Compact"/>
              <w:numPr>
                <w:ilvl w:val="0"/>
                <w:numId w:val="1041"/>
              </w:numPr>
            </w:pPr>
            <w:r>
              <w:rPr>
                <w:b/>
                <w:bCs/>
              </w:rPr>
              <w:t xml:space="preserve">note taking</w:t>
            </w:r>
            <w:r>
              <w:t xml:space="preserve">: depicting the information content in your own words, whether in sentences, bullet points, or some more flexible format.</w:t>
            </w:r>
          </w:p>
          <w:p>
            <w:pPr>
              <w:pStyle w:val="Compact"/>
              <w:numPr>
                <w:ilvl w:val="0"/>
                <w:numId w:val="1041"/>
              </w:numPr>
            </w:pPr>
            <w:r>
              <w:rPr>
                <w:b/>
                <w:bCs/>
              </w:rPr>
              <w:t xml:space="preserve">drawing</w:t>
            </w:r>
            <w:r>
              <w:t xml:space="preserve">: doodling, drawimg, or making diagrams of the information, which can be labelled.</w:t>
            </w:r>
          </w:p>
          <w:p>
            <w:pPr>
              <w:pStyle w:val="Compact"/>
              <w:numPr>
                <w:ilvl w:val="0"/>
                <w:numId w:val="1041"/>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0" name="Picture"/>
                  <a:graphic>
                    <a:graphicData uri="http://schemas.openxmlformats.org/drawingml/2006/picture">
                      <pic:pic>
                        <pic:nvPicPr>
                          <pic:cNvPr descr="/Applications/quarto/share/formats/docx/note.png" id="10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42"/>
              </w:numPr>
            </w:pPr>
            <w:r>
              <w:t xml:space="preserve">handwriting (print)</w:t>
            </w:r>
          </w:p>
          <w:p>
            <w:pPr>
              <w:pStyle w:val="Compact"/>
              <w:numPr>
                <w:ilvl w:val="0"/>
                <w:numId w:val="1042"/>
              </w:numPr>
            </w:pPr>
            <w:r>
              <w:t xml:space="preserve">cursive writing</w:t>
            </w:r>
          </w:p>
          <w:p>
            <w:pPr>
              <w:pStyle w:val="Compact"/>
              <w:numPr>
                <w:ilvl w:val="0"/>
                <w:numId w:val="1042"/>
              </w:numPr>
            </w:pPr>
            <w:r>
              <w:t xml:space="preserve">typing</w:t>
            </w:r>
          </w:p>
        </w:tc>
      </w:tr>
    </w:tbl>
    <w:p>
      <w:pPr>
        <w:numPr>
          <w:ilvl w:val="0"/>
          <w:numId w:val="1043"/>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3"/>
        </w:numPr>
      </w:pPr>
      <w:r>
        <w:t xml:space="preserve">With the subject seated comfortably, start the recording and drop a comment saying</w:t>
      </w:r>
      <w:r>
        <w:t xml:space="preserve"> </w:t>
      </w:r>
      <w:r>
        <w:rPr>
          <w:i/>
          <w:iCs/>
        </w:rPr>
        <w:t xml:space="preserve">“begin hand movement control”</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3"/>
        </w:numPr>
      </w:pPr>
      <w:r>
        <w:t xml:space="preserve">Position the pen and blank paper in front of the subject. Start the recording and drop a comment that says</w:t>
      </w:r>
      <w:r>
        <w:t xml:space="preserve"> </w:t>
      </w:r>
      <w:r>
        <w:rPr>
          <w:i/>
          <w:iCs/>
        </w:rPr>
        <w:t xml:space="preserve">“begin handwritten copying”</w:t>
      </w:r>
      <w:r>
        <w:t xml:space="preserve">. Expose the first line on the prompt sheet and have the subject copy it using regular handwriting. Try to only move the hand and wrist while writing. Drop another comment when they have finished writing.</w:t>
      </w:r>
    </w:p>
    <w:p>
      <w:pPr>
        <w:numPr>
          <w:ilvl w:val="0"/>
          <w:numId w:val="1043"/>
        </w:numPr>
      </w:pPr>
      <w:r>
        <w:t xml:space="preserve">While still recording, drop another comment saying</w:t>
      </w:r>
      <w:r>
        <w:t xml:space="preserve"> </w:t>
      </w:r>
      <w:r>
        <w:rPr>
          <w:i/>
          <w:iCs/>
        </w:rPr>
        <w:t xml:space="preserve">“begin handwritten notetaking”</w:t>
      </w:r>
      <w:r>
        <w:t xml:space="preserve">. Have the subject read the second prompt and take notes (in their own words) using the pen and paper. Drop a comment when finished.</w:t>
      </w:r>
    </w:p>
    <w:p>
      <w:pPr>
        <w:numPr>
          <w:ilvl w:val="0"/>
          <w:numId w:val="1043"/>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3"/>
        </w:numPr>
      </w:pPr>
      <w:r>
        <w:t xml:space="preserve">For the 7th prompt on the sheet, have the subject read the sentence and draw a diagram/picture to illustrate what the sentence describes.</w:t>
      </w:r>
    </w:p>
    <w:p>
      <w:pPr>
        <w:numPr>
          <w:ilvl w:val="0"/>
          <w:numId w:val="1043"/>
        </w:numPr>
      </w:pPr>
      <w:r>
        <w:t xml:space="preserve">For the 8th prompt on the sheet, have the subject only read the sentence (in their head) without doing any note-taking activity.</w:t>
      </w:r>
    </w:p>
    <w:p>
      <w:pPr>
        <w:numPr>
          <w:ilvl w:val="0"/>
          <w:numId w:val="1043"/>
        </w:numPr>
      </w:pPr>
      <w:r>
        <w:t xml:space="preserve">Design your own experiment to test another factor in note taking strategies. For example, having the sentence read aloud to the subject. Record this trial with appropriate commenting.</w:t>
      </w:r>
    </w:p>
    <w:bookmarkStart w:id="103" w:name="X18a1d560c6e57756c17426940096d3403ae2e15"/>
    <w:p>
      <w:pPr>
        <w:pStyle w:val="Heading3"/>
      </w:pPr>
      <w:r>
        <w:t xml:space="preserve">Analysis 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4"/>
        </w:numPr>
      </w:pPr>
      <w:r>
        <w:t xml:space="preserve">Select a clean section of data in the Chart Window from the first experiment (without any major artifacts). Open the Spectrum view and change the settings to display both</w:t>
      </w:r>
      <w:r>
        <w:t xml:space="preserve"> </w:t>
      </w:r>
      <w:r>
        <w:rPr>
          <w:i/>
          <w:iCs/>
        </w:rPr>
        <w:t xml:space="preserve">“EEG Frontal”</w:t>
      </w:r>
      <w:r>
        <w:t xml:space="preserve"> </w:t>
      </w:r>
      <w:r>
        <w:t xml:space="preserve">and</w:t>
      </w:r>
      <w:r>
        <w:t xml:space="preserve"> </w:t>
      </w:r>
      <w:r>
        <w:rPr>
          <w:i/>
          <w:iCs/>
        </w:rPr>
        <w:t xml:space="preserve">“EEG Occipital”</w:t>
      </w:r>
      <w:r>
        <w:t xml:space="preserve"> </w:t>
      </w:r>
      <w:r>
        <w:t xml:space="preserve">channels.</w:t>
      </w:r>
    </w:p>
    <w:p>
      <w:pPr>
        <w:numPr>
          <w:ilvl w:val="0"/>
          <w:numId w:val="1044"/>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“Handwritten_Copying.txt”</w:t>
      </w:r>
      <w:r>
        <w:t xml:space="preserve">.</w:t>
      </w:r>
    </w:p>
    <w:p>
      <w:pPr>
        <w:numPr>
          <w:ilvl w:val="0"/>
          <w:numId w:val="1044"/>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“eyes open”</w:t>
      </w:r>
      <w:r>
        <w:t xml:space="preserve"> </w:t>
      </w:r>
      <w:r>
        <w:t xml:space="preserve">and</w:t>
      </w:r>
      <w:r>
        <w:t xml:space="preserve"> </w:t>
      </w:r>
      <w:r>
        <w:rPr>
          <w:i/>
          <w:iCs/>
        </w:rPr>
        <w:t xml:space="preserve">“eyes closed”</w:t>
      </w:r>
      <w:r>
        <w:t xml:space="preserve"> </w:t>
      </w:r>
      <w:r>
        <w:t xml:space="preserve">data for control. You should have at least 12 text files total.</w:t>
      </w:r>
    </w:p>
    <w:p>
      <w:pPr>
        <w:numPr>
          <w:ilvl w:val="0"/>
          <w:numId w:val="1044"/>
        </w:numPr>
      </w:pPr>
      <w:r>
        <w:t xml:space="preserve">Make a copy of</w:t>
      </w:r>
      <w:r>
        <w:t xml:space="preserve"> </w:t>
      </w:r>
      <w:hyperlink r:id="rId102">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4"/>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5"/>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6"/>
        </w:numPr>
      </w:pPr>
      <w:r>
        <w:t xml:space="preserve">For example,</w:t>
      </w:r>
      <w:r>
        <w:t xml:space="preserve"> </w:t>
      </w:r>
      <w:r>
        <w:rPr>
          <w:i/>
          <w:iCs/>
        </w:rPr>
        <w:t xml:space="preserve">“Do we see a decrease in alpha waves and an increase in beta waves with eyes open?”</w:t>
      </w:r>
    </w:p>
    <w:p>
      <w:pPr>
        <w:pStyle w:val="Compact"/>
        <w:numPr>
          <w:ilvl w:val="2"/>
          <w:numId w:val="1046"/>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5"/>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7"/>
        </w:numPr>
      </w:pPr>
      <w:r>
        <w:t xml:space="preserve">For example,</w:t>
      </w:r>
      <w:r>
        <w:t xml:space="preserve"> </w:t>
      </w:r>
      <w:r>
        <w:rPr>
          <w:i/>
          <w:iCs/>
        </w:rPr>
        <w:t xml:space="preserve">“Is there any difference in gamma waves in the frontal lobe across the modes of handwriting, cursive, or typing for the notetaking strategy?”</w:t>
      </w:r>
    </w:p>
    <w:p>
      <w:pPr>
        <w:pStyle w:val="Compact"/>
        <w:numPr>
          <w:ilvl w:val="1"/>
          <w:numId w:val="1045"/>
        </w:numPr>
      </w:pPr>
      <w:r>
        <w:t xml:space="preserve">Come up with two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3"/>
    <w:bookmarkEnd w:id="104"/>
    <w:bookmarkStart w:id="105" w:name="food-for-thought"/>
    <w:p>
      <w:pPr>
        <w:pStyle w:val="Heading1"/>
      </w:pPr>
      <w:r>
        <w:t xml:space="preserve">Food for thought</w:t>
      </w:r>
    </w:p>
    <w:p>
      <w:pPr>
        <w:numPr>
          <w:ilvl w:val="0"/>
          <w:numId w:val="1048"/>
        </w:numPr>
      </w:pPr>
      <w:r>
        <w:t xml:space="preserve">How does the human anatomy make it difficult to record and electroencephalogram or EEG?</w:t>
      </w:r>
    </w:p>
    <w:p>
      <w:pPr>
        <w:numPr>
          <w:ilvl w:val="0"/>
          <w:numId w:val="1048"/>
        </w:numPr>
      </w:pPr>
      <w:r>
        <w:t xml:space="preserve">What are common causes of the artifacts you recorded in Exercise 1? Name at least 3.</w:t>
      </w:r>
    </w:p>
    <w:p>
      <w:pPr>
        <w:numPr>
          <w:ilvl w:val="0"/>
          <w:numId w:val="1048"/>
        </w:numPr>
      </w:pPr>
      <w:r>
        <w:t xml:space="preserve">In exercise 2, under what conditions did you see alpha waves more clearly? What are alpha waves thought to indicate?</w:t>
      </w:r>
    </w:p>
    <w:p>
      <w:pPr>
        <w:numPr>
          <w:ilvl w:val="0"/>
          <w:numId w:val="1048"/>
        </w:numPr>
      </w:pPr>
      <w:r>
        <w:t xml:space="preserve">Where do you think motor activity would appear in your data?</w:t>
      </w:r>
    </w:p>
    <w:p>
      <w:pPr>
        <w:numPr>
          <w:ilvl w:val="0"/>
          <w:numId w:val="1048"/>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8"/>
        </w:numPr>
      </w:pPr>
      <w:r>
        <w:t xml:space="preserve">What is the purpose of taking a control measurement with hand movement only?</w:t>
      </w:r>
    </w:p>
    <w:p>
      <w:pPr>
        <w:numPr>
          <w:ilvl w:val="0"/>
          <w:numId w:val="1048"/>
        </w:numPr>
      </w:pPr>
      <w:r>
        <w:t xml:space="preserve">Which activities were easier or more difficult for the subject to perform? Which types of waves are more abundant during more difficult activities?</w:t>
      </w:r>
    </w:p>
    <w:bookmarkEnd w:id="105"/>
    <w:bookmarkStart w:id="114" w:name="after-lab"/>
    <w:p>
      <w:pPr>
        <w:pStyle w:val="Heading1"/>
      </w:pPr>
      <w:r>
        <w:t xml:space="preserve">After Lab:</w:t>
      </w:r>
    </w:p>
    <w:p>
      <w:pPr>
        <w:pStyle w:val="Compact"/>
        <w:numPr>
          <w:ilvl w:val="0"/>
          <w:numId w:val="1049"/>
        </w:numPr>
      </w:pPr>
      <w:r>
        <w:t xml:space="preserve">This will be a group lab report.</w:t>
      </w:r>
    </w:p>
    <w:p>
      <w:pPr>
        <w:pStyle w:val="Compact"/>
        <w:numPr>
          <w:ilvl w:val="0"/>
          <w:numId w:val="1049"/>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9"/>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physiological mechanisms.</w:t>
      </w:r>
    </w:p>
    <w:p>
      <w:pPr>
        <w:pStyle w:val="Compact"/>
        <w:numPr>
          <w:ilvl w:val="0"/>
          <w:numId w:val="1049"/>
        </w:numPr>
      </w:pPr>
      <w:r>
        <w:t xml:space="preserve">In the discussion end by synthesizing what you learned. Try to bring together aspects of the separate experiments to reflect back on what you learned. What did you learn about the processing of different notetaking strategies or scribing modalities, and anything else you may have tested?</w:t>
      </w:r>
    </w:p>
    <w:p>
      <w:pPr>
        <w:pStyle w:val="Compact"/>
        <w:numPr>
          <w:ilvl w:val="0"/>
          <w:numId w:val="1049"/>
        </w:numPr>
      </w:pPr>
      <w:r>
        <w:t xml:space="preserve">Please remember to include respective contributions.</w:t>
      </w:r>
    </w:p>
    <w:bookmarkStart w:id="113" w:name="refs"/>
    <w:bookmarkStart w:id="107"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6">
        <w:r>
          <w:rPr>
            <w:rStyle w:val="Hyperlink"/>
          </w:rPr>
          <w:t xml:space="preserve">https://doi.org/10.1016/j.cub.2011.10.037</w:t>
        </w:r>
      </w:hyperlink>
      <w:r>
        <w:t xml:space="preserve">.</w:t>
      </w:r>
    </w:p>
    <w:bookmarkEnd w:id="107"/>
    <w:bookmarkStart w:id="109"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8">
        <w:r>
          <w:rPr>
            <w:rStyle w:val="Hyperlink"/>
          </w:rPr>
          <w:t xml:space="preserve">https://doi.org/10.3389/fpsyg.2017.00706</w:t>
        </w:r>
      </w:hyperlink>
      <w:r>
        <w:t xml:space="preserve">.</w:t>
      </w:r>
    </w:p>
    <w:bookmarkEnd w:id="109"/>
    <w:bookmarkStart w:id="111"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10">
        <w:r>
          <w:rPr>
            <w:rStyle w:val="Hyperlink"/>
          </w:rPr>
          <w:t xml:space="preserve">https://doi.org/10.3389/fpsyg.2020.01810</w:t>
        </w:r>
      </w:hyperlink>
      <w:r>
        <w:t xml:space="preserve">.</w:t>
      </w:r>
    </w:p>
    <w:bookmarkEnd w:id="111"/>
    <w:bookmarkStart w:id="112" w:name="ref-Vibell:2023"/>
    <w:p>
      <w:pPr>
        <w:pStyle w:val="Bibliography"/>
      </w:pPr>
      <w:r>
        <w:t xml:space="preserve">Vibell, Jonas. in prep.</w:t>
      </w:r>
      <w:r>
        <w:t xml:space="preserve"> </w:t>
      </w:r>
      <w:r>
        <w:t xml:space="preserve">“Ch. 3 Electroencephalography.”</w:t>
      </w:r>
      <w:r>
        <w:t xml:space="preserve"> </w:t>
      </w:r>
      <w:r>
        <w:t xml:space="preserve">In.</w:t>
      </w:r>
    </w:p>
    <w:bookmarkEnd w:id="112"/>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1">
    <w:abstractNumId w:val="991"/>
  </w:num>
  <w:num w:numId="1022">
    <w:abstractNumId w:val="991"/>
  </w:num>
  <w:num w:numId="102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4">
    <w:abstractNumId w:val="991"/>
  </w:num>
  <w:num w:numId="102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6">
    <w:abstractNumId w:val="991"/>
  </w:num>
  <w:num w:numId="102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8">
    <w:abstractNumId w:val="991"/>
  </w:num>
  <w:num w:numId="102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30">
    <w:abstractNumId w:val="991"/>
  </w:num>
  <w:num w:numId="103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32">
    <w:abstractNumId w:val="991"/>
  </w:num>
  <w:num w:numId="1033">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4">
    <w:abstractNumId w:val="991"/>
  </w:num>
  <w:num w:numId="1035">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6">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92" Target="media/rId92.png" /><Relationship Type="http://schemas.openxmlformats.org/officeDocument/2006/relationships/image" Id="rId56" Target="media/rId56.png" /><Relationship Type="http://schemas.openxmlformats.org/officeDocument/2006/relationships/image" Id="rId39" Target="media/rId39.png" /><Relationship Type="http://schemas.openxmlformats.org/officeDocument/2006/relationships/image" Id="rId28" Target="media/rId28.png" /><Relationship Type="http://schemas.openxmlformats.org/officeDocument/2006/relationships/image" Id="rId76" Target="media/rId76.png" /><Relationship Type="http://schemas.openxmlformats.org/officeDocument/2006/relationships/image" Id="rId64" Target="media/rId64.png" /><Relationship Type="http://schemas.openxmlformats.org/officeDocument/2006/relationships/image" Id="rId51" Target="media/rId51.png" /><Relationship Type="http://schemas.openxmlformats.org/officeDocument/2006/relationships/image" Id="rId88" Target="media/rId88.png" /><Relationship Type="http://schemas.openxmlformats.org/officeDocument/2006/relationships/image" Id="rId34" Target="media/rId34.jpg" /><Relationship Type="http://schemas.openxmlformats.org/officeDocument/2006/relationships/image" Id="rId72" Target="media/rId72.png" /><Relationship Type="http://schemas.openxmlformats.org/officeDocument/2006/relationships/image" Id="rId20" Target="media/rId20.png" /><Relationship Type="http://schemas.openxmlformats.org/officeDocument/2006/relationships/image" Id="rId45" Target="media/rId45.png" /><Relationship Type="http://schemas.openxmlformats.org/officeDocument/2006/relationships/hyperlink" Id="rId27" Target="%22Chapter%203%20-%20EEG.docx-1.pdf%22" TargetMode="External" /><Relationship Type="http://schemas.openxmlformats.org/officeDocument/2006/relationships/hyperlink" Id="rId23" Target="../../labs-misc/lab-notebook.qmd#sec-prelab" TargetMode="External" /><Relationship Type="http://schemas.openxmlformats.org/officeDocument/2006/relationships/hyperlink" Id="rId31" Target="http://training.seer.cancer.gov/module_anatomy/unit5_3_nerve_org1_cns.html" TargetMode="External" /><Relationship Type="http://schemas.openxmlformats.org/officeDocument/2006/relationships/hyperlink" Id="rId32" Target="https://commons.wikimedia.org/w/index.php?curid=29055751" TargetMode="External" /><Relationship Type="http://schemas.openxmlformats.org/officeDocument/2006/relationships/hyperlink" Id="rId37" Target="https://creativecommons.org/licenses/by/3.0" TargetMode="External" /><Relationship Type="http://schemas.openxmlformats.org/officeDocument/2006/relationships/hyperlink" Id="rId102" Target="https://docs.google.com/spreadsheets/d/1NszouoafNYPwEMO5w8iF_cYApgp0K3NM04JTTBrygWI/edit?usp=sharing" TargetMode="External" /><Relationship Type="http://schemas.openxmlformats.org/officeDocument/2006/relationships/hyperlink" Id="rId106" Target="https://doi.org/10.1016/j.cub.2011.10.037" TargetMode="External" /><Relationship Type="http://schemas.openxmlformats.org/officeDocument/2006/relationships/hyperlink" Id="rId108" Target="https://doi.org/10.3389/fpsyg.2017.00706" TargetMode="External" /><Relationship Type="http://schemas.openxmlformats.org/officeDocument/2006/relationships/hyperlink" Id="rId110"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7" Target="%22Chapter%203%20-%20EEG.docx-1.pdf%22" TargetMode="External" /><Relationship Type="http://schemas.openxmlformats.org/officeDocument/2006/relationships/hyperlink" Id="rId23" Target="../../labs-misc/lab-notebook.qmd#sec-prelab" TargetMode="External" /><Relationship Type="http://schemas.openxmlformats.org/officeDocument/2006/relationships/hyperlink" Id="rId31" Target="http://training.seer.cancer.gov/module_anatomy/unit5_3_nerve_org1_cns.html" TargetMode="External" /><Relationship Type="http://schemas.openxmlformats.org/officeDocument/2006/relationships/hyperlink" Id="rId32" Target="https://commons.wikimedia.org/w/index.php?curid=29055751" TargetMode="External" /><Relationship Type="http://schemas.openxmlformats.org/officeDocument/2006/relationships/hyperlink" Id="rId37" Target="https://creativecommons.org/licenses/by/3.0" TargetMode="External" /><Relationship Type="http://schemas.openxmlformats.org/officeDocument/2006/relationships/hyperlink" Id="rId102" Target="https://docs.google.com/spreadsheets/d/1NszouoafNYPwEMO5w8iF_cYApgp0K3NM04JTTBrygWI/edit?usp=sharing" TargetMode="External" /><Relationship Type="http://schemas.openxmlformats.org/officeDocument/2006/relationships/hyperlink" Id="rId106" Target="https://doi.org/10.1016/j.cub.2011.10.037" TargetMode="External" /><Relationship Type="http://schemas.openxmlformats.org/officeDocument/2006/relationships/hyperlink" Id="rId108" Target="https://doi.org/10.3389/fpsyg.2017.00706" TargetMode="External" /><Relationship Type="http://schemas.openxmlformats.org/officeDocument/2006/relationships/hyperlink" Id="rId110"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2025-08-29T09:13:58Z</dcterms:created>
  <dcterms:modified xsi:type="dcterms:W3CDTF">2025-08-29T09:13:58Z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2024-11-14</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