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12: Human Renal Function</w:t>
      </w:r>
    </w:p>
    <w:p>
      <w:pPr>
        <w:pStyle w:val="Author"/>
      </w:pPr>
      <w:r>
        <w:t xml:space="preserve">Marguerite Butler</w:t>
      </w:r>
    </w:p>
    <w:p>
      <w:pPr>
        <w:pStyle w:val="Date"/>
      </w:pPr>
      <w:r>
        <w:t xml:space="preserve">2024-12-03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‘Negative’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‘Trace’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‘Negative’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‘Trace’</w:t>
      </w:r>
      <w:r>
        <w:t xml:space="preserve"> </w:t>
      </w:r>
      <w:r>
        <w:t xml:space="preserve">indicates significant proteinuria. For urine of high specific gravity, the test area may most closely match the</w:t>
      </w:r>
      <w:r>
        <w:t xml:space="preserve"> </w:t>
      </w:r>
      <w:r>
        <w:t xml:space="preserve">‘Trace’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‘Trace’</w:t>
      </w:r>
      <w:r>
        <w:t xml:space="preserve"> </w:t>
      </w:r>
      <w:r>
        <w:t xml:space="preserve">results may be of questionable clinical significance; however,</w:t>
      </w:r>
      <w:r>
        <w:t xml:space="preserve"> </w:t>
      </w:r>
      <w:r>
        <w:t xml:space="preserve">‘Trace’</w:t>
      </w:r>
      <w:r>
        <w:t xml:space="preserve"> </w:t>
      </w:r>
      <w:r>
        <w:t xml:space="preserve">results observed repeatedly may be clinically significant.</w:t>
      </w:r>
      <w:r>
        <w:t xml:space="preserve"> </w:t>
      </w:r>
      <w:r>
        <w:t xml:space="preserve">‘Positive’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Treatment</w:t>
                  </w:r>
                </w:p>
              </w:tc>
              <w:tc>
                <w:tcPr/>
                <w:p>
                  <w:pPr>
                    <w:pStyle w:val="Compact"/>
                    <w:jc w:val="center"/>
                  </w:pPr>
                  <w:r>
                    <w:t xml:space="preserve">Dosage</w:t>
                  </w:r>
                </w:p>
              </w:tc>
            </w:tr>
            <w:tr>
              <w:tc>
                <w:tcPr/>
                <w:p>
                  <w:pPr>
                    <w:pStyle w:val="Compact"/>
                    <w:jc w:val="center"/>
                  </w:pPr>
                  <w:r>
                    <w:t xml:space="preserve">Pure Water (hyposmotic)</w:t>
                  </w:r>
                </w:p>
              </w:tc>
              <w:tc>
                <w:tcPr/>
                <w:p>
                  <w:pPr>
                    <w:pStyle w:val="Compact"/>
                    <w:jc w:val="center"/>
                  </w:pPr>
                  <w:r>
                    <w:t xml:space="preserve">7.5 ml / kg body weight</w:t>
                  </w:r>
                </w:p>
              </w:tc>
            </w:tr>
            <w:tr>
              <w:tc>
                <w:tcPr/>
                <w:p>
                  <w:pPr>
                    <w:pStyle w:val="Compact"/>
                    <w:jc w:val="center"/>
                  </w:pPr>
                  <w:r>
                    <w:t xml:space="preserve">Pure Water - double volume</w:t>
                  </w:r>
                </w:p>
              </w:tc>
              <w:tc>
                <w:tcPr/>
                <w:p>
                  <w:pPr>
                    <w:pStyle w:val="Compact"/>
                    <w:jc w:val="center"/>
                  </w:pPr>
                  <w:r>
                    <w:t xml:space="preserve">15 ml / kg body weight</w:t>
                  </w:r>
                </w:p>
              </w:tc>
            </w:tr>
            <w:tr>
              <w:tc>
                <w:tcPr/>
                <w:p>
                  <w:pPr>
                    <w:pStyle w:val="Compact"/>
                    <w:jc w:val="center"/>
                  </w:pPr>
                  <w:r>
                    <w:t xml:space="preserve">Seawater (hyperosmotic)</w:t>
                  </w:r>
                </w:p>
              </w:tc>
              <w:tc>
                <w:tcPr/>
                <w:p>
                  <w:pPr>
                    <w:pStyle w:val="Compact"/>
                    <w:jc w:val="center"/>
                  </w:pPr>
                  <w:r>
                    <w:t xml:space="preserve">7.5 ml / kg body weight</w:t>
                  </w:r>
                </w:p>
              </w:tc>
            </w:tr>
            <w:tr>
              <w:tc>
                <w:tcPr/>
                <w:p>
                  <w:pPr>
                    <w:pStyle w:val="Compact"/>
                    <w:jc w:val="center"/>
                  </w:pPr>
                  <w:r>
                    <w:t xml:space="preserve">Gatorade (isosmotic)</w:t>
                  </w:r>
                </w:p>
              </w:tc>
              <w:tc>
                <w:tcPr/>
                <w:p>
                  <w:pPr>
                    <w:pStyle w:val="Compact"/>
                    <w:jc w:val="center"/>
                  </w:pPr>
                  <w:r>
                    <w:t xml:space="preserve">7.5 ml / kg body weight</w:t>
                  </w:r>
                </w:p>
              </w:tc>
            </w:tr>
            <w:tr>
              <w:tc>
                <w:tcPr/>
                <w:p>
                  <w:pPr>
                    <w:pStyle w:val="Compact"/>
                    <w:jc w:val="center"/>
                  </w:pPr>
                  <w:r>
                    <w:t xml:space="preserve">Coffee (caffeine)</w:t>
                  </w:r>
                </w:p>
              </w:tc>
              <w:tc>
                <w:tcPr/>
                <w:p>
                  <w:pPr>
                    <w:pStyle w:val="Compac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2025-08-25T09:52:28Z</dcterms:created>
  <dcterms:modified xsi:type="dcterms:W3CDTF">2025-08-25T09:52:28Z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2024-12-03</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