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2.png" ContentType="image/png"/>
  <Override PartName="/word/media/rId90.png" ContentType="image/png"/>
  <Override PartName="/word/media/rId53.png" ContentType="image/png"/>
  <Override PartName="/word/media/rId39.png" ContentType="image/png"/>
  <Override PartName="/word/media/rId28.png" ContentType="image/png"/>
  <Override PartName="/word/media/rId74.png" ContentType="image/png"/>
  <Override PartName="/word/media/rId62.png" ContentType="image/png"/>
  <Override PartName="/word/media/rId48.png" ContentType="image/png"/>
  <Override PartName="/word/media/rId86.png" ContentType="image/png"/>
  <Override PartName="/word/media/rId34.jpg" ContentType="image/jpeg"/>
  <Override PartName="/word/media/rId7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Read the lab manual below.</w:t>
            </w:r>
          </w:p>
          <w:p>
            <w:pPr>
              <w:numPr>
                <w:ilvl w:val="0"/>
                <w:numId w:val="1002"/>
              </w:numPr>
              <w:pStyle w:val="Compact"/>
            </w:pPr>
            <w:r>
              <w:t xml:space="preserve">Read from Eckert ch. 10 [</w:t>
            </w:r>
            <w:hyperlink r:id="rId23">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4">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that are useful for developing hypotheses for this experiment.</w:t>
            </w:r>
          </w:p>
          <w:p>
            <w:pPr>
              <w:numPr>
                <w:ilvl w:val="0"/>
                <w:numId w:val="1002"/>
              </w:numPr>
              <w:pStyle w:val="Compact"/>
            </w:pPr>
            <w:r>
              <w:t xml:space="preserve">This week, draft hypotheses for each experiment.</w:t>
            </w:r>
          </w:p>
          <w:p>
            <w:pPr>
              <w:numPr>
                <w:ilvl w:val="0"/>
                <w:numId w:val="1002"/>
              </w:numPr>
              <w:pStyle w:val="Compact"/>
            </w:pPr>
            <w:r>
              <w:t xml:space="preserve">To obtain feedback from your TAs,</w:t>
            </w:r>
            <w:r>
              <w:t xml:space="preserve"> </w:t>
            </w:r>
            <w:r>
              <w:rPr>
                <w:bCs/>
                <w:b/>
              </w:rPr>
              <w:t xml:space="preserve">for the prelab please have the hypotheses, figuring out how many ideas you have to cover, and writing a topic sentence for each paragraph:</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7"/>
    <w:bookmarkStart w:id="47" w:name="background"/>
    <w:p>
      <w:pPr>
        <w:pStyle w:val="Heading1"/>
      </w:pPr>
      <w:r>
        <w:t xml:space="preserve">Background</w:t>
      </w:r>
    </w:p>
    <w:p>
      <w:pPr>
        <w:pStyle w:val="FirstParagraph"/>
      </w:pPr>
      <w:r>
        <w:t xml:space="preserve">The</w:t>
      </w:r>
      <w:r>
        <w:t xml:space="preserve"> </w:t>
      </w:r>
      <w:r>
        <w:rPr>
          <w:bCs/>
          <w:b/>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Cs/>
          <w:b/>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Cs/>
          <w:b/>
        </w:rPr>
        <w:t xml:space="preserve">frontal lobe</w:t>
      </w:r>
      <w:r>
        <w:t xml:space="preserve"> </w:t>
      </w:r>
      <w:r>
        <w:rPr>
          <w:iCs/>
          <w:i/>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Cs/>
          <w:b/>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ook w:firstRow="0" w:lastRow="0" w:firstColumn="0" w:lastColumn="0" w:noHBand="0" w:noVBand="0" w:val="0000"/>
        <w:jc w:val="start"/>
      </w:tblPr>
      <w:tblGrid>
        <w:gridCol w:w="7920"/>
      </w:tblGrid>
      <w:tr>
        <w:tc>
          <w:tcPr/>
          <w:bookmarkStart w:id="33" w:name="fig-brain"/>
          <w:p>
            <w:pPr>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tbl>
      <w:tblPr>
        <w:tblStyle w:val="Table"/>
        <w:tblW w:type="pct" w:w="5000"/>
        <w:tblLook w:firstRow="0" w:lastRow="0" w:firstColumn="0" w:lastColumn="0" w:noHBand="0" w:noVBand="0" w:val="0000"/>
        <w:jc w:val="start"/>
      </w:tblPr>
      <w:tblGrid>
        <w:gridCol w:w="7920"/>
      </w:tblGrid>
      <w:tr>
        <w:tc>
          <w:tcPr/>
          <w:bookmarkStart w:id="43" w:name="fig-neurowave"/>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8" w:name="fig-neurons"/>
                      <w:p>
                        <w:pPr>
                          <w:jc w:val="center"/>
                          <w:jc w:val="center"/>
                          <w:jc w:val="center"/>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2" w:name="fig-brainwaves"/>
                      <w:p>
                        <w:pPr>
                          <w:jc w:val="center"/>
                          <w:jc w:val="center"/>
                          <w:jc w:val="center"/>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jc w:val="center"/>
            </w:pPr>
            <w:pPr>
              <w:jc w:val="start"/>
              <w:spacing w:before="200"/>
              <w:pStyle w:val="ImageCaption"/>
            </w:pPr>
            <w:pPr>
              <w:spacing w:before="200"/>
              <w:pStyle w:val="ImageCaption"/>
            </w:pPr>
            <w:r>
              <w:t xml:space="preserve">Figure 2: Pyrimidal neurons and the most common EEG wave bands.</w:t>
            </w:r>
          </w:p>
          <w:bookmarkEnd w:id="43"/>
        </w:tc>
      </w:tr>
    </w:tbl>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bookmarkStart w:id="44" w:name="tbl-eegpatterns"/>
    <w:p>
      <w:pPr>
        <w:pStyle w:val="Tabl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ook w:firstRow="1" w:lastRow="0" w:firstColumn="0" w:lastColumn="0" w:noHBand="0" w:noVBand="0" w:val="0020"/>
        <w:jc w:val="start"/>
        <w:tblCaption w:val="Table 1: EEG patterns, frequency ranges, and associated behavioral states. Delta, Theta, Alpha, and Beta definitions are from early sleep studies. Slow and fast gamma are associated with cognitive processing. (Vibell in prep)"/>
      </w:tblPr>
      <w:tblGrid>
        <w:gridCol w:w="1425"/>
        <w:gridCol w:w="1425"/>
        <w:gridCol w:w="5068"/>
      </w:tblGrid>
      <w:tr>
        <w:trPr>
          <w:tblHeader w:val="true"/>
        </w:trPr>
        <w:tc>
          <w:tcPr/>
          <w:p>
            <w:pPr>
              <w:pStyle w:val="Compact"/>
              <w:jc w:val="left"/>
            </w:pPr>
            <w:r>
              <w:t xml:space="preserve">EEG pattern</w:t>
            </w:r>
          </w:p>
        </w:tc>
        <w:tc>
          <w:tcPr/>
          <w:p>
            <w:pPr>
              <w:pStyle w:val="Compact"/>
              <w:jc w:val="left"/>
            </w:pPr>
            <w:r>
              <w:t xml:space="preserve">Frequency (Hz)</w:t>
            </w:r>
          </w:p>
        </w:tc>
        <w:tc>
          <w:tcPr/>
          <w:p>
            <w:pPr>
              <w:pStyle w:val="Compact"/>
              <w:jc w:val="left"/>
            </w:pPr>
            <w:r>
              <w:t xml:space="preserve">Behavioral/Psychological State</w:t>
            </w:r>
          </w:p>
        </w:tc>
      </w:tr>
      <w:tr>
        <w:tc>
          <w:tcPr/>
          <w:p>
            <w:pPr>
              <w:pStyle w:val="Compact"/>
              <w:jc w:val="left"/>
            </w:pPr>
            <w:r>
              <w:t xml:space="preserve">Delta</w:t>
            </w:r>
          </w:p>
        </w:tc>
        <w:tc>
          <w:tcPr/>
          <w:p>
            <w:pPr>
              <w:pStyle w:val="Compact"/>
              <w:jc w:val="left"/>
            </w:pPr>
            <w:r>
              <w:t xml:space="preserve">0.5-3.5</w:t>
            </w:r>
          </w:p>
        </w:tc>
        <w:tc>
          <w:tcPr/>
          <w:p>
            <w:pPr>
              <w:pStyle w:val="Compact"/>
              <w:jc w:val="left"/>
            </w:pPr>
            <w:r>
              <w:t xml:space="preserve">Deep, restful sleep; vague dream states.</w:t>
            </w:r>
          </w:p>
        </w:tc>
      </w:tr>
      <w:tr>
        <w:tc>
          <w:tcPr/>
          <w:p>
            <w:pPr>
              <w:pStyle w:val="Compact"/>
              <w:jc w:val="left"/>
            </w:pPr>
            <w:r>
              <w:t xml:space="preserve">Theta</w:t>
            </w:r>
          </w:p>
        </w:tc>
        <w:tc>
          <w:tcPr/>
          <w:p>
            <w:pPr>
              <w:pStyle w:val="Compact"/>
              <w:jc w:val="left"/>
            </w:pPr>
            <w:r>
              <w:t xml:space="preserve">3.5-7</w:t>
            </w:r>
          </w:p>
        </w:tc>
        <w:tc>
          <w:tcPr/>
          <w:p>
            <w:pPr>
              <w:pStyle w:val="Compact"/>
              <w:jc w:val="left"/>
            </w:pPr>
            <w:r>
              <w:t xml:space="preserve">Visual imagery, imagery when falling asleep or just before awakening; light sleep.</w:t>
            </w:r>
          </w:p>
        </w:tc>
      </w:tr>
      <w:tr>
        <w:tc>
          <w:tcPr/>
          <w:p>
            <w:pPr>
              <w:pStyle w:val="Compact"/>
              <w:jc w:val="left"/>
            </w:pPr>
            <w:r>
              <w:t xml:space="preserve">Alpha</w:t>
            </w:r>
          </w:p>
        </w:tc>
        <w:tc>
          <w:tcPr/>
          <w:p>
            <w:pPr>
              <w:pStyle w:val="Compact"/>
              <w:jc w:val="left"/>
            </w:pPr>
            <w:r>
              <w:t xml:space="preserve">7-13</w:t>
            </w:r>
          </w:p>
        </w:tc>
        <w:tc>
          <w:tcPr/>
          <w:p>
            <w:pPr>
              <w:pStyle w:val="Compact"/>
              <w:jc w:val="left"/>
            </w:pPr>
            <w:r>
              <w:t xml:space="preserve">Awake, non-focused, relaxed, drowsy, or non-vigilant; Low level of environmental stimulation (for example when eyes are closed).</w:t>
            </w:r>
          </w:p>
        </w:tc>
      </w:tr>
      <w:tr>
        <w:tc>
          <w:tcPr/>
          <w:p>
            <w:pPr>
              <w:pStyle w:val="Compact"/>
              <w:jc w:val="left"/>
            </w:pPr>
            <w:r>
              <w:t xml:space="preserve">Beta</w:t>
            </w:r>
          </w:p>
        </w:tc>
        <w:tc>
          <w:tcPr/>
          <w:p>
            <w:pPr>
              <w:pStyle w:val="Compact"/>
              <w:jc w:val="left"/>
            </w:pPr>
            <w:r>
              <w:t xml:space="preserve">13-30</w:t>
            </w:r>
          </w:p>
        </w:tc>
        <w:tc>
          <w:tcPr/>
          <w:p>
            <w:pPr>
              <w:pStyle w:val="Compact"/>
              <w:jc w:val="left"/>
            </w:pPr>
            <w:r>
              <w:t xml:space="preserve">Awake, alert, focused attention or problem-solving; dream/REM sleep; high level of environmental stimulation (for example when eyes are open).</w:t>
            </w:r>
          </w:p>
        </w:tc>
      </w:tr>
      <w:tr>
        <w:tc>
          <w:tcPr/>
          <w:p>
            <w:pPr>
              <w:pStyle w:val="Compact"/>
              <w:jc w:val="left"/>
            </w:pPr>
            <w:r>
              <w:t xml:space="preserve">Gamma</w:t>
            </w:r>
          </w:p>
        </w:tc>
        <w:tc>
          <w:tcPr/>
          <w:p>
            <w:pPr>
              <w:pStyle w:val="Compact"/>
              <w:jc w:val="left"/>
            </w:pPr>
            <w:r>
              <w:t xml:space="preserve">30-70, &gt;70</w:t>
            </w:r>
          </w:p>
        </w:tc>
        <w:tc>
          <w:tcPr/>
          <w:p>
            <w:pPr>
              <w:pStyle w:val="Compact"/>
              <w:jc w:val="left"/>
            </w:pPr>
            <w:r>
              <w:t xml:space="preserve">Associated with cognitive processing, correlated with large-scale brain networking.</w:t>
            </w:r>
          </w:p>
        </w:tc>
      </w:tr>
    </w:tbl>
    <w:bookmarkEnd w:id="44"/>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these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5"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equipment are set up correctly and ready to record.</w:t>
      </w:r>
    </w:p>
    <w:p>
      <w:pPr>
        <w:numPr>
          <w:ilvl w:val="0"/>
          <w:numId w:val="1006"/>
        </w:numPr>
        <w:pStyle w:val="Compact"/>
      </w:pPr>
      <w:r>
        <w:rPr>
          <w:iCs/>
          <w:i/>
        </w:rPr>
        <w:t xml:space="preserve">Detecting artifacts</w:t>
      </w:r>
      <w:r>
        <w:t xml:space="preserve">. You will learn how to indentify artifacts produced by unwanted electrical acticity.</w:t>
      </w:r>
    </w:p>
    <w:p>
      <w:pPr>
        <w:numPr>
          <w:ilvl w:val="0"/>
          <w:numId w:val="1006"/>
        </w:numPr>
        <w:pStyle w:val="Compact"/>
      </w:pPr>
      <w:r>
        <w:rPr>
          <w:iCs/>
          <w:i/>
        </w:rPr>
        <w:t xml:space="preserve">Brain activity by notetaking strategy</w:t>
      </w:r>
      <w:r>
        <w:t xml:space="preserve">. You will explore the types of brain waves generated while taking notes verbatim vs. paraphrasing in your own words vs. doodling modes of interacting with learning materials. You will also compare printing vs. cursive writing vs. typing on a keyboard as well as reading silently (with no notes). You will also compare note taking from visual or auditory inputs.</w:t>
      </w:r>
    </w:p>
    <w:p>
      <w:pPr>
        <w:numPr>
          <w:ilvl w:val="0"/>
          <w:numId w:val="1006"/>
        </w:numPr>
        <w:pStyle w:val="Compact"/>
      </w:pPr>
      <w:r>
        <w:rPr>
          <w:iCs/>
          <w:i/>
        </w:rPr>
        <w:t xml:space="preserve">Several of your own experiments</w:t>
      </w:r>
      <w:r>
        <w:t xml:space="preserve">.</w:t>
      </w:r>
    </w:p>
    <w:bookmarkEnd w:id="45"/>
    <w:bookmarkStart w:id="46"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EEG Flat Electrodes</w:t>
      </w:r>
    </w:p>
    <w:p>
      <w:pPr>
        <w:numPr>
          <w:ilvl w:val="0"/>
          <w:numId w:val="1007"/>
        </w:numPr>
        <w:pStyle w:val="Compact"/>
      </w:pPr>
      <w:r>
        <w:t xml:space="preserve">Electrode Cream or Paste</w:t>
      </w:r>
    </w:p>
    <w:p>
      <w:pPr>
        <w:numPr>
          <w:ilvl w:val="0"/>
          <w:numId w:val="1007"/>
        </w:numPr>
        <w:pStyle w:val="Compact"/>
      </w:pPr>
      <w:r>
        <w:t xml:space="preserve">Alcohol Swabs</w:t>
      </w:r>
    </w:p>
    <w:p>
      <w:pPr>
        <w:numPr>
          <w:ilvl w:val="0"/>
          <w:numId w:val="1007"/>
        </w:numPr>
        <w:pStyle w:val="Compact"/>
      </w:pPr>
      <w:r>
        <w:t xml:space="preserve">Ace Bandgage</w:t>
      </w:r>
    </w:p>
    <w:p>
      <w:pPr>
        <w:numPr>
          <w:ilvl w:val="0"/>
          <w:numId w:val="1007"/>
        </w:numPr>
        <w:pStyle w:val="Compact"/>
      </w:pPr>
      <w:r>
        <w:t xml:space="preserve">Tape</w:t>
      </w:r>
    </w:p>
    <w:bookmarkEnd w:id="46"/>
    <w:bookmarkEnd w:id="47"/>
    <w:bookmarkStart w:id="58" w:name="procedure"/>
    <w:p>
      <w:pPr>
        <w:pStyle w:val="Heading1"/>
      </w:pPr>
      <w:r>
        <w:t xml:space="preserve">Procedure</w:t>
      </w:r>
    </w:p>
    <w:bookmarkStart w:id="52"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Cs/>
          <w:b/>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1" w:name="fig-setup"/>
          <w:p>
            <w:pPr>
              <w:jc w:val="center"/>
            </w:pPr>
            <w:r>
              <w:drawing>
                <wp:inline>
                  <wp:extent cx="4597400" cy="3733800"/>
                  <wp:effectExtent b="0" l="0" r="0" t="0"/>
                  <wp:docPr descr="" title="" id="49" name="Picture"/>
                  <a:graphic>
                    <a:graphicData uri="http://schemas.openxmlformats.org/drawingml/2006/picture">
                      <pic:pic>
                        <pic:nvPicPr>
                          <pic:cNvPr descr="../../images/lab11-eeg-setup.png" id="50" name="Picture"/>
                          <pic:cNvPicPr>
                            <a:picLocks noChangeArrowheads="1" noChangeAspect="1"/>
                          </pic:cNvPicPr>
                        </pic:nvPicPr>
                        <pic:blipFill>
                          <a:blip r:embed="rId48"/>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1"/>
        </w:tc>
      </w:tr>
    </w:tbl>
    <w:bookmarkEnd w:id="52"/>
    <w:bookmarkStart w:id="57"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Cs/>
          <w:b/>
        </w:rPr>
        <w:t xml:space="preserve">EEG frontal</w:t>
      </w:r>
      <w:r>
        <w:t xml:space="preserve"> </w:t>
      </w:r>
      <w:r>
        <w:t xml:space="preserve">and the</w:t>
      </w:r>
      <w:r>
        <w:t xml:space="preserve"> </w:t>
      </w:r>
      <w:r>
        <w:rPr>
          <w:bCs/>
          <w:b/>
        </w:rPr>
        <w:t xml:space="preserve">EEG occipital</w:t>
      </w:r>
      <w:r>
        <w:t xml:space="preserve">, and :</w:t>
      </w:r>
      <w:r>
        <w:t xml:space="preserve"> </w:t>
      </w:r>
      <w:r>
        <w:rPr>
          <w:bCs/>
          <w:b/>
        </w:rPr>
        <w:t xml:space="preserve">Alpha power frontal</w:t>
      </w:r>
      <w:r>
        <w:t xml:space="preserve"> </w:t>
      </w:r>
      <w:r>
        <w:t xml:space="preserve">and</w:t>
      </w:r>
      <w:r>
        <w:t xml:space="preserve"> </w:t>
      </w:r>
      <w:r>
        <w:rPr>
          <w:bCs/>
          <w:b/>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ook w:firstRow="0" w:lastRow="0" w:firstColumn="0" w:lastColumn="0" w:noHBand="0" w:noVBand="0" w:val="0000"/>
        <w:jc w:val="start"/>
      </w:tblPr>
      <w:tblGrid>
        <w:gridCol w:w="7920"/>
      </w:tblGrid>
      <w:tr>
        <w:tc>
          <w:tcPr/>
          <w:bookmarkStart w:id="56" w:name="fig-bioamp"/>
          <w:p>
            <w:pPr>
              <w:jc w:val="center"/>
            </w:pPr>
            <w:r>
              <w:drawing>
                <wp:inline>
                  <wp:extent cx="5334000" cy="3978105"/>
                  <wp:effectExtent b="0" l="0" r="0" t="0"/>
                  <wp:docPr descr="" title="" id="54" name="Picture"/>
                  <a:graphic>
                    <a:graphicData uri="http://schemas.openxmlformats.org/drawingml/2006/picture">
                      <pic:pic>
                        <pic:nvPicPr>
                          <pic:cNvPr descr="../../images/lab11-bioamp-dialog.png" id="55" name="Picture"/>
                          <pic:cNvPicPr>
                            <a:picLocks noChangeArrowheads="1" noChangeAspect="1"/>
                          </pic:cNvPicPr>
                        </pic:nvPicPr>
                        <pic:blipFill>
                          <a:blip r:embed="rId53"/>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6"/>
        </w:tc>
      </w:tr>
    </w:tbl>
    <w:bookmarkEnd w:id="57"/>
    <w:bookmarkEnd w:id="58"/>
    <w:bookmarkStart w:id="61"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60" w:name="analysis"/>
    <w:p>
      <w:pPr>
        <w:pStyle w:val="Heading2"/>
      </w:pPr>
      <w:r>
        <w:t xml:space="preserve">Analysis</w:t>
      </w:r>
    </w:p>
    <w:bookmarkStart w:id="59"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9"/>
    <w:bookmarkEnd w:id="60"/>
    <w:bookmarkEnd w:id="61"/>
    <w:bookmarkStart w:id="69"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8" w:name="analysis-alpha-waves-in-the-eeg"/>
    <w:p>
      <w:pPr>
        <w:pStyle w:val="Heading2"/>
      </w:pPr>
      <w:r>
        <w:t xml:space="preserve">Analysis: Alpha Waves in the EEG</w:t>
      </w:r>
    </w:p>
    <w:p>
      <w:pPr>
        <w:numPr>
          <w:ilvl w:val="0"/>
          <w:numId w:val="1013"/>
        </w:numPr>
        <w:pStyle w:val="Compact"/>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ook w:firstRow="0" w:lastRow="0" w:firstColumn="0" w:lastColumn="0" w:noHBand="0" w:noVBand="0" w:val="0000"/>
        <w:jc w:val="start"/>
      </w:tblPr>
      <w:tblGrid>
        <w:gridCol w:w="7920"/>
      </w:tblGrid>
      <w:tr>
        <w:tc>
          <w:tcPr/>
          <w:bookmarkStart w:id="65" w:name="fig-eeg-raw"/>
          <w:p>
            <w:pPr>
              <w:jc w:val="center"/>
            </w:pPr>
            <w:r>
              <w:drawing>
                <wp:inline>
                  <wp:extent cx="5334000" cy="3605695"/>
                  <wp:effectExtent b="0" l="0" r="0" t="0"/>
                  <wp:docPr descr="" title="" id="63" name="Picture"/>
                  <a:graphic>
                    <a:graphicData uri="http://schemas.openxmlformats.org/drawingml/2006/picture">
                      <pic:pic>
                        <pic:nvPicPr>
                          <pic:cNvPr descr="../../images/lab11-eeg-raw.png" id="64" name="Picture"/>
                          <pic:cNvPicPr>
                            <a:picLocks noChangeArrowheads="1" noChangeAspect="1"/>
                          </pic:cNvPicPr>
                        </pic:nvPicPr>
                        <pic:blipFill>
                          <a:blip r:embed="rId62"/>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5"/>
        </w:tc>
      </w:tr>
    </w:tbl>
    <w:p>
      <w:pPr>
        <w:numPr>
          <w:ilvl w:val="0"/>
          <w:numId w:val="1014"/>
        </w:numPr>
        <w:pStyle w:val="Compact"/>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peak-to-peak,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five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 </w:t>
      </w:r>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bookmarkStart w:id="66" w:name="tbl-alpha"/>
    <w:p>
      <w:pPr>
        <w:pStyle w:val="TableCaption"/>
      </w:pPr>
      <w:r>
        <w:t xml:space="preserve">Table 2: Alpha waves</w:t>
      </w:r>
    </w:p>
    <w:tbl>
      <w:tblPr>
        <w:tblStyle w:val="Table"/>
        <w:tblW w:type="auto" w:w="0"/>
        <w:tblLook w:firstRow="1" w:lastRow="0" w:firstColumn="0" w:lastColumn="0" w:noHBand="0" w:noVBand="0" w:val="0020"/>
        <w:jc w:val="start"/>
        <w:tblCaption w:val="Table 2: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6"/>
    <w:p>
      <w:pPr>
        <w:pStyle w:val="BodyText"/>
      </w:pPr>
      <w:r>
        <w:t xml:space="preserve"> </w:t>
      </w:r>
    </w:p>
    <w:bookmarkStart w:id="67" w:name="tbl-noalpha"/>
    <w:p>
      <w:pPr>
        <w:pStyle w:val="TableCaption"/>
      </w:pPr>
      <w:r>
        <w:t xml:space="preserve">Table 3: Absence of alpha waves</w:t>
      </w:r>
    </w:p>
    <w:tbl>
      <w:tblPr>
        <w:tblStyle w:val="Table"/>
        <w:tblW w:type="auto" w:w="0"/>
        <w:tblLook w:firstRow="1" w:lastRow="0" w:firstColumn="0" w:lastColumn="0" w:noHBand="0" w:noVBand="0" w:val="0020"/>
        <w:jc w:val="start"/>
        <w:tblCaption w:val="Table 3: Absence of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7"/>
    <w:bookmarkEnd w:id="68"/>
    <w:bookmarkEnd w:id="69"/>
    <w:bookmarkStart w:id="95" w:name="spectral-analysis-tutorial"/>
    <w:p>
      <w:pPr>
        <w:pStyle w:val="Heading1"/>
      </w:pPr>
      <w:r>
        <w:t xml:space="preserve">Spectral Analysis Tutorial</w:t>
      </w:r>
    </w:p>
    <w:p>
      <w:pPr>
        <w:pStyle w:val="FirstParagraph"/>
      </w:pPr>
      <w:r>
        <w:t xml:space="preserve">LabChart provides a module called</w:t>
      </w:r>
      <w:r>
        <w:t xml:space="preserve"> </w:t>
      </w:r>
      <w:r>
        <w:rPr>
          <w:bCs/>
          <w:b/>
        </w:rPr>
        <w:t xml:space="preserve">Spectrum View</w:t>
      </w:r>
      <w:r>
        <w:t xml:space="preserve"> </w:t>
      </w:r>
      <w:r>
        <w:t xml:space="preserve">that allows you to observe the</w:t>
      </w:r>
      <w:r>
        <w:t xml:space="preserve"> </w:t>
      </w:r>
      <w:r>
        <w:rPr>
          <w:bCs/>
          <w:b/>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Cs/>
          <w:i/>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Cs/>
          <w:i/>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Cs/>
          <w:i/>
        </w:rPr>
        <w:t xml:space="preserve">power</w:t>
      </w:r>
      <w:r>
        <w:t xml:space="preserve"> </w:t>
      </w:r>
      <w:r>
        <w:t xml:space="preserve">is equivalent to</w:t>
      </w:r>
      <w:r>
        <w:t xml:space="preserve"> </w:t>
      </w:r>
      <w:r>
        <w:rPr>
          <w:iCs/>
          <w:i/>
        </w:rPr>
        <w:t xml:space="preserve">amplitude</w:t>
      </w:r>
      <w:r>
        <w:t xml:space="preserve"> </w:t>
      </w:r>
      <w:r>
        <w:t xml:space="preserve">or a</w:t>
      </w:r>
      <w:r>
        <w:t xml:space="preserve"> </w:t>
      </w:r>
      <w:r>
        <w:rPr>
          <w:iCs/>
          <w:i/>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Cs/>
          <w:i/>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3" w:name="fig-button"/>
          <w:p>
            <w:pPr>
              <w:jc w:val="center"/>
            </w:pPr>
            <w:r>
              <w:drawing>
                <wp:inline>
                  <wp:extent cx="1931110" cy="665018"/>
                  <wp:effectExtent b="0" l="0" r="0" t="0"/>
                  <wp:docPr descr="" title="" id="71" name="Picture"/>
                  <a:graphic>
                    <a:graphicData uri="http://schemas.openxmlformats.org/drawingml/2006/picture">
                      <pic:pic>
                        <pic:nvPicPr>
                          <pic:cNvPr descr="../../images/lab11-spectral-button.png" id="72" name="Picture"/>
                          <pic:cNvPicPr>
                            <a:picLocks noChangeArrowheads="1" noChangeAspect="1"/>
                          </pic:cNvPicPr>
                        </pic:nvPicPr>
                        <pic:blipFill>
                          <a:blip r:embed="rId70"/>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3"/>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numPr>
          <w:ilvl w:val="0"/>
          <w:numId w:val="1018"/>
        </w:numPr>
        <w:pStyle w:val="Compact"/>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ook w:firstRow="0" w:lastRow="0" w:firstColumn="0" w:lastColumn="0" w:noHBand="0" w:noVBand="0" w:val="0000"/>
        <w:jc w:val="start"/>
      </w:tblPr>
      <w:tblGrid>
        <w:gridCol w:w="7920"/>
      </w:tblGrid>
      <w:tr>
        <w:tc>
          <w:tcPr/>
          <w:bookmarkStart w:id="77" w:name="fig-eeg-hz"/>
          <w:p>
            <w:pPr>
              <w:jc w:val="center"/>
            </w:pPr>
            <w:r>
              <w:drawing>
                <wp:inline>
                  <wp:extent cx="3747121" cy="2014237"/>
                  <wp:effectExtent b="0" l="0" r="0" t="0"/>
                  <wp:docPr descr="" title="" id="75" name="Picture"/>
                  <a:graphic>
                    <a:graphicData uri="http://schemas.openxmlformats.org/drawingml/2006/picture">
                      <pic:pic>
                        <pic:nvPicPr>
                          <pic:cNvPr descr="../../images/lab11-eeg-hz.png" id="76" name="Picture"/>
                          <pic:cNvPicPr>
                            <a:picLocks noChangeArrowheads="1" noChangeAspect="1"/>
                          </pic:cNvPicPr>
                        </pic:nvPicPr>
                        <pic:blipFill>
                          <a:blip r:embed="rId74"/>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7"/>
        </w:tc>
      </w:tr>
    </w:tbl>
    <w:p>
      <w:pPr>
        <w:numPr>
          <w:ilvl w:val="0"/>
          <w:numId w:val="1019"/>
        </w:numPr>
        <w:pStyle w:val="Compact"/>
      </w:pPr>
      <w:r>
        <w:t xml:space="preserve">Set the horizontal scaling for the Spectrogram to 50:1.</w:t>
      </w:r>
    </w:p>
    <w:p>
      <w:pPr>
        <w:numPr>
          <w:ilvl w:val="0"/>
          <w:numId w:val="1020"/>
        </w:numPr>
        <w:pStyle w:val="Compact"/>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numPr>
          <w:ilvl w:val="0"/>
          <w:numId w:val="1021"/>
        </w:numPr>
        <w:pStyle w:val="Compact"/>
      </w:pPr>
      <w:r>
        <w:t xml:space="preserve">What is the frequency in Hertz (Hz) of this sine wave? ______</w:t>
      </w:r>
    </w:p>
    <w:p>
      <w:pPr>
        <w:numPr>
          <w:ilvl w:val="0"/>
          <w:numId w:val="1022"/>
        </w:numPr>
        <w:pStyle w:val="Compact"/>
      </w:pPr>
      <w:r>
        <w:t xml:space="preserve">Select the second record and again view the result in the Spectrum view.</w:t>
      </w:r>
    </w:p>
    <w:p>
      <w:pPr>
        <w:numPr>
          <w:ilvl w:val="0"/>
          <w:numId w:val="1023"/>
        </w:numPr>
        <w:pStyle w:val="Compact"/>
      </w:pPr>
      <w:r>
        <w:t xml:space="preserve">What is the frequency in Hertz (Hz) of this second sine wave? _____</w:t>
      </w:r>
    </w:p>
    <w:p>
      <w:pPr>
        <w:numPr>
          <w:ilvl w:val="0"/>
          <w:numId w:val="1024"/>
        </w:numPr>
        <w:pStyle w:val="Compact"/>
      </w:pPr>
      <w:r>
        <w:t xml:space="preserve">Select the third record and again view the result in the Spectrum view. You should now see two prominent peaks (PSD plot) and bands (Spectrogram) in the result.</w:t>
      </w:r>
    </w:p>
    <w:p>
      <w:pPr>
        <w:numPr>
          <w:ilvl w:val="0"/>
          <w:numId w:val="1025"/>
        </w:numPr>
        <w:pStyle w:val="Compact"/>
      </w:pPr>
      <w:r>
        <w:t xml:space="preserve">Are these two peaks/bands the same as for the first two records? _____</w:t>
      </w:r>
    </w:p>
    <w:p>
      <w:pPr>
        <w:numPr>
          <w:ilvl w:val="0"/>
          <w:numId w:val="1026"/>
        </w:numPr>
        <w:pStyle w:val="Compact"/>
      </w:pPr>
      <w:r>
        <w:t xml:space="preserve">Select the fourth record and again view the result in the Spectrum view.</w:t>
      </w:r>
    </w:p>
    <w:p>
      <w:pPr>
        <w:numPr>
          <w:ilvl w:val="0"/>
          <w:numId w:val="1027"/>
        </w:numPr>
        <w:pStyle w:val="Compact"/>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numPr>
          <w:ilvl w:val="0"/>
          <w:numId w:val="1030"/>
        </w:numPr>
        <w:pStyle w:val="Compact"/>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numPr>
          <w:ilvl w:val="0"/>
          <w:numId w:val="1032"/>
        </w:numPr>
        <w:pStyle w:val="Compact"/>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81" w:name="fig-6a"/>
                <w:p>
                  <w:pPr>
                    <w:jc w:val="center"/>
                    <w:jc w:val="center"/>
                  </w:pPr>
                  <w:r>
                    <w:drawing>
                      <wp:inline>
                        <wp:extent cx="2971800" cy="1669502"/>
                        <wp:effectExtent b="0" l="0" r="0" t="0"/>
                        <wp:docPr descr="" title="" id="79" name="Picture"/>
                        <a:graphic>
                          <a:graphicData uri="http://schemas.openxmlformats.org/drawingml/2006/picture">
                            <pic:pic>
                              <pic:nvPicPr>
                                <pic:cNvPr descr="../../images/lab11-6a.png" id="80" name="Picture"/>
                                <pic:cNvPicPr>
                                  <a:picLocks noChangeArrowheads="1" noChangeAspect="1"/>
                                </pic:cNvPicPr>
                              </pic:nvPicPr>
                              <pic:blipFill>
                                <a:blip r:embed="rId78"/>
                                <a:stretch>
                                  <a:fillRect/>
                                </a:stretch>
                              </pic:blipFill>
                              <pic:spPr bwMode="auto">
                                <a:xfrm>
                                  <a:off x="0" y="0"/>
                                  <a:ext cx="2971800" cy="166950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8: Spectrogram drop-down menu</w:t>
                  </w:r>
                </w:p>
                <w:bookmarkEnd w:id="81"/>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5" w:name="fig-6b"/>
                <w:p>
                  <w:pPr>
                    <w:jc w:val="center"/>
                    <w:jc w:val="center"/>
                  </w:pPr>
                  <w:r>
                    <w:drawing>
                      <wp:inline>
                        <wp:extent cx="2971800" cy="1351618"/>
                        <wp:effectExtent b="0" l="0" r="0" t="0"/>
                        <wp:docPr descr="" title="" id="83" name="Picture"/>
                        <a:graphic>
                          <a:graphicData uri="http://schemas.openxmlformats.org/drawingml/2006/picture">
                            <pic:pic>
                              <pic:nvPicPr>
                                <pic:cNvPr descr="../../images/lab11-6b.png" id="84" name="Picture"/>
                                <pic:cNvPicPr>
                                  <a:picLocks noChangeArrowheads="1" noChangeAspect="1"/>
                                </pic:cNvPicPr>
                              </pic:nvPicPr>
                              <pic:blipFill>
                                <a:blip r:embed="rId82"/>
                                <a:stretch>
                                  <a:fillRect/>
                                </a:stretch>
                              </pic:blipFill>
                              <pic:spPr bwMode="auto">
                                <a:xfrm>
                                  <a:off x="0" y="0"/>
                                  <a:ext cx="2971800" cy="13516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9: Set scale dialog box</w:t>
                  </w:r>
                </w:p>
                <w:bookmarkEnd w:id="85"/>
              </w:tc>
            </w:tr>
          </w:tbl>
          <w:p/>
        </w:tc>
      </w:tr>
    </w:tbl>
    <w:p>
      <w:pPr>
        <w:numPr>
          <w:ilvl w:val="0"/>
          <w:numId w:val="1033"/>
        </w:numPr>
        <w:pStyle w:val="Compact"/>
      </w:pPr>
      <w:r>
        <w:t xml:space="preserve">The fifth record is the same signal as the fourth record, except that the quality of the raw signal has been affected. Compare your features (amplitude, power, frequency) of the fourth and fifth record.</w:t>
      </w:r>
    </w:p>
    <w:p>
      <w:pPr>
        <w:numPr>
          <w:ilvl w:val="0"/>
          <w:numId w:val="1034"/>
        </w:numPr>
        <w:pStyle w:val="Compact"/>
      </w:pPr>
      <w:r>
        <w:t xml:space="preserve">How has the quality of the signal affected the wave features? _____</w:t>
      </w:r>
    </w:p>
    <w:bookmarkStart w:id="94"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numPr>
          <w:ilvl w:val="0"/>
          <w:numId w:val="1035"/>
        </w:numPr>
        <w:pStyle w:val="Compact"/>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ook w:firstRow="0" w:lastRow="0" w:firstColumn="0" w:lastColumn="0" w:noHBand="0" w:noVBand="0" w:val="0000"/>
        <w:jc w:val="start"/>
      </w:tblPr>
      <w:tblGrid>
        <w:gridCol w:w="7920"/>
      </w:tblGrid>
      <w:tr>
        <w:tc>
          <w:tcPr/>
          <w:bookmarkStart w:id="89" w:name="fig-eeg"/>
          <w:p>
            <w:pPr>
              <w:jc w:val="center"/>
            </w:pPr>
            <w:r>
              <w:drawing>
                <wp:inline>
                  <wp:extent cx="5334000" cy="2513206"/>
                  <wp:effectExtent b="0" l="0" r="0" t="0"/>
                  <wp:docPr descr="" title="" id="87" name="Picture"/>
                  <a:graphic>
                    <a:graphicData uri="http://schemas.openxmlformats.org/drawingml/2006/picture">
                      <pic:pic>
                        <pic:nvPicPr>
                          <pic:cNvPr descr="../../images/lab11-eeg.png" id="88" name="Picture"/>
                          <pic:cNvPicPr>
                            <a:picLocks noChangeArrowheads="1" noChangeAspect="1"/>
                          </pic:cNvPicPr>
                        </pic:nvPicPr>
                        <pic:blipFill>
                          <a:blip r:embed="rId86"/>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9"/>
        </w:tc>
      </w:tr>
    </w:tbl>
    <w:p>
      <w:pPr>
        <w:numPr>
          <w:ilvl w:val="0"/>
          <w:numId w:val="1036"/>
        </w:numPr>
        <w:pStyle w:val="Compact"/>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93" w:name="fig-alpha"/>
          <w:p>
            <w:pPr>
              <w:jc w:val="center"/>
            </w:pPr>
            <w:r>
              <w:drawing>
                <wp:inline>
                  <wp:extent cx="5334000" cy="3957483"/>
                  <wp:effectExtent b="0" l="0" r="0" t="0"/>
                  <wp:docPr descr="" title="" id="91" name="Picture"/>
                  <a:graphic>
                    <a:graphicData uri="http://schemas.openxmlformats.org/drawingml/2006/picture">
                      <pic:pic>
                        <pic:nvPicPr>
                          <pic:cNvPr descr="../../images/lab11-alpha.png" id="92" name="Picture"/>
                          <pic:cNvPicPr>
                            <a:picLocks noChangeArrowheads="1" noChangeAspect="1"/>
                          </pic:cNvPicPr>
                        </pic:nvPicPr>
                        <pic:blipFill>
                          <a:blip r:embed="rId90"/>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3"/>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Print the Spectrogram.</w:t>
      </w:r>
    </w:p>
    <w:bookmarkEnd w:id="94"/>
    <w:bookmarkEnd w:id="95"/>
    <w:bookmarkStart w:id="99" w:name="exercise-3-note-taking-strategies"/>
    <w:p>
      <w:pPr>
        <w:pStyle w:val="Heading1"/>
      </w:pPr>
      <w:r>
        <w:t xml:space="preserve">Exercise 3: Note Taking Strategies</w:t>
      </w:r>
    </w:p>
    <w:p>
      <w:pPr>
        <w:pStyle w:val="FirstParagraph"/>
      </w:pPr>
      <w:r>
        <w:t xml:space="preserve">In this exercise, you will compare abundance of different wave frequencies in different brain regions during various modes of note taking.</w:t>
      </w:r>
    </w:p>
    <w:p>
      <w:pPr>
        <w:numPr>
          <w:ilvl w:val="0"/>
          <w:numId w:val="1038"/>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38"/>
        </w:numPr>
      </w:pPr>
      <w:r>
        <w:t xml:space="preserve">With the subject seated comfortably, start the recording and drop a comment saying</w:t>
      </w:r>
      <w:r>
        <w:t xml:space="preserve"> </w:t>
      </w:r>
      <w:r>
        <w:t xml:space="preserve">“</w:t>
      </w:r>
      <w:r>
        <w:t xml:space="preserve">begin hand movement control</w:t>
      </w:r>
      <w: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38"/>
        </w:numPr>
      </w:pPr>
      <w:r>
        <w:t xml:space="preserve">Position the pen and blank paper in front of the subject. Start the recording and drop a comment that says</w:t>
      </w:r>
      <w:r>
        <w:t xml:space="preserve"> </w:t>
      </w:r>
      <w:r>
        <w:t xml:space="preserve">“</w:t>
      </w:r>
      <w:r>
        <w:t xml:space="preserve">begin handwritten copying</w:t>
      </w:r>
      <w: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38"/>
        </w:numPr>
      </w:pPr>
      <w:r>
        <w:t xml:space="preserve">While still recording, drop another comment saying</w:t>
      </w:r>
      <w:r>
        <w:t xml:space="preserve"> </w:t>
      </w:r>
      <w:r>
        <w:t xml:space="preserve">“</w:t>
      </w:r>
      <w:r>
        <w:t xml:space="preserve">begin handwritten paraphrasing</w:t>
      </w:r>
      <w:r>
        <w:t xml:space="preserve">”</w:t>
      </w:r>
      <w:r>
        <w:t xml:space="preserve">. Have the subject read the second prompt and paraphrase the sentence (in their own words) using the pen and paper. Drop a comment when finished.</w:t>
      </w:r>
    </w:p>
    <w:p>
      <w:pPr>
        <w:numPr>
          <w:ilvl w:val="0"/>
          <w:numId w:val="1038"/>
        </w:numPr>
      </w:pPr>
      <w:r>
        <w:t xml:space="preserve">Repeat steps 3 &amp; 4 two more times. Instead of handwriting print, the subject will run through each trial (copy, paraphrase) using cursive handwriting and then typing on a keyboard. Move through the prompts in order, ensuring each is new. Comment appropriately for each exercise (begin cursive copying, begin typing copying, etc.).</w:t>
      </w:r>
    </w:p>
    <w:p>
      <w:pPr>
        <w:numPr>
          <w:ilvl w:val="0"/>
          <w:numId w:val="1038"/>
        </w:numPr>
      </w:pPr>
      <w:r>
        <w:t xml:space="preserve">For the 7th prompt on the sheet, have the subject read the sentence and draw a diagram/picture to illustrate what the sentence describes.</w:t>
      </w:r>
    </w:p>
    <w:p>
      <w:pPr>
        <w:numPr>
          <w:ilvl w:val="0"/>
          <w:numId w:val="1038"/>
        </w:numPr>
      </w:pPr>
      <w:r>
        <w:t xml:space="preserve">For the 8th prompt on the sheet, have the subject only read the sentence (in their head) without doing any note-taking activity.</w:t>
      </w:r>
    </w:p>
    <w:p>
      <w:pPr>
        <w:numPr>
          <w:ilvl w:val="0"/>
          <w:numId w:val="1038"/>
        </w:numPr>
      </w:pPr>
      <w:r>
        <w:t xml:space="preserve">Design your own experiment to test another factor in note taking strategies. For example, having the sentence read aloud to the subject. Record this trial with appropriate commenting.</w:t>
      </w:r>
    </w:p>
    <w:bookmarkStart w:id="98" w:name="analysis-1"/>
    <w:p>
      <w:pPr>
        <w:pStyle w:val="Heading2"/>
      </w:pPr>
      <w:r>
        <w:t xml:space="preserve">Analysis</w:t>
      </w:r>
    </w:p>
    <w:bookmarkStart w:id="97" w:name="excercise-3-note-taking-strategies"/>
    <w:p>
      <w:pPr>
        <w:pStyle w:val="Heading3"/>
      </w:pPr>
      <w:r>
        <w:t xml:space="preserve">Excercise 3: Note Taking Strategies</w:t>
      </w:r>
    </w:p>
    <w:p>
      <w:pPr>
        <w:pStyle w:val="FirstParagraph"/>
      </w:pPr>
      <w:r>
        <w:t xml:space="preserve">Steps 1-3</w:t>
      </w:r>
      <w:r>
        <w:t xml:space="preserve"> </w:t>
      </w:r>
      <w:r>
        <w:rPr>
          <w:bCs/>
          <w:b/>
        </w:rPr>
        <w:t xml:space="preserve">must</w:t>
      </w:r>
      <w:r>
        <w:t xml:space="preserve"> </w:t>
      </w:r>
      <w:r>
        <w:t xml:space="preserve">be done in class. You can not do this on your home version of LabChart.</w:t>
      </w:r>
    </w:p>
    <w:p>
      <w:pPr>
        <w:numPr>
          <w:ilvl w:val="0"/>
          <w:numId w:val="1039"/>
        </w:numPr>
      </w:pPr>
      <w:r>
        <w:t xml:space="preserve">Select a clean section of data in the Chart Window from the first experiment (without any major artifacts). Open the Spectrum view and change the settings to display both</w:t>
      </w:r>
      <w:r>
        <w:t xml:space="preserve"> </w:t>
      </w:r>
      <w:r>
        <w:t xml:space="preserve">“</w:t>
      </w:r>
      <w:r>
        <w:t xml:space="preserve">EEG Frontal</w:t>
      </w:r>
      <w:r>
        <w:t xml:space="preserve">”</w:t>
      </w:r>
      <w:r>
        <w:t xml:space="preserve"> </w:t>
      </w:r>
      <w:r>
        <w:t xml:space="preserve">and</w:t>
      </w:r>
      <w:r>
        <w:t xml:space="preserve"> </w:t>
      </w:r>
      <w:r>
        <w:t xml:space="preserve">“</w:t>
      </w:r>
      <w:r>
        <w:t xml:space="preserve">EEG Occipital</w:t>
      </w:r>
      <w:r>
        <w:t xml:space="preserve">”</w:t>
      </w:r>
      <w:r>
        <w:t xml:space="preserve"> </w:t>
      </w:r>
      <w:r>
        <w:t xml:space="preserve">channels.</w:t>
      </w:r>
    </w:p>
    <w:p>
      <w:pPr>
        <w:numPr>
          <w:ilvl w:val="0"/>
          <w:numId w:val="1039"/>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39"/>
        </w:numPr>
      </w:pPr>
      <w:r>
        <w:t xml:space="preserve">Repeat this exporting process for each combination of note taking mode (handwriting, cursive, typing), experiment (copying, paraphrasing, your choice) as well as drawing and reading only. Also do this process for</w:t>
      </w:r>
      <w:r>
        <w:t xml:space="preserve"> </w:t>
      </w:r>
      <w:r>
        <w:t xml:space="preserve">“</w:t>
      </w:r>
      <w:r>
        <w:t xml:space="preserve">eyes open</w:t>
      </w:r>
      <w:r>
        <w:t xml:space="preserve">”</w:t>
      </w:r>
      <w:r>
        <w:t xml:space="preserve"> </w:t>
      </w:r>
      <w:r>
        <w:t xml:space="preserve">and</w:t>
      </w:r>
      <w:r>
        <w:t xml:space="preserve"> </w:t>
      </w:r>
      <w:r>
        <w:t xml:space="preserve">“</w:t>
      </w:r>
      <w:r>
        <w:t xml:space="preserve">eyes closed</w:t>
      </w:r>
      <w:r>
        <w:t xml:space="preserve">”</w:t>
      </w:r>
      <w:r>
        <w:t xml:space="preserve"> </w:t>
      </w:r>
      <w:r>
        <w:t xml:space="preserve">data for control. You should have at least 12 text files total.</w:t>
      </w:r>
    </w:p>
    <w:p>
      <w:pPr>
        <w:numPr>
          <w:ilvl w:val="0"/>
          <w:numId w:val="1039"/>
        </w:numPr>
      </w:pPr>
      <w:r>
        <w:t xml:space="preserve">Make a copy of</w:t>
      </w:r>
      <w:r>
        <w:t xml:space="preserve"> </w:t>
      </w:r>
      <w:hyperlink r:id="rId96">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Cs/>
          <w:b/>
        </w:rPr>
        <w:t xml:space="preserve">delta</w:t>
      </w:r>
      <w:r>
        <w:t xml:space="preserve">,</w:t>
      </w:r>
      <w:r>
        <w:t xml:space="preserve"> </w:t>
      </w:r>
      <w:r>
        <w:rPr>
          <w:bCs/>
          <w:b/>
        </w:rPr>
        <w:t xml:space="preserve">theta</w:t>
      </w:r>
      <w:r>
        <w:t xml:space="preserve">,</w:t>
      </w:r>
      <w:r>
        <w:t xml:space="preserve"> </w:t>
      </w:r>
      <w:r>
        <w:rPr>
          <w:bCs/>
          <w:b/>
        </w:rPr>
        <w:t xml:space="preserve">alpha</w:t>
      </w:r>
      <w:r>
        <w:t xml:space="preserve">,</w:t>
      </w:r>
      <w:r>
        <w:t xml:space="preserve"> </w:t>
      </w:r>
      <w:r>
        <w:rPr>
          <w:bCs/>
          <w:b/>
        </w:rPr>
        <w:t xml:space="preserve">beta</w:t>
      </w:r>
      <w:r>
        <w:t xml:space="preserve">, and</w:t>
      </w:r>
      <w:r>
        <w:t xml:space="preserve"> </w:t>
      </w:r>
      <w:r>
        <w:rPr>
          <w:bCs/>
          <w:b/>
        </w:rPr>
        <w:t xml:space="preserve">gamma</w:t>
      </w:r>
      <w:r>
        <w:t xml:space="preserve"> </w:t>
      </w:r>
      <w:r>
        <w:t xml:space="preserve">frequency ranges.</w:t>
      </w:r>
      <w:r>
        <w:t xml:space="preserve"> </w:t>
      </w:r>
      <w:r>
        <w:rPr>
          <w:iCs/>
          <w:i/>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39"/>
        </w:numPr>
      </w:pPr>
      <w:r>
        <w:t xml:space="preserve">Now you can compare the abundance of different wave types in different areas of the brain for each activity. With your group,</w:t>
      </w:r>
      <w:r>
        <w:t xml:space="preserve"> </w:t>
      </w:r>
      <w:r>
        <w:rPr>
          <w:bCs/>
          <w:b/>
        </w:rPr>
        <w:t xml:space="preserve">come up with at least 6 questions</w:t>
      </w:r>
      <w:r>
        <w:t xml:space="preserve"> </w:t>
      </w:r>
      <w:r>
        <w:t xml:space="preserve">regarding brain activity during different modes of note taking and show us with appropriate comparisons of your data.</w:t>
      </w:r>
    </w:p>
    <w:p>
      <w:pPr>
        <w:numPr>
          <w:ilvl w:val="1"/>
          <w:numId w:val="1040"/>
        </w:numPr>
        <w:pStyle w:val="Compact"/>
      </w:pPr>
      <w:r>
        <w:t xml:space="preserve">One of your questions</w:t>
      </w:r>
      <w:r>
        <w:t xml:space="preserve"> </w:t>
      </w:r>
      <w:r>
        <w:rPr>
          <w:bCs/>
          <w:b/>
        </w:rPr>
        <w:t xml:space="preserve">must</w:t>
      </w:r>
      <w:r>
        <w:t xml:space="preserve"> </w:t>
      </w:r>
      <w:r>
        <w:t xml:space="preserve">include comparisons between</w:t>
      </w:r>
      <w:r>
        <w:t xml:space="preserve"> </w:t>
      </w:r>
      <w:r>
        <w:rPr>
          <w:iCs/>
          <w:i/>
        </w:rPr>
        <w:t xml:space="preserve">alpha and beta waves</w:t>
      </w:r>
      <w:r>
        <w:t xml:space="preserve"> </w:t>
      </w:r>
      <w:r>
        <w:t xml:space="preserve">in</w:t>
      </w:r>
      <w:r>
        <w:t xml:space="preserve"> </w:t>
      </w:r>
      <w:r>
        <w:rPr>
          <w:iCs/>
          <w:i/>
        </w:rPr>
        <w:t xml:space="preserve">both brain regions</w:t>
      </w:r>
      <w:r>
        <w:t xml:space="preserve"> </w:t>
      </w:r>
      <w:r>
        <w:t xml:space="preserve">during eyes closed and eyes open.</w:t>
      </w:r>
    </w:p>
    <w:p>
      <w:pPr>
        <w:numPr>
          <w:ilvl w:val="2"/>
          <w:numId w:val="1041"/>
        </w:numPr>
        <w:pStyle w:val="Compact"/>
      </w:pPr>
      <w:r>
        <w:t xml:space="preserve">For example,</w:t>
      </w:r>
      <w:r>
        <w:t xml:space="preserve"> </w:t>
      </w:r>
      <w:r>
        <w:t xml:space="preserve">“</w:t>
      </w:r>
      <w:r>
        <w:t xml:space="preserve">Do we see a decrease in alpha waves and an increase in beta waves with eyes open?</w:t>
      </w:r>
      <w:r>
        <w:t xml:space="preserve">”</w:t>
      </w:r>
    </w:p>
    <w:p>
      <w:pPr>
        <w:numPr>
          <w:ilvl w:val="2"/>
          <w:numId w:val="1041"/>
        </w:numPr>
        <w:pStyle w:val="Compact"/>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numPr>
          <w:ilvl w:val="1"/>
          <w:numId w:val="1040"/>
        </w:numPr>
        <w:pStyle w:val="Compact"/>
      </w:pPr>
      <w:r>
        <w:t xml:space="preserve">Your second question</w:t>
      </w:r>
      <w:r>
        <w:t xml:space="preserve"> </w:t>
      </w:r>
      <w:r>
        <w:rPr>
          <w:bCs/>
          <w:b/>
        </w:rPr>
        <w:t xml:space="preserve">must</w:t>
      </w:r>
      <w:r>
        <w:t xml:space="preserve"> </w:t>
      </w:r>
      <w:r>
        <w:t xml:space="preserve">involve comparing across</w:t>
      </w:r>
      <w:r>
        <w:t xml:space="preserve"> </w:t>
      </w:r>
      <w:r>
        <w:rPr>
          <w:iCs/>
          <w:i/>
        </w:rPr>
        <w:t xml:space="preserve">handwriting, cursive, and typing</w:t>
      </w:r>
      <w:r>
        <w:t xml:space="preserve">.</w:t>
      </w:r>
    </w:p>
    <w:p>
      <w:pPr>
        <w:numPr>
          <w:ilvl w:val="2"/>
          <w:numId w:val="1042"/>
        </w:numPr>
        <w:pStyle w:val="Compact"/>
      </w:pPr>
      <w:r>
        <w:t xml:space="preserve">For example,</w:t>
      </w:r>
      <w:r>
        <w:t xml:space="preserve"> </w:t>
      </w:r>
      <w:r>
        <w:t xml:space="preserve">“</w:t>
      </w:r>
      <w:r>
        <w:t xml:space="preserve">Is there any difference in gamma waves in the frontal lobe across the activities of handwriting, cursive, or typing?</w:t>
      </w:r>
      <w:r>
        <w:t xml:space="preserve">”</w:t>
      </w:r>
      <w:r>
        <w:br/>
      </w:r>
    </w:p>
    <w:p>
      <w:pPr>
        <w:numPr>
          <w:ilvl w:val="1"/>
          <w:numId w:val="1040"/>
        </w:numPr>
        <w:pStyle w:val="Compact"/>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97"/>
    <w:bookmarkEnd w:id="98"/>
    <w:bookmarkEnd w:id="99"/>
    <w:bookmarkStart w:id="100" w:name="food-for-thought"/>
    <w:p>
      <w:pPr>
        <w:pStyle w:val="Heading1"/>
      </w:pPr>
      <w:r>
        <w:t xml:space="preserve">Food for thought</w:t>
      </w:r>
    </w:p>
    <w:p>
      <w:pPr>
        <w:numPr>
          <w:ilvl w:val="0"/>
          <w:numId w:val="1043"/>
        </w:numPr>
      </w:pPr>
      <w:r>
        <w:t xml:space="preserve">How does the human anatomy make it difficult to record and electroencephalogram or EEG?</w:t>
      </w:r>
    </w:p>
    <w:p>
      <w:pPr>
        <w:numPr>
          <w:ilvl w:val="0"/>
          <w:numId w:val="1043"/>
        </w:numPr>
      </w:pPr>
      <w:r>
        <w:t xml:space="preserve">What are common causes of the artifacts you recorded in Exercise 1? Name at least 3.</w:t>
      </w:r>
    </w:p>
    <w:p>
      <w:pPr>
        <w:numPr>
          <w:ilvl w:val="0"/>
          <w:numId w:val="1043"/>
        </w:numPr>
      </w:pPr>
      <w:r>
        <w:t xml:space="preserve">In exercise 2, under what conditions did you see alpha waves more clearly?</w:t>
      </w:r>
    </w:p>
    <w:p>
      <w:pPr>
        <w:numPr>
          <w:ilvl w:val="0"/>
          <w:numId w:val="1043"/>
        </w:numPr>
      </w:pPr>
      <w:r>
        <w:t xml:space="preserve">What are alpha waves thought to indicate?</w:t>
      </w:r>
    </w:p>
    <w:p>
      <w:pPr>
        <w:numPr>
          <w:ilvl w:val="0"/>
          <w:numId w:val="1043"/>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3"/>
        </w:numPr>
      </w:pPr>
      <w:r>
        <w:t xml:space="preserve">What is the purpose of taking a control measurement with hand movement only?</w:t>
      </w:r>
    </w:p>
    <w:p>
      <w:pPr>
        <w:numPr>
          <w:ilvl w:val="0"/>
          <w:numId w:val="1043"/>
        </w:numPr>
      </w:pPr>
      <w:r>
        <w:t xml:space="preserve">Which activities were easier or more difficult for the subject to perform? Which types of waves are more abundant during more difficult activities?</w:t>
      </w:r>
    </w:p>
    <w:bookmarkEnd w:id="100"/>
    <w:bookmarkStart w:id="109" w:name="after-lab"/>
    <w:p>
      <w:pPr>
        <w:pStyle w:val="Heading1"/>
      </w:pPr>
      <w:r>
        <w:t xml:space="preserve">After Lab:</w:t>
      </w:r>
    </w:p>
    <w:p>
      <w:pPr>
        <w:numPr>
          <w:ilvl w:val="0"/>
          <w:numId w:val="1044"/>
        </w:numPr>
        <w:pStyle w:val="Compact"/>
      </w:pPr>
      <w:r>
        <w:t xml:space="preserve">This will be a group lab report.</w:t>
      </w:r>
    </w:p>
    <w:p>
      <w:pPr>
        <w:numPr>
          <w:ilvl w:val="0"/>
          <w:numId w:val="1044"/>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44"/>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44"/>
        </w:numPr>
        <w:pStyle w:val="Compact"/>
      </w:pPr>
      <w:r>
        <w:t xml:space="preserve">Please remember to include respective contributions.</w:t>
      </w:r>
    </w:p>
    <w:bookmarkStart w:id="108" w:name="refs"/>
    <w:bookmarkStart w:id="102" w:name="ref-Bekkers:2011"/>
    <w:p>
      <w:pPr>
        <w:pStyle w:val="Bibliography"/>
      </w:pPr>
      <w:r>
        <w:t xml:space="preserve">Bekkers, John M. 2011.</w:t>
      </w:r>
      <w:r>
        <w:t xml:space="preserve"> </w:t>
      </w:r>
      <w:r>
        <w:t xml:space="preserve">“Pyramidal Neurons.”</w:t>
      </w:r>
      <w:r>
        <w:t xml:space="preserve"> </w:t>
      </w:r>
      <w:r>
        <w:rPr>
          <w:iCs/>
          <w:i/>
        </w:rPr>
        <w:t xml:space="preserve">Curr Biol</w:t>
      </w:r>
      <w:r>
        <w:t xml:space="preserve"> </w:t>
      </w:r>
      <w:r>
        <w:t xml:space="preserve">21 (24): R975.</w:t>
      </w:r>
      <w:r>
        <w:t xml:space="preserve"> </w:t>
      </w:r>
      <w:hyperlink r:id="rId101">
        <w:r>
          <w:rPr>
            <w:rStyle w:val="Hyperlink"/>
          </w:rPr>
          <w:t xml:space="preserve">https://doi.org/10.1016/j.cub.2011.10.037</w:t>
        </w:r>
      </w:hyperlink>
      <w:r>
        <w:t xml:space="preserve">.</w:t>
      </w:r>
    </w:p>
    <w:bookmarkEnd w:id="102"/>
    <w:bookmarkStart w:id="104"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Cs/>
          <w:i/>
        </w:rPr>
        <w:t xml:space="preserve">Frontiers in Psychology</w:t>
      </w:r>
      <w:r>
        <w:t xml:space="preserve"> </w:t>
      </w:r>
      <w:r>
        <w:t xml:space="preserve">8.</w:t>
      </w:r>
      <w:r>
        <w:t xml:space="preserve"> </w:t>
      </w:r>
      <w:hyperlink r:id="rId103">
        <w:r>
          <w:rPr>
            <w:rStyle w:val="Hyperlink"/>
          </w:rPr>
          <w:t xml:space="preserve">https://doi.org/10.3389/fpsyg.2017.00706</w:t>
        </w:r>
      </w:hyperlink>
      <w:r>
        <w:t xml:space="preserve">.</w:t>
      </w:r>
    </w:p>
    <w:bookmarkEnd w:id="104"/>
    <w:bookmarkStart w:id="106"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Cs/>
          <w:i/>
        </w:rPr>
        <w:t xml:space="preserve">Frontiers in Psychology</w:t>
      </w:r>
      <w:r>
        <w:t xml:space="preserve"> </w:t>
      </w:r>
      <w:r>
        <w:t xml:space="preserve">11.</w:t>
      </w:r>
      <w:r>
        <w:t xml:space="preserve"> </w:t>
      </w:r>
      <w:hyperlink r:id="rId105">
        <w:r>
          <w:rPr>
            <w:rStyle w:val="Hyperlink"/>
          </w:rPr>
          <w:t xml:space="preserve">https://doi.org/10.3389/fpsyg.2020.01810</w:t>
        </w:r>
      </w:hyperlink>
      <w:r>
        <w:t xml:space="preserve">.</w:t>
      </w:r>
    </w:p>
    <w:bookmarkEnd w:id="106"/>
    <w:bookmarkStart w:id="107" w:name="ref-Vibell:2023"/>
    <w:p>
      <w:pPr>
        <w:pStyle w:val="Bibliography"/>
      </w:pPr>
      <w:r>
        <w:t xml:space="preserve">Vibell, Jonas. in prep.</w:t>
      </w:r>
      <w:r>
        <w:t xml:space="preserve"> </w:t>
      </w:r>
      <w:r>
        <w:t xml:space="preserve">“Ch. 3 Electroencephalography.”</w:t>
      </w:r>
      <w:r>
        <w:t xml:space="preserve"> </w:t>
      </w:r>
      <w:r>
        <w:t xml:space="preserve">In.</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53" Target="media/rId53.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4" Target="media/rId74.png"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86" Target="media/rId86.png" /><Relationship Type="http://schemas.openxmlformats.org/officeDocument/2006/relationships/image" Id="rId34" Target="media/rId34.jpg" /><Relationship Type="http://schemas.openxmlformats.org/officeDocument/2006/relationships/image" Id="rId70" Target="media/rId70.png" /><Relationship Type="http://schemas.openxmlformats.org/officeDocument/2006/relationships/image" Id="rId20" Target="media/rId20.png" /><Relationship Type="http://schemas.openxmlformats.org/officeDocument/2006/relationships/hyperlink" Id="rId24"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96" Target="https://docs.google.com/spreadsheets/d/1NszouoafNYPwEMO5w8iF_cYApgp0K3NM04JTTBrygWI/edit?usp=sharing" TargetMode="External" /><Relationship Type="http://schemas.openxmlformats.org/officeDocument/2006/relationships/hyperlink" Id="rId101" Target="https://doi.org/10.1016/j.cub.2011.10.037" TargetMode="External" /><Relationship Type="http://schemas.openxmlformats.org/officeDocument/2006/relationships/hyperlink" Id="rId103" Target="https://doi.org/10.3389/fpsyg.2017.00706" TargetMode="External" /><Relationship Type="http://schemas.openxmlformats.org/officeDocument/2006/relationships/hyperlink" Id="rId105" Target="https://doi.org/10.3389/fpsyg.2020.01810" TargetMode="External" /><Relationship Type="http://schemas.openxmlformats.org/officeDocument/2006/relationships/hyperlink" Id="rId23"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4"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96" Target="https://docs.google.com/spreadsheets/d/1NszouoafNYPwEMO5w8iF_cYApgp0K3NM04JTTBrygWI/edit?usp=sharing" TargetMode="External" /><Relationship Type="http://schemas.openxmlformats.org/officeDocument/2006/relationships/hyperlink" Id="rId101" Target="https://doi.org/10.1016/j.cub.2011.10.037" TargetMode="External" /><Relationship Type="http://schemas.openxmlformats.org/officeDocument/2006/relationships/hyperlink" Id="rId103" Target="https://doi.org/10.3389/fpsyg.2017.00706" TargetMode="External" /><Relationship Type="http://schemas.openxmlformats.org/officeDocument/2006/relationships/hyperlink" Id="rId105" Target="https://doi.org/10.3389/fpsyg.2020.01810" TargetMode="External" /><Relationship Type="http://schemas.openxmlformats.org/officeDocument/2006/relationships/hyperlink" Id="rId23"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2023-11-11T15:30:31Z</dcterms:created>
  <dcterms:modified xsi:type="dcterms:W3CDTF">2023-11-11T15:30:31Z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