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2168" w:type="dxa"/>
        <w:tblLayout w:type="fixed"/>
        <w:tblLook w:val="04A0" w:firstRow="1" w:lastRow="0" w:firstColumn="1" w:lastColumn="0" w:noHBand="0" w:noVBand="1"/>
      </w:tblPr>
      <w:tblGrid>
        <w:gridCol w:w="460"/>
        <w:gridCol w:w="4418"/>
        <w:gridCol w:w="7290"/>
      </w:tblGrid>
      <w:tr w:rsidR="006B3AF5" w:rsidRPr="006B3AF5" w:rsidTr="007E6CFD">
        <w:tc>
          <w:tcPr>
            <w:tcW w:w="460" w:type="dxa"/>
          </w:tcPr>
          <w:p w:rsidR="007E6CFD" w:rsidRPr="006B3AF5" w:rsidRDefault="007E6CFD">
            <w:pPr>
              <w:rPr>
                <w:rFonts w:ascii="Humanst521 Lt BT" w:hAnsi="Humanst521 Lt BT"/>
                <w:szCs w:val="24"/>
              </w:rPr>
            </w:pPr>
            <w:r w:rsidRPr="006B3AF5">
              <w:rPr>
                <w:rFonts w:ascii="Humanst521 Lt BT" w:hAnsi="Humanst521 Lt BT"/>
                <w:szCs w:val="24"/>
              </w:rPr>
              <w:t>#</w:t>
            </w:r>
          </w:p>
        </w:tc>
        <w:tc>
          <w:tcPr>
            <w:tcW w:w="4418" w:type="dxa"/>
          </w:tcPr>
          <w:p w:rsidR="007E6CFD" w:rsidRPr="0080787E" w:rsidRDefault="007E6CFD" w:rsidP="000F5AB9">
            <w:pPr>
              <w:rPr>
                <w:rFonts w:ascii="Humanst521 Lt BT" w:hAnsi="Humanst521 Lt BT"/>
                <w:b/>
                <w:szCs w:val="24"/>
              </w:rPr>
            </w:pPr>
            <w:r w:rsidRPr="0080787E">
              <w:rPr>
                <w:rFonts w:ascii="Humanst521 Lt BT" w:eastAsia="Times New Roman" w:hAnsi="Humanst521 Lt BT" w:cs="Arial"/>
                <w:b/>
                <w:szCs w:val="24"/>
              </w:rPr>
              <w:t>FEATURE</w:t>
            </w:r>
          </w:p>
        </w:tc>
        <w:tc>
          <w:tcPr>
            <w:tcW w:w="7290" w:type="dxa"/>
          </w:tcPr>
          <w:p w:rsidR="007E6CFD" w:rsidRPr="006B3AF5" w:rsidRDefault="007E6CFD" w:rsidP="000F5AB9">
            <w:pPr>
              <w:rPr>
                <w:rFonts w:ascii="Humanst521 Lt BT" w:eastAsia="Times New Roman" w:hAnsi="Humanst521 Lt BT" w:cs="Arial"/>
                <w:i/>
                <w:szCs w:val="24"/>
              </w:rPr>
            </w:pPr>
            <w:r w:rsidRPr="006B3AF5">
              <w:rPr>
                <w:rFonts w:ascii="Humanst521 Lt BT" w:eastAsia="Times New Roman" w:hAnsi="Humanst521 Lt BT" w:cs="Arial"/>
                <w:szCs w:val="24"/>
              </w:rPr>
              <w:t>DETAILS</w:t>
            </w:r>
          </w:p>
        </w:tc>
      </w:tr>
      <w:tr w:rsidR="006B3AF5" w:rsidRPr="006B3AF5" w:rsidTr="007E6CFD">
        <w:tc>
          <w:tcPr>
            <w:tcW w:w="460" w:type="dxa"/>
          </w:tcPr>
          <w:p w:rsidR="007E6CFD" w:rsidRPr="006B3AF5" w:rsidRDefault="007E6CFD">
            <w:pPr>
              <w:rPr>
                <w:rFonts w:ascii="Humanst521 Lt BT" w:hAnsi="Humanst521 Lt BT"/>
                <w:szCs w:val="24"/>
              </w:rPr>
            </w:pPr>
            <w:r w:rsidRPr="006B3AF5">
              <w:rPr>
                <w:rFonts w:ascii="Humanst521 Lt BT" w:hAnsi="Humanst521 Lt BT"/>
                <w:szCs w:val="24"/>
              </w:rPr>
              <w:t>1</w:t>
            </w:r>
          </w:p>
        </w:tc>
        <w:tc>
          <w:tcPr>
            <w:tcW w:w="4418" w:type="dxa"/>
          </w:tcPr>
          <w:p w:rsidR="006B3AF5" w:rsidRPr="0080787E" w:rsidRDefault="006B3AF5" w:rsidP="0010386E">
            <w:pPr>
              <w:rPr>
                <w:rFonts w:ascii="Humanst521 Lt BT" w:hAnsi="Humanst521 Lt BT"/>
                <w:b/>
                <w:szCs w:val="24"/>
              </w:rPr>
            </w:pPr>
            <w:r w:rsidRPr="0080787E">
              <w:rPr>
                <w:rFonts w:ascii="Humanst521 Lt BT" w:hAnsi="Humanst521 Lt BT"/>
                <w:b/>
                <w:szCs w:val="24"/>
              </w:rPr>
              <w:t>Updated</w:t>
            </w:r>
            <w:r w:rsidR="007E6CFD" w:rsidRPr="0080787E">
              <w:rPr>
                <w:rFonts w:ascii="Humanst521 Lt BT" w:hAnsi="Humanst521 Lt BT"/>
                <w:b/>
                <w:szCs w:val="24"/>
              </w:rPr>
              <w:t xml:space="preserve"> </w:t>
            </w:r>
            <w:r w:rsidRPr="0080787E">
              <w:rPr>
                <w:rFonts w:ascii="Humanst521 Lt BT" w:hAnsi="Humanst521 Lt BT"/>
                <w:b/>
                <w:szCs w:val="24"/>
              </w:rPr>
              <w:t xml:space="preserve">CEDAT.MathLab.dll File </w:t>
            </w:r>
          </w:p>
          <w:p w:rsidR="007E6CFD" w:rsidRPr="0080787E" w:rsidRDefault="006B3AF5" w:rsidP="0010386E">
            <w:pPr>
              <w:rPr>
                <w:rFonts w:ascii="Humanst521 Lt BT" w:hAnsi="Humanst521 Lt BT"/>
                <w:b/>
                <w:szCs w:val="24"/>
              </w:rPr>
            </w:pPr>
            <w:r w:rsidRPr="0080787E">
              <w:rPr>
                <w:rFonts w:ascii="Humanst521 Lt BT" w:hAnsi="Humanst521 Lt BT"/>
                <w:b/>
                <w:szCs w:val="24"/>
              </w:rPr>
              <w:t>(Version 3.0)</w:t>
            </w:r>
          </w:p>
        </w:tc>
        <w:tc>
          <w:tcPr>
            <w:tcW w:w="7290" w:type="dxa"/>
          </w:tcPr>
          <w:p w:rsidR="007E6CFD" w:rsidRPr="006B3AF5" w:rsidRDefault="006B3AF5" w:rsidP="004F444C">
            <w:pPr>
              <w:rPr>
                <w:rFonts w:ascii="Humanst521 Lt BT" w:hAnsi="Humanst521 Lt BT"/>
                <w:szCs w:val="24"/>
              </w:rPr>
            </w:pPr>
            <w:r w:rsidRPr="006B3AF5">
              <w:rPr>
                <w:rFonts w:ascii="Humanst521 Lt BT" w:hAnsi="Humanst521 Lt BT"/>
                <w:szCs w:val="24"/>
              </w:rPr>
              <w:t>The file contains updated libraries that fix the “Object instance” error in the report tools. All options have been confirmed to work and to be crash free on the development machine using the user supplied database.</w:t>
            </w:r>
          </w:p>
        </w:tc>
      </w:tr>
      <w:tr w:rsidR="006B3AF5" w:rsidRPr="006B3AF5" w:rsidTr="007E6CFD">
        <w:trPr>
          <w:trHeight w:val="573"/>
        </w:trPr>
        <w:tc>
          <w:tcPr>
            <w:tcW w:w="460" w:type="dxa"/>
          </w:tcPr>
          <w:p w:rsidR="007E6CFD" w:rsidRPr="006B3AF5" w:rsidRDefault="007E6CFD">
            <w:pPr>
              <w:rPr>
                <w:rFonts w:ascii="Humanst521 Lt BT" w:hAnsi="Humanst521 Lt BT"/>
                <w:szCs w:val="24"/>
              </w:rPr>
            </w:pPr>
            <w:r w:rsidRPr="006B3AF5">
              <w:rPr>
                <w:rFonts w:ascii="Humanst521 Lt BT" w:hAnsi="Humanst521 Lt BT"/>
                <w:szCs w:val="24"/>
              </w:rPr>
              <w:t>2</w:t>
            </w:r>
          </w:p>
        </w:tc>
        <w:tc>
          <w:tcPr>
            <w:tcW w:w="4418" w:type="dxa"/>
          </w:tcPr>
          <w:p w:rsidR="007E6CFD" w:rsidRPr="0080787E" w:rsidRDefault="006B3AF5" w:rsidP="00850000">
            <w:pPr>
              <w:rPr>
                <w:rFonts w:ascii="Humanst521 Lt BT" w:hAnsi="Humanst521 Lt BT"/>
                <w:b/>
                <w:szCs w:val="24"/>
              </w:rPr>
            </w:pPr>
            <w:r w:rsidRPr="0080787E">
              <w:rPr>
                <w:rFonts w:ascii="Humanst521 Lt BT" w:hAnsi="Humanst521 Lt BT"/>
                <w:b/>
                <w:szCs w:val="24"/>
              </w:rPr>
              <w:t>Modified Sale Window Interface</w:t>
            </w:r>
          </w:p>
        </w:tc>
        <w:tc>
          <w:tcPr>
            <w:tcW w:w="7290" w:type="dxa"/>
            <w:shd w:val="clear" w:color="auto" w:fill="auto"/>
          </w:tcPr>
          <w:p w:rsidR="007E6CFD" w:rsidRPr="006B3AF5" w:rsidRDefault="006B3AF5" w:rsidP="006B3AF5">
            <w:pPr>
              <w:rPr>
                <w:rFonts w:ascii="Humanst521 Lt BT" w:hAnsi="Humanst521 Lt BT"/>
                <w:szCs w:val="24"/>
              </w:rPr>
            </w:pPr>
            <w:r w:rsidRPr="006B3AF5">
              <w:rPr>
                <w:rFonts w:ascii="Humanst521 Lt BT" w:hAnsi="Humanst521 Lt BT"/>
                <w:szCs w:val="24"/>
              </w:rPr>
              <w:t>The Sale window has been modified. The quantity text field has been eliminated. On scanning a barcode or selecting an item from the ItemSearch  window, the item will go directly to the sale window table and default quantity will be set to . Quantity can be changed and the amount due and totals will reflect. Attempt to sell value higher than available will cause an error.</w:t>
            </w:r>
          </w:p>
        </w:tc>
      </w:tr>
      <w:tr w:rsidR="006B3AF5" w:rsidRPr="006B3AF5" w:rsidTr="007E6CFD">
        <w:trPr>
          <w:trHeight w:val="573"/>
        </w:trPr>
        <w:tc>
          <w:tcPr>
            <w:tcW w:w="460" w:type="dxa"/>
          </w:tcPr>
          <w:p w:rsidR="007E6CFD" w:rsidRPr="006B3AF5" w:rsidRDefault="007E6CFD">
            <w:pPr>
              <w:rPr>
                <w:rFonts w:ascii="Humanst521 Lt BT" w:hAnsi="Humanst521 Lt BT"/>
                <w:szCs w:val="24"/>
              </w:rPr>
            </w:pPr>
            <w:r w:rsidRPr="006B3AF5">
              <w:rPr>
                <w:rFonts w:ascii="Humanst521 Lt BT" w:hAnsi="Humanst521 Lt BT"/>
                <w:szCs w:val="24"/>
              </w:rPr>
              <w:t>3</w:t>
            </w:r>
          </w:p>
        </w:tc>
        <w:tc>
          <w:tcPr>
            <w:tcW w:w="4418" w:type="dxa"/>
          </w:tcPr>
          <w:p w:rsidR="007E6CFD" w:rsidRPr="0080787E" w:rsidRDefault="00A23CB0" w:rsidP="004A348B">
            <w:pPr>
              <w:rPr>
                <w:rFonts w:ascii="Humanst521 Lt BT" w:hAnsi="Humanst521 Lt BT"/>
                <w:b/>
                <w:szCs w:val="24"/>
              </w:rPr>
            </w:pPr>
            <w:r w:rsidRPr="0080787E">
              <w:rPr>
                <w:rFonts w:ascii="Humanst521 Lt BT" w:hAnsi="Humanst521 Lt BT"/>
                <w:b/>
                <w:szCs w:val="24"/>
              </w:rPr>
              <w:t>Modified Reporting Tables</w:t>
            </w:r>
          </w:p>
        </w:tc>
        <w:tc>
          <w:tcPr>
            <w:tcW w:w="7290" w:type="dxa"/>
            <w:shd w:val="clear" w:color="auto" w:fill="auto"/>
          </w:tcPr>
          <w:p w:rsidR="00533450" w:rsidRDefault="00A23CB0" w:rsidP="00B83782">
            <w:pPr>
              <w:rPr>
                <w:rFonts w:ascii="Humanst521 Lt BT" w:hAnsi="Humanst521 Lt BT"/>
                <w:szCs w:val="24"/>
              </w:rPr>
            </w:pPr>
            <w:r>
              <w:rPr>
                <w:rFonts w:ascii="Humanst521 Lt BT" w:hAnsi="Humanst521 Lt BT"/>
                <w:szCs w:val="24"/>
              </w:rPr>
              <w:t>The format of the generated tables under reports has been changed to “Lighter Tables”</w:t>
            </w:r>
            <w:r w:rsidR="00533450">
              <w:rPr>
                <w:rFonts w:ascii="Humanst521 Lt BT" w:hAnsi="Humanst521 Lt BT"/>
                <w:szCs w:val="24"/>
              </w:rPr>
              <w:t>, similar to those used in the receipt.</w:t>
            </w:r>
            <w:r>
              <w:rPr>
                <w:rFonts w:ascii="Humanst521 Lt BT" w:hAnsi="Humanst521 Lt BT"/>
                <w:szCs w:val="24"/>
              </w:rPr>
              <w:t xml:space="preserve"> The loading </w:t>
            </w:r>
            <w:r w:rsidR="00533450">
              <w:rPr>
                <w:rFonts w:ascii="Humanst521 Lt BT" w:hAnsi="Humanst521 Lt BT"/>
                <w:szCs w:val="24"/>
              </w:rPr>
              <w:t>time has been reduced by over 65</w:t>
            </w:r>
            <w:r>
              <w:rPr>
                <w:rFonts w:ascii="Humanst521 Lt BT" w:hAnsi="Humanst521 Lt BT"/>
                <w:szCs w:val="24"/>
              </w:rPr>
              <w:t xml:space="preserve">%. </w:t>
            </w:r>
          </w:p>
          <w:p w:rsidR="007E6CFD" w:rsidRPr="006B3AF5" w:rsidRDefault="00A23CB0" w:rsidP="00B83782">
            <w:pPr>
              <w:rPr>
                <w:rFonts w:ascii="Humanst521 Lt BT" w:hAnsi="Humanst521 Lt BT"/>
                <w:szCs w:val="24"/>
              </w:rPr>
            </w:pPr>
            <w:r>
              <w:rPr>
                <w:rFonts w:ascii="Humanst521 Lt BT" w:hAnsi="Humanst521 Lt BT"/>
                <w:szCs w:val="24"/>
              </w:rPr>
              <w:t>As a reference, versions before 5.0 would take about 180 seconds (3 minutes) to load 16500 records. In version 5.0, the loading time has been reduced to 60 seconds.</w:t>
            </w:r>
          </w:p>
        </w:tc>
      </w:tr>
      <w:tr w:rsidR="00A23CB0" w:rsidRPr="006B3AF5" w:rsidTr="007E6CFD">
        <w:trPr>
          <w:trHeight w:val="573"/>
        </w:trPr>
        <w:tc>
          <w:tcPr>
            <w:tcW w:w="460" w:type="dxa"/>
          </w:tcPr>
          <w:p w:rsidR="00A23CB0" w:rsidRPr="006B3AF5" w:rsidRDefault="00A23CB0">
            <w:pPr>
              <w:rPr>
                <w:rFonts w:ascii="Humanst521 Lt BT" w:hAnsi="Humanst521 Lt BT"/>
                <w:szCs w:val="24"/>
              </w:rPr>
            </w:pPr>
            <w:r>
              <w:rPr>
                <w:rFonts w:ascii="Humanst521 Lt BT" w:hAnsi="Humanst521 Lt BT"/>
                <w:szCs w:val="24"/>
              </w:rPr>
              <w:t>4</w:t>
            </w:r>
          </w:p>
        </w:tc>
        <w:tc>
          <w:tcPr>
            <w:tcW w:w="4418" w:type="dxa"/>
          </w:tcPr>
          <w:p w:rsidR="00A23CB0" w:rsidRPr="0080787E" w:rsidRDefault="00A23CB0" w:rsidP="004A348B">
            <w:pPr>
              <w:rPr>
                <w:rFonts w:ascii="Humanst521 Lt BT" w:hAnsi="Humanst521 Lt BT"/>
                <w:b/>
                <w:szCs w:val="24"/>
              </w:rPr>
            </w:pPr>
            <w:r w:rsidRPr="0080787E">
              <w:rPr>
                <w:rFonts w:ascii="Humanst521 Lt BT" w:hAnsi="Humanst521 Lt BT"/>
                <w:b/>
                <w:szCs w:val="24"/>
              </w:rPr>
              <w:t>Fixed Print Low stock</w:t>
            </w:r>
          </w:p>
        </w:tc>
        <w:tc>
          <w:tcPr>
            <w:tcW w:w="7290" w:type="dxa"/>
            <w:shd w:val="clear" w:color="auto" w:fill="auto"/>
          </w:tcPr>
          <w:p w:rsidR="00A23CB0" w:rsidRDefault="00A23CB0" w:rsidP="00B83782">
            <w:pPr>
              <w:rPr>
                <w:rFonts w:ascii="Humanst521 Lt BT" w:hAnsi="Humanst521 Lt BT"/>
                <w:szCs w:val="24"/>
              </w:rPr>
            </w:pPr>
            <w:r>
              <w:rPr>
                <w:rFonts w:ascii="Humanst521 Lt BT" w:hAnsi="Humanst521 Lt BT"/>
                <w:szCs w:val="24"/>
              </w:rPr>
              <w:t>This feature was previously active whether the user was viewing stock or sales etc. It is now only visible when the user is viewing stock.</w:t>
            </w:r>
          </w:p>
        </w:tc>
      </w:tr>
      <w:tr w:rsidR="00A23CB0" w:rsidRPr="006B3AF5" w:rsidTr="007E6CFD">
        <w:trPr>
          <w:trHeight w:val="573"/>
        </w:trPr>
        <w:tc>
          <w:tcPr>
            <w:tcW w:w="460" w:type="dxa"/>
          </w:tcPr>
          <w:p w:rsidR="00A23CB0" w:rsidRDefault="00A23CB0">
            <w:pPr>
              <w:rPr>
                <w:rFonts w:ascii="Humanst521 Lt BT" w:hAnsi="Humanst521 Lt BT"/>
                <w:szCs w:val="24"/>
              </w:rPr>
            </w:pPr>
            <w:r>
              <w:rPr>
                <w:rFonts w:ascii="Humanst521 Lt BT" w:hAnsi="Humanst521 Lt BT"/>
                <w:szCs w:val="24"/>
              </w:rPr>
              <w:t>5</w:t>
            </w:r>
          </w:p>
        </w:tc>
        <w:tc>
          <w:tcPr>
            <w:tcW w:w="4418" w:type="dxa"/>
          </w:tcPr>
          <w:p w:rsidR="00A23CB0" w:rsidRPr="0080787E" w:rsidRDefault="00A23CB0" w:rsidP="004A348B">
            <w:pPr>
              <w:rPr>
                <w:rFonts w:ascii="Humanst521 Lt BT" w:hAnsi="Humanst521 Lt BT"/>
                <w:b/>
                <w:szCs w:val="24"/>
              </w:rPr>
            </w:pPr>
            <w:r w:rsidRPr="0080787E">
              <w:rPr>
                <w:rFonts w:ascii="Humanst521 Lt BT" w:hAnsi="Humanst521 Lt BT"/>
                <w:b/>
                <w:szCs w:val="24"/>
              </w:rPr>
              <w:t>Fixed Failed login with correct credentials</w:t>
            </w:r>
          </w:p>
        </w:tc>
        <w:tc>
          <w:tcPr>
            <w:tcW w:w="7290" w:type="dxa"/>
            <w:shd w:val="clear" w:color="auto" w:fill="auto"/>
          </w:tcPr>
          <w:p w:rsidR="00A23CB0" w:rsidRDefault="00A23CB0" w:rsidP="00B83782">
            <w:pPr>
              <w:rPr>
                <w:rFonts w:ascii="Humanst521 Lt BT" w:hAnsi="Humanst521 Lt BT"/>
                <w:szCs w:val="24"/>
              </w:rPr>
            </w:pPr>
            <w:r>
              <w:rPr>
                <w:rFonts w:ascii="Humanst521 Lt BT" w:hAnsi="Humanst521 Lt BT"/>
                <w:szCs w:val="24"/>
              </w:rPr>
              <w:t>In versions before 5.0, attempt to login with a failed password would still fail even when user inputs correct password, unless the application is restarted. This bug has been fixed in 5.0</w:t>
            </w:r>
          </w:p>
        </w:tc>
      </w:tr>
      <w:tr w:rsidR="0080787E" w:rsidRPr="006B3AF5" w:rsidTr="007E6CFD">
        <w:trPr>
          <w:trHeight w:val="573"/>
        </w:trPr>
        <w:tc>
          <w:tcPr>
            <w:tcW w:w="460" w:type="dxa"/>
          </w:tcPr>
          <w:p w:rsidR="0080787E" w:rsidRDefault="0080787E">
            <w:pPr>
              <w:rPr>
                <w:rFonts w:ascii="Humanst521 Lt BT" w:hAnsi="Humanst521 Lt BT"/>
                <w:szCs w:val="24"/>
              </w:rPr>
            </w:pPr>
            <w:r>
              <w:rPr>
                <w:rFonts w:ascii="Humanst521 Lt BT" w:hAnsi="Humanst521 Lt BT"/>
                <w:szCs w:val="24"/>
              </w:rPr>
              <w:t>6</w:t>
            </w:r>
          </w:p>
        </w:tc>
        <w:tc>
          <w:tcPr>
            <w:tcW w:w="4418" w:type="dxa"/>
          </w:tcPr>
          <w:p w:rsidR="0080787E" w:rsidRPr="0080787E" w:rsidRDefault="0080787E" w:rsidP="004A348B">
            <w:pPr>
              <w:rPr>
                <w:rFonts w:ascii="Humanst521 Lt BT" w:hAnsi="Humanst521 Lt BT"/>
                <w:b/>
                <w:szCs w:val="24"/>
              </w:rPr>
            </w:pPr>
            <w:r w:rsidRPr="0080787E">
              <w:rPr>
                <w:rFonts w:ascii="Humanst521 Lt BT" w:hAnsi="Humanst521 Lt BT"/>
                <w:b/>
                <w:szCs w:val="24"/>
              </w:rPr>
              <w:t>Teller Sales Summary</w:t>
            </w:r>
          </w:p>
        </w:tc>
        <w:tc>
          <w:tcPr>
            <w:tcW w:w="7290" w:type="dxa"/>
            <w:shd w:val="clear" w:color="auto" w:fill="auto"/>
          </w:tcPr>
          <w:p w:rsidR="0080787E" w:rsidRDefault="0080787E" w:rsidP="00B83782">
            <w:pPr>
              <w:rPr>
                <w:rFonts w:ascii="Humanst521 Lt BT" w:hAnsi="Humanst521 Lt BT"/>
                <w:szCs w:val="24"/>
              </w:rPr>
            </w:pPr>
            <w:r>
              <w:rPr>
                <w:rFonts w:ascii="Humanst521 Lt BT" w:hAnsi="Humanst521 Lt BT"/>
                <w:szCs w:val="24"/>
              </w:rPr>
              <w:t xml:space="preserve">A summary of total sales is now available for the a given teller. Under the “View Sales” menu of the Sales Window, select “View Teller Sales Summary” in the context menu of the window generated </w:t>
            </w:r>
            <w:r w:rsidRPr="0080787E">
              <w:rPr>
                <w:rFonts w:ascii="Humanst521 Lt BT" w:hAnsi="Humanst521 Lt BT"/>
                <w:b/>
                <w:color w:val="FF0000"/>
                <w:szCs w:val="24"/>
              </w:rPr>
              <w:t>AFTER SELECTING A SALE PERIOD AND A TELLER.</w:t>
            </w:r>
          </w:p>
        </w:tc>
      </w:tr>
      <w:tr w:rsidR="00053C42" w:rsidRPr="006B3AF5" w:rsidTr="007E6CFD">
        <w:trPr>
          <w:trHeight w:val="573"/>
        </w:trPr>
        <w:tc>
          <w:tcPr>
            <w:tcW w:w="460" w:type="dxa"/>
          </w:tcPr>
          <w:p w:rsidR="00053C42" w:rsidRDefault="00053C42">
            <w:pPr>
              <w:rPr>
                <w:rFonts w:ascii="Humanst521 Lt BT" w:hAnsi="Humanst521 Lt BT"/>
                <w:szCs w:val="24"/>
              </w:rPr>
            </w:pPr>
            <w:r>
              <w:rPr>
                <w:rFonts w:ascii="Humanst521 Lt BT" w:hAnsi="Humanst521 Lt BT"/>
                <w:szCs w:val="24"/>
              </w:rPr>
              <w:t>7</w:t>
            </w:r>
          </w:p>
        </w:tc>
        <w:tc>
          <w:tcPr>
            <w:tcW w:w="4418" w:type="dxa"/>
          </w:tcPr>
          <w:p w:rsidR="00053C42" w:rsidRPr="0080787E" w:rsidRDefault="00053C42" w:rsidP="004A348B">
            <w:pPr>
              <w:rPr>
                <w:rFonts w:ascii="Humanst521 Lt BT" w:hAnsi="Humanst521 Lt BT"/>
                <w:b/>
                <w:szCs w:val="24"/>
              </w:rPr>
            </w:pPr>
            <w:r>
              <w:rPr>
                <w:rFonts w:ascii="Humanst521 Lt BT" w:hAnsi="Humanst521 Lt BT"/>
                <w:b/>
                <w:szCs w:val="24"/>
              </w:rPr>
              <w:t>Minor Edits</w:t>
            </w:r>
          </w:p>
        </w:tc>
        <w:tc>
          <w:tcPr>
            <w:tcW w:w="7290" w:type="dxa"/>
            <w:shd w:val="clear" w:color="auto" w:fill="auto"/>
          </w:tcPr>
          <w:p w:rsidR="00053C42" w:rsidRDefault="00053C42" w:rsidP="00B83782">
            <w:pPr>
              <w:rPr>
                <w:rFonts w:ascii="Humanst521 Lt BT" w:hAnsi="Humanst521 Lt BT"/>
                <w:szCs w:val="24"/>
              </w:rPr>
            </w:pPr>
            <w:r>
              <w:rPr>
                <w:rFonts w:ascii="Humanst521 Lt BT" w:hAnsi="Humanst521 Lt BT"/>
                <w:szCs w:val="24"/>
              </w:rPr>
              <w:t>When searching for an item that doesn’t exist, the error window refer</w:t>
            </w:r>
            <w:r w:rsidR="00F1176F">
              <w:rPr>
                <w:rFonts w:ascii="Humanst521 Lt BT" w:hAnsi="Humanst521 Lt BT"/>
                <w:szCs w:val="24"/>
              </w:rPr>
              <w:t>r</w:t>
            </w:r>
            <w:bookmarkStart w:id="0" w:name="_GoBack"/>
            <w:bookmarkEnd w:id="0"/>
            <w:r>
              <w:rPr>
                <w:rFonts w:ascii="Humanst521 Lt BT" w:hAnsi="Humanst521 Lt BT"/>
                <w:szCs w:val="24"/>
              </w:rPr>
              <w:t xml:space="preserve">ed to the “drug” and not “item”. This has been fixed. </w:t>
            </w:r>
          </w:p>
        </w:tc>
      </w:tr>
    </w:tbl>
    <w:p w:rsidR="000823AF" w:rsidRPr="006B3AF5" w:rsidRDefault="000823AF" w:rsidP="00AE32CA">
      <w:pPr>
        <w:rPr>
          <w:szCs w:val="24"/>
        </w:rPr>
      </w:pPr>
    </w:p>
    <w:sectPr w:rsidR="000823AF" w:rsidRPr="006B3AF5" w:rsidSect="00DD01D5">
      <w:pgSz w:w="16838" w:h="11906" w:orient="landscape"/>
      <w:pgMar w:top="851" w:right="851" w:bottom="851" w:left="851" w:header="709" w:footer="709" w:gutter="28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13E3" w:rsidRDefault="00AF13E3" w:rsidP="007E6CFD">
      <w:pPr>
        <w:spacing w:line="240" w:lineRule="auto"/>
      </w:pPr>
      <w:r>
        <w:separator/>
      </w:r>
    </w:p>
  </w:endnote>
  <w:endnote w:type="continuationSeparator" w:id="0">
    <w:p w:rsidR="00AF13E3" w:rsidRDefault="00AF13E3" w:rsidP="007E6C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umanst521 Lt BT">
    <w:altName w:val="Century Gothic"/>
    <w:panose1 w:val="020B0402020204020304"/>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13E3" w:rsidRDefault="00AF13E3" w:rsidP="007E6CFD">
      <w:pPr>
        <w:spacing w:line="240" w:lineRule="auto"/>
      </w:pPr>
      <w:r>
        <w:separator/>
      </w:r>
    </w:p>
  </w:footnote>
  <w:footnote w:type="continuationSeparator" w:id="0">
    <w:p w:rsidR="00AF13E3" w:rsidRDefault="00AF13E3" w:rsidP="007E6CF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C3FCC"/>
    <w:multiLevelType w:val="hybridMultilevel"/>
    <w:tmpl w:val="7F1CBC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B8F5FC4"/>
    <w:multiLevelType w:val="hybridMultilevel"/>
    <w:tmpl w:val="855EDDE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1D5"/>
    <w:rsid w:val="000068E5"/>
    <w:rsid w:val="00006A19"/>
    <w:rsid w:val="00040AE5"/>
    <w:rsid w:val="00053C42"/>
    <w:rsid w:val="00066DA5"/>
    <w:rsid w:val="000823AF"/>
    <w:rsid w:val="0008634C"/>
    <w:rsid w:val="000A0858"/>
    <w:rsid w:val="000B53E1"/>
    <w:rsid w:val="000C06ED"/>
    <w:rsid w:val="000C5E9A"/>
    <w:rsid w:val="000F5AB9"/>
    <w:rsid w:val="0010386E"/>
    <w:rsid w:val="00132CAC"/>
    <w:rsid w:val="001358E0"/>
    <w:rsid w:val="0013617F"/>
    <w:rsid w:val="00163FDD"/>
    <w:rsid w:val="0019312C"/>
    <w:rsid w:val="001A43E4"/>
    <w:rsid w:val="00212C45"/>
    <w:rsid w:val="0021775E"/>
    <w:rsid w:val="002300BD"/>
    <w:rsid w:val="002654D0"/>
    <w:rsid w:val="002D55A2"/>
    <w:rsid w:val="002F2EAF"/>
    <w:rsid w:val="00312506"/>
    <w:rsid w:val="003258EE"/>
    <w:rsid w:val="00325BEF"/>
    <w:rsid w:val="00354307"/>
    <w:rsid w:val="003B443C"/>
    <w:rsid w:val="003D1116"/>
    <w:rsid w:val="003D23D6"/>
    <w:rsid w:val="004032BA"/>
    <w:rsid w:val="00410E08"/>
    <w:rsid w:val="00460713"/>
    <w:rsid w:val="00461B9E"/>
    <w:rsid w:val="00474A77"/>
    <w:rsid w:val="004F444C"/>
    <w:rsid w:val="00507694"/>
    <w:rsid w:val="00533450"/>
    <w:rsid w:val="00595D53"/>
    <w:rsid w:val="005B42C1"/>
    <w:rsid w:val="005B536B"/>
    <w:rsid w:val="005F3E1C"/>
    <w:rsid w:val="00623ACE"/>
    <w:rsid w:val="00632E31"/>
    <w:rsid w:val="00635FF4"/>
    <w:rsid w:val="006424D2"/>
    <w:rsid w:val="006604F5"/>
    <w:rsid w:val="00686C9B"/>
    <w:rsid w:val="006B3AF5"/>
    <w:rsid w:val="00771112"/>
    <w:rsid w:val="0077568C"/>
    <w:rsid w:val="00784E28"/>
    <w:rsid w:val="007E6CFD"/>
    <w:rsid w:val="0080787E"/>
    <w:rsid w:val="0084431E"/>
    <w:rsid w:val="00850000"/>
    <w:rsid w:val="00880CDA"/>
    <w:rsid w:val="008A18B6"/>
    <w:rsid w:val="008E0B05"/>
    <w:rsid w:val="009E667D"/>
    <w:rsid w:val="009E7304"/>
    <w:rsid w:val="00A23CB0"/>
    <w:rsid w:val="00A96F46"/>
    <w:rsid w:val="00AD090E"/>
    <w:rsid w:val="00AE32CA"/>
    <w:rsid w:val="00AF13E3"/>
    <w:rsid w:val="00B270AF"/>
    <w:rsid w:val="00B635EA"/>
    <w:rsid w:val="00B76637"/>
    <w:rsid w:val="00B83782"/>
    <w:rsid w:val="00C040E9"/>
    <w:rsid w:val="00C066A4"/>
    <w:rsid w:val="00C17901"/>
    <w:rsid w:val="00C36E1F"/>
    <w:rsid w:val="00C66FCC"/>
    <w:rsid w:val="00C9266E"/>
    <w:rsid w:val="00D03D78"/>
    <w:rsid w:val="00D44018"/>
    <w:rsid w:val="00D56E79"/>
    <w:rsid w:val="00D732FB"/>
    <w:rsid w:val="00D94D02"/>
    <w:rsid w:val="00DC710F"/>
    <w:rsid w:val="00DD01D5"/>
    <w:rsid w:val="00DD0AAD"/>
    <w:rsid w:val="00ED4F01"/>
    <w:rsid w:val="00EE5312"/>
    <w:rsid w:val="00F1176F"/>
    <w:rsid w:val="00F161EA"/>
    <w:rsid w:val="00F40B62"/>
    <w:rsid w:val="00F86F1D"/>
    <w:rsid w:val="00FF2C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7C7591-CAF9-4FDC-BC8A-300F45629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Bookman Old Style" w:eastAsiaTheme="minorHAnsi" w:hAnsi="Bookman Old Style" w:cstheme="minorBidi"/>
        <w:sz w:val="24"/>
        <w:szCs w:val="22"/>
        <w:lang w:val="en-GB"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43C"/>
  </w:style>
  <w:style w:type="paragraph" w:styleId="Heading1">
    <w:name w:val="heading 1"/>
    <w:basedOn w:val="Normal"/>
    <w:next w:val="Normal"/>
    <w:link w:val="Heading1Char"/>
    <w:uiPriority w:val="9"/>
    <w:qFormat/>
    <w:rsid w:val="00A96F46"/>
    <w:pPr>
      <w:keepNext/>
      <w:keepLines/>
      <w:spacing w:before="100" w:beforeAutospacing="1" w:after="100" w:afterAutospacing="1"/>
      <w:outlineLvl w:val="0"/>
    </w:pPr>
    <w:rPr>
      <w:rFonts w:eastAsiaTheme="majorEastAsia"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F46"/>
    <w:rPr>
      <w:rFonts w:eastAsiaTheme="majorEastAsia" w:cstheme="majorBidi"/>
      <w:b/>
      <w:bCs/>
      <w:sz w:val="32"/>
      <w:szCs w:val="28"/>
    </w:rPr>
  </w:style>
  <w:style w:type="table" w:styleId="TableGrid">
    <w:name w:val="Table Grid"/>
    <w:basedOn w:val="TableNormal"/>
    <w:uiPriority w:val="59"/>
    <w:rsid w:val="00DD01D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E667D"/>
    <w:pPr>
      <w:ind w:left="720"/>
      <w:contextualSpacing/>
    </w:pPr>
  </w:style>
  <w:style w:type="paragraph" w:styleId="BalloonText">
    <w:name w:val="Balloon Text"/>
    <w:basedOn w:val="Normal"/>
    <w:link w:val="BalloonTextChar"/>
    <w:uiPriority w:val="99"/>
    <w:semiHidden/>
    <w:unhideWhenUsed/>
    <w:rsid w:val="004F44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44C"/>
    <w:rPr>
      <w:rFonts w:ascii="Tahoma" w:hAnsi="Tahoma" w:cs="Tahoma"/>
      <w:sz w:val="16"/>
      <w:szCs w:val="16"/>
    </w:rPr>
  </w:style>
  <w:style w:type="paragraph" w:styleId="Header">
    <w:name w:val="header"/>
    <w:basedOn w:val="Normal"/>
    <w:link w:val="HeaderChar"/>
    <w:uiPriority w:val="99"/>
    <w:unhideWhenUsed/>
    <w:rsid w:val="007E6CFD"/>
    <w:pPr>
      <w:tabs>
        <w:tab w:val="center" w:pos="4680"/>
        <w:tab w:val="right" w:pos="9360"/>
      </w:tabs>
      <w:spacing w:line="240" w:lineRule="auto"/>
    </w:pPr>
  </w:style>
  <w:style w:type="character" w:customStyle="1" w:styleId="HeaderChar">
    <w:name w:val="Header Char"/>
    <w:basedOn w:val="DefaultParagraphFont"/>
    <w:link w:val="Header"/>
    <w:uiPriority w:val="99"/>
    <w:rsid w:val="007E6CFD"/>
  </w:style>
  <w:style w:type="paragraph" w:styleId="Footer">
    <w:name w:val="footer"/>
    <w:basedOn w:val="Normal"/>
    <w:link w:val="FooterChar"/>
    <w:uiPriority w:val="99"/>
    <w:unhideWhenUsed/>
    <w:rsid w:val="007E6CFD"/>
    <w:pPr>
      <w:tabs>
        <w:tab w:val="center" w:pos="4680"/>
        <w:tab w:val="right" w:pos="9360"/>
      </w:tabs>
      <w:spacing w:line="240" w:lineRule="auto"/>
    </w:pPr>
  </w:style>
  <w:style w:type="character" w:customStyle="1" w:styleId="FooterChar">
    <w:name w:val="Footer Char"/>
    <w:basedOn w:val="DefaultParagraphFont"/>
    <w:link w:val="Footer"/>
    <w:uiPriority w:val="99"/>
    <w:rsid w:val="007E6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VIX</dc:creator>
  <cp:lastModifiedBy>B.H.M</cp:lastModifiedBy>
  <cp:revision>8</cp:revision>
  <dcterms:created xsi:type="dcterms:W3CDTF">2015-01-29T12:52:00Z</dcterms:created>
  <dcterms:modified xsi:type="dcterms:W3CDTF">2015-01-29T13:33:00Z</dcterms:modified>
</cp:coreProperties>
</file>