
<file path=word/document.xml><?xml version="1.0" encoding="utf-8"?>
<w:document xmlns:w="http://schemas.openxmlformats.org/wordprocessingml/2006/main">
  <w:body>
    <w:p>
      <w:r>
        <w:t>… = Bolaget uppdaterar texten för ÅR</w:t>
      </w:r>
    </w:p>
    <w:p>
      <w:r>
        <w:t>… = Beskrivning/hjälptext (ska ej ingå i förvaltningsberättelsen eller noten)</w:t>
      </w:r>
    </w:p>
    <w:p>
      <w:r>
        <w:t>Förvaltningsberättelse</w:t>
      </w:r>
    </w:p>
    <w:p>
      <w:r>
        <w:t>Styrelsen och verkställande direktör ... 2025-01-01-2025-12-31.</w:t>
      </w:r>
    </w:p>
    <w:p>
      <w:r>
        <w:t>Årsredovisningen är upprättad i svenska kronor, SEK. Om inte annat särskilt anges, redovisas alla</w:t>
      </w:r>
    </w:p>
    <w:p>
      <w:r>
        <w:t>belopp i hela kronor (kr). Uppgifter inom parentes avser föregående år.</w:t>
      </w:r>
    </w:p>
    <w:p>
      <w:r>
        <w:t>Allmänt om verksamheten</w:t>
      </w:r>
    </w:p>
    <w:p>
      <w:r>
        <w:t>Business paragraph.</w:t>
      </w:r>
    </w:p>
    <w:p>
      <w:r>
        <w:t>Utveckling av företagets verksamhet, resultat och ställning</w:t>
      </w:r>
    </w:p>
    <w:tbl>
      <w:tblGrid>
        <w:gridCol/>
        <w:gridCol/>
        <w:gridCol/>
        <w:gridCol/>
        <w:gridCol/>
        <w:gridCol/>
      </w:tblGrid>
      <w:tr>
        <w:tc>
          <w:p>
            <w:r>
              <w:t>Belopp i kkr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2025-01-01</w:t>
            </w:r>
          </w:p>
        </w:tc>
        <w:tc>
          <w:p>
            <w:r>
              <w:t>2024-01-01</w:t>
            </w:r>
          </w:p>
        </w:tc>
        <w:tc>
          <w:p>
            <w:r>
              <w:t>2023-01-01</w:t>
            </w:r>
          </w:p>
        </w:tc>
        <w:tc>
          <w:p>
            <w:r>
              <w:t>2022-01-01</w:t>
            </w:r>
          </w:p>
        </w:tc>
        <w:tc>
          <w:p>
            <w:r>
              <w:t>2021-01-01</w:t>
            </w:r>
          </w:p>
        </w:tc>
      </w:tr>
      <w:tr>
        <w:tc>
          <w:p>
            <w:r>
              <w:t/>
            </w:r>
          </w:p>
        </w:tc>
        <w:tc>
          <w:p>
            <w:r>
              <w:t>2025-12-31</w:t>
            </w:r>
          </w:p>
        </w:tc>
        <w:tc>
          <w:p>
            <w:r>
              <w:t>2024-12-31</w:t>
            </w:r>
          </w:p>
        </w:tc>
        <w:tc>
          <w:p>
            <w:r>
              <w:t>2023-12-31</w:t>
            </w:r>
          </w:p>
        </w:tc>
        <w:tc>
          <w:p>
            <w:r>
              <w:t>2022-12-31</w:t>
            </w:r>
          </w:p>
        </w:tc>
        <w:tc>
          <w:p>
            <w:r>
              <w:t>2021-12-31</w:t>
            </w:r>
          </w:p>
        </w:tc>
      </w:tr>
      <w:tr>
        <w:tc>
          <w:p>
            <w:r>
              <w:t>Nettoomsättning</w:t>
            </w:r>
          </w:p>
        </w:tc>
        <w:tc>
          <w:p>
            <w:r>
              <w:t>123 537</w:t>
            </w:r>
          </w:p>
        </w:tc>
        <w:tc>
          <w:p>
            <w:r>
              <w:t>129 384</w:t>
            </w:r>
          </w:p>
        </w:tc>
        <w:tc>
          <w:p>
            <w:r>
              <w:t>116 721</w:t>
            </w:r>
          </w:p>
        </w:tc>
        <w:tc>
          <w:p>
            <w:r>
              <w:t>68 682</w:t>
            </w:r>
          </w:p>
        </w:tc>
        <w:tc>
          <w:p>
            <w:r>
              <w:t>54 395</w:t>
            </w:r>
          </w:p>
        </w:tc>
      </w:tr>
      <w:tr>
        <w:tc>
          <w:p>
            <w:r>
              <w:t>Rörelseresultat</w:t>
            </w:r>
          </w:p>
        </w:tc>
        <w:tc>
          <w:p>
            <w:r>
              <w:t>2 262</w:t>
            </w:r>
          </w:p>
        </w:tc>
        <w:tc>
          <w:p>
            <w:r>
              <w:t>4 762</w:t>
            </w:r>
          </w:p>
        </w:tc>
        <w:tc>
          <w:p>
            <w:r>
              <w:t>8 958</w:t>
            </w:r>
          </w:p>
        </w:tc>
        <w:tc>
          <w:p>
            <w:r>
              <w:t>8 552</w:t>
            </w:r>
          </w:p>
        </w:tc>
        <w:tc>
          <w:p>
            <w:r>
              <w:t>8 943</w:t>
            </w:r>
          </w:p>
        </w:tc>
      </w:tr>
      <w:tr>
        <w:tc>
          <w:p>
            <w:r>
              <w:t>Resultat efter skatt</w:t>
            </w:r>
          </w:p>
        </w:tc>
        <w:tc>
          <w:p>
            <w:r>
              <w:t>33</w:t>
            </w:r>
          </w:p>
        </w:tc>
        <w:tc>
          <w:p>
            <w:r>
              <w:t>253</w:t>
            </w:r>
          </w:p>
        </w:tc>
        <w:tc>
          <w:p>
            <w:r>
              <w:t>76</w:t>
            </w:r>
          </w:p>
        </w:tc>
        <w:tc>
          <w:p>
            <w:r>
              <w:t>407</w:t>
            </w:r>
          </w:p>
        </w:tc>
        <w:tc>
          <w:p>
            <w:r>
              <w:t>3 089</w:t>
            </w:r>
          </w:p>
        </w:tc>
      </w:tr>
      <w:tr>
        <w:tc>
          <w:p>
            <w:r>
              <w:t>Rörelsemarginal %</w:t>
            </w:r>
          </w:p>
        </w:tc>
        <w:tc>
          <w:p>
            <w:r>
              <w:t>1,81</w:t>
            </w:r>
          </w:p>
        </w:tc>
        <w:tc>
          <w:p>
            <w:r>
              <w:t>3,7</w:t>
            </w:r>
          </w:p>
        </w:tc>
        <w:tc>
          <w:p>
            <w:r>
              <w:t>7,7</w:t>
            </w:r>
          </w:p>
        </w:tc>
        <w:tc>
          <w:p>
            <w:r>
              <w:t>12,5</w:t>
            </w:r>
          </w:p>
        </w:tc>
        <w:tc>
          <w:p>
            <w:r>
              <w:t>16,4</w:t>
            </w:r>
          </w:p>
        </w:tc>
      </w:tr>
      <w:tr>
        <w:tc>
          <w:p>
            <w:r>
              <w:t>Soliditet%Definitioner: se not xx</w:t>
            </w:r>
          </w:p>
        </w:tc>
        <w:tc>
          <w:p>
            <w:r>
              <w:t>58,8</w:t>
            </w:r>
          </w:p>
        </w:tc>
        <w:tc>
          <w:p>
            <w:r>
              <w:t>60,6</w:t>
            </w:r>
          </w:p>
        </w:tc>
        <w:tc>
          <w:p>
            <w:r>
              <w:t>56,6</w:t>
            </w:r>
          </w:p>
        </w:tc>
        <w:tc>
          <w:p>
            <w:r>
              <w:t>26,9</w:t>
            </w:r>
          </w:p>
        </w:tc>
        <w:tc>
          <w:p>
            <w:r>
              <w:t>25,9</w:t>
            </w:r>
          </w:p>
        </w:tc>
      </w:tr>
    </w:tbl>
    <w:p>
      <w:r>
        <w:t>Väsentliga händelser under räkenskapsåret</w:t>
      </w:r>
    </w:p>
    <w:p>
      <w:r>
        <w:t>Events paragraph.</w:t>
      </w:r>
    </w:p>
    <w:p>
      <w:r>
        <w:t>Forskning och utveckling</w:t>
      </w:r>
    </w:p>
    <w:p>
      <w:r>
        <w:t>R and D paragraph.</w:t>
      </w:r>
    </w:p>
    <w:p>
      <w:r>
        <w:t>Hållbarhetsupplysningar - ESG (Environmental, Social and Governance)</w:t>
      </w:r>
    </w:p>
    <w:p>
      <w:r>
        <w:t>Sustainability paragraph.</w:t>
      </w:r>
    </w:p>
    <w:p>
      <w:r>
        <w:t>Förväntad framtida utveckling samt väsentliga risker och osäkerhetsfaktorer</w:t>
      </w:r>
    </w:p>
    <w:p>
      <w:r>
        <w:t>Future risks paragraph.</w:t>
      </w:r>
    </w:p>
    <w:p>
      <w:r>
        <w:t>Eget kapital</w:t>
      </w:r>
    </w:p>
    <w:tbl>
      <w:tblGrid>
        <w:gridCol/>
        <w:gridCol/>
        <w:gridCol/>
        <w:gridCol/>
        <w:gridCol/>
        <w:gridCol/>
      </w:tblGrid>
      <w:tr>
        <w:tc>
          <w:p>
            <w:r>
              <w:t/>
            </w:r>
          </w:p>
        </w:tc>
        <w:tc>
          <w:p>
            <w:r>
              <w:t>Aktie-</w:t>
            </w:r>
          </w:p>
        </w:tc>
        <w:tc>
          <w:p>
            <w:r>
              <w:t>Reserv-</w:t>
            </w:r>
          </w:p>
        </w:tc>
        <w:tc>
          <w:p>
            <w:r>
              <w:t/>
            </w:r>
          </w:p>
        </w:tc>
        <w:tc>
          <w:p>
            <w:r>
              <w:t>Balanserad</w:t>
            </w:r>
          </w:p>
        </w:tc>
        <w:tc>
          <w:p>
            <w:r>
              <w:t>Arets</w:t>
            </w:r>
          </w:p>
        </w:tc>
      </w:tr>
      <w:tr>
        <w:tc>
          <w:p>
            <w:r>
              <w:t/>
            </w:r>
          </w:p>
        </w:tc>
        <w:tc>
          <w:p>
            <w:r>
              <w:t>kapital</w:t>
            </w:r>
          </w:p>
        </w:tc>
        <w:tc>
          <w:p>
            <w:r>
              <w:t>fond</w:t>
            </w:r>
          </w:p>
        </w:tc>
        <w:tc>
          <w:p>
            <w:r>
              <w:t/>
            </w:r>
          </w:p>
        </w:tc>
        <w:tc>
          <w:p>
            <w:r>
              <w:t>vinst</w:t>
            </w:r>
          </w:p>
        </w:tc>
        <w:tc>
          <w:p>
            <w:r>
              <w:t>vinst</w:t>
            </w:r>
          </w:p>
        </w:tc>
      </w:tr>
      <w:tr>
        <w:tc>
          <w:p>
            <w:r>
              <w:t>Vid årets början</w:t>
            </w:r>
          </w:p>
        </w:tc>
        <w:tc>
          <w:p>
            <w:r>
              <w:t>120 000</w:t>
            </w:r>
          </w:p>
        </w:tc>
        <w:tc>
          <w:p>
            <w:r>
              <w:t>100 000</w:t>
            </w:r>
          </w:p>
        </w:tc>
        <w:tc>
          <w:p>
            <w:r>
              <w:t/>
            </w:r>
          </w:p>
        </w:tc>
        <w:tc>
          <w:p>
            <w:r>
              <w:t>37 980 965</w:t>
            </w:r>
          </w:p>
        </w:tc>
        <w:tc>
          <w:p>
            <w:r>
              <w:t>252 733</w:t>
            </w:r>
          </w:p>
        </w:tc>
      </w:tr>
      <w:tr>
        <w:tc>
          <w:p>
            <w:r>
              <w:t>Aktivering av utvecklingskostnader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-2 308 492</w:t>
            </w:r>
          </w:p>
        </w:tc>
        <w:tc>
          <w:p>
            <w:r>
              <w:t/>
            </w:r>
          </w:p>
        </w:tc>
      </w:tr>
      <w:tr>
        <w:tc>
          <w:p>
            <w:r>
              <w:t>Omföring av föreg. års vinst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252 733</w:t>
            </w:r>
          </w:p>
        </w:tc>
        <w:tc>
          <w:p>
            <w:r>
              <w:t>- 252 733</w:t>
            </w:r>
          </w:p>
        </w:tc>
      </w:tr>
      <w:tr>
        <w:tc>
          <w:p>
            <w:r>
              <w:t>Arets resultat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33 324</w:t>
            </w:r>
          </w:p>
        </w:tc>
      </w:tr>
      <w:tr>
        <w:tc>
          <w:p>
            <w:r>
              <w:t>Vid årets slut</w:t>
            </w:r>
          </w:p>
        </w:tc>
        <w:tc>
          <w:p>
            <w:r>
              <w:t>120 000</w:t>
            </w:r>
          </w:p>
        </w:tc>
        <w:tc>
          <w:p>
            <w:r>
              <w:t>100 000</w:t>
            </w:r>
          </w:p>
        </w:tc>
        <w:tc>
          <w:p>
            <w:r>
              <w:t/>
            </w:r>
          </w:p>
        </w:tc>
        <w:tc>
          <w:p>
            <w:r>
              <w:t>37 980 965</w:t>
            </w:r>
          </w:p>
        </w:tc>
        <w:tc>
          <w:p>
            <w:r>
              <w:t>33 324</w:t>
            </w:r>
          </w:p>
        </w:tc>
      </w:tr>
      <w:tr>
        <w:tc>
          <w:tcPr>
            <w:gridSpan w:val="6"/>
          </w:tcPr>
          <w:p>
            <w:r>
              <w:t>Förslag till disposition av företagets vinst eller förlust</w:t>
            </w:r>
          </w:p>
        </w:tc>
      </w:tr>
      <w:tr>
        <w:tc>
          <w:tcPr>
            <w:gridSpan w:val="6"/>
          </w:tcPr>
          <w:p>
            <w:r>
              <w:t>Styrelsen föreslår att till förfogande stående vinstmedel, kronor 38 014 289, disponeras enligt följande: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Belopp i kr</w:t>
            </w:r>
          </w:p>
        </w:tc>
      </w:tr>
      <w:tr>
        <w:tc>
          <w:p>
            <w:r>
              <w:t>Balanseras i ny räkning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38 014 289</w:t>
            </w:r>
          </w:p>
        </w:tc>
      </w:tr>
    </w:tbl>
    <w:p>
      <w:r>
        <w:t>Vad beträffar resultat och ställning i övrigt hänvisas till efterföljande resultat- och balansräkning med</w:t>
      </w:r>
    </w:p>
    <w:p>
      <w:r>
        <w:t>tillhörande noter.</w:t>
      </w:r>
    </w:p>
    <w:p>
      <w:r>
        <w:br w:type="page"/>
      </w:r>
    </w:p>
    <w:p>
      <w:r>
        <w:t>NOTER FÖR TEXTUPPDATERING</w:t>
      </w:r>
    </w:p>
    <w:p>
      <w:r>
        <w:t>Not X, Väsentliga händelser efter räkenskapsårets slut</w:t>
      </w:r>
    </w:p>
    <w:sectPr/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'1.0' encoding='UTF-8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  <Relationship Id='rId3' Type='http://schemas.openxmlformats.org/officeDocument/2006/relationships/settings' Target='settings.xml'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Unit Test</dc:creator>
  <cp:lastModifiedBy>Unit Test</cp:lastModifiedBy>
  <dcterms:created>2025-03-05T13:49:00Z</dcterms:created>
  <dcterms:modified>2026-03-19T08:46:00Z</dcterms:modified>
</cp:coreProperties>
</file>