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/>
              <w:left w:val="none"/>
              <w:bottom w:val="none"/>
              <w:right w:val="none"/>
            </w:tcBorders>
            <w:shd w:fill="5B2D8E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Game Design — Full Year</w:t>
            </w:r>
            <w:r>
              <w:rPr>
                <w:rFonts w:ascii="Arial" w:cs="Arial" w:eastAsia="Arial" w:hAnsi="Arial"/>
                <w:sz w:val="16"/>
                <w:szCs w:val="16"/>
              </w:rPr>
              <w:br/>
              <w:t xml:space="preserve"/>
            </w:r>
            <w:r>
              <w:rPr>
                <w:rFonts w:ascii="Arial" w:cs="Arial" w:eastAsia="Arial" w:hAnsi="Arial"/>
                <w:color w:val="CE93D8"/>
                <w:sz w:val="16"/>
                <w:szCs w:val="16"/>
              </w:rPr>
              <w:t xml:space="preserve">Unit 6 - 2D Game Development</w:t>
            </w:r>
          </w:p>
        </w:tc>
      </w:tr>
    </w:tbl>
    <w:p>
      <w:pPr>
        <w:spacing w:after="120"/>
      </w:pPr>
    </w:p>
    <w:p>
      <w:pPr>
        <w:spacing w:after="80"/>
      </w:pPr>
      <w:r>
        <w:rPr>
          <w:rFonts w:ascii="Arial" w:cs="Arial" w:eastAsia="Arial" w:hAnsi="Arial"/>
          <w:b/>
          <w:bCs/>
          <w:color w:val="5B2D8E"/>
          <w:sz w:val="32"/>
          <w:szCs w:val="32"/>
        </w:rPr>
        <w:t xml:space="preserve">Day 21: [Topic - see outline]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DE7F6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Learning Target: </w:t>
            </w:r>
            <w:r>
              <w:rPr>
                <w:rFonts w:ascii="Arial" w:cs="Arial" w:eastAsia="Arial" w:hAnsi="Arial"/>
                <w:sz w:val="22"/>
                <w:szCs w:val="22"/>
              </w:rPr>
              <w:t xml:space="preserve">I can [specific skill].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Lesson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560"/>
      </w:tblGrid>
      <w:tr>
        <w:tc>
          <w:tcPr>
            <w:tcW w:type="dxa" w:w="180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</w:t>
            </w:r>
          </w:p>
        </w:tc>
        <w:tc>
          <w:tcPr>
            <w:tcW w:type="dxa" w:w="7560"/>
            <w:tcBorders>
              <w:top w:val="single" w:color="5B2D8E" w:sz="1"/>
              <w:left w:val="single" w:color="5B2D8E" w:sz="1"/>
              <w:bottom w:val="single" w:color="5B2D8E" w:sz="1"/>
              <w:right w:val="single" w:color="5B2D8E" w:sz="1"/>
            </w:tcBorders>
            <w:shd w:fill="5B2D8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Activity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Bell Ringer / Review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Quick Write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(3 min — written or verbal):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    What do you already know about [Topic - see outline]? Write down at least one thing.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444444"/>
                <w:sz w:val="20"/>
                <w:szCs w:val="20"/>
              </w:rPr>
              <w:t xml:space="preserve">Today’s Goal: Explore and practice [Topic - see outline].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Pair-share your response, then 2–3 students share with the class.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Mini Lesson: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[Topic - see outline]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000000"/>
                <w:sz w:val="20"/>
                <w:szCs w:val="20"/>
              </w:rPr>
              <w:t xml:space="preserve">Learning Target: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333333"/>
                <w:sz w:val="20"/>
                <w:szCs w:val="20"/>
              </w:rPr>
              <w:t xml:space="preserve">I can [specific skill].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[Core terms and Unity-specific context]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Live Demo —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type examples as students follow along in their own editor.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/>
                <w:iCs/>
                <w:color w:val="555555"/>
                <w:sz w:val="20"/>
                <w:szCs w:val="20"/>
              </w:rPr>
              <w:t xml:space="preserve">→ Check for Understanding: </w:t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pause and cold-call: “Can someone explain what we just did in their own words?”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Guided Practice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[3-5 tasks]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models — students try alongside, then compare results.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15–20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Independent Practice / Code Along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Beginner: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Intermediate: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0"/>
                <w:szCs w:val="20"/>
              </w:rPr>
              <w:t xml:space="preserve">    Challenge: </w:t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[Problem]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Teacher circulates — offer hints, check for understanding.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5 min</w:t>
            </w:r>
          </w:p>
        </w:tc>
        <w:tc>
          <w:tcPr>
            <w:tcW w:type="dxa" w:w="7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 w:before="80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22"/>
                <w:szCs w:val="22"/>
              </w:rPr>
              <w:t xml:space="preserve">Exit Ticket / Wrap-Up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0"/>
                <w:szCs w:val="20"/>
              </w:rPr>
              <w:t xml:space="preserve">Name one new thing you learned about [Topic - see outline] today and one question you still have.</w:t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sz w:val="20"/>
                <w:szCs w:val="20"/>
              </w:rPr>
              <w:br/>
              <w:t xml:space="preserve"/>
            </w:r>
            <w:r>
              <w:rPr>
                <w:rFonts w:ascii="Arial" w:cs="Arial" w:eastAsia="Arial" w:hAnsi="Arial"/>
                <w:b w:val="false"/>
                <w:bCs w:val="false"/>
                <w:i/>
                <w:iCs/>
                <w:color w:val="555555"/>
                <w:sz w:val="20"/>
                <w:szCs w:val="20"/>
              </w:rPr>
              <w:t xml:space="preserve">→ 3–2–1: Name 3 things learned, 2 new vocab words, 1 question you still have.</w:t>
            </w:r>
          </w:p>
        </w:tc>
      </w:tr>
    </w:tbl>
    <w:p>
      <w:pPr>
        <w:spacing w:after="20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Key Concepts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[Core terms and Unity-specific context]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Code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using UnityEngine;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public class ExampleClass : MonoBehaviour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{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    // Example implementation</w:t>
            </w:r>
          </w:p>
          <w:p>
            <w:pPr>
              <w:spacing w:after="20"/>
            </w:pPr>
            <w:r>
              <w:rPr>
                <w:rFonts w:ascii="Courier New" w:cs="Courier New" w:eastAsia="Courier New" w:hAnsi="Courier New"/>
                <w:sz w:val="18"/>
                <w:szCs w:val="18"/>
              </w:rPr>
              <w:t xml:space="preserve">}</w:t>
            </w:r>
          </w:p>
        </w:tc>
      </w:tr>
    </w:tbl>
    <w:p>
      <w:pPr>
        <w:spacing w:after="12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Guided Practice</w:t>
      </w:r>
    </w:p>
    <w:p>
      <w:pPr>
        <w:spacing w:after="60"/>
      </w:pPr>
      <w:r>
        <w:rPr>
          <w:rFonts w:ascii="Arial" w:cs="Arial" w:eastAsia="Arial" w:hAnsi="Arial"/>
          <w:sz w:val="20"/>
          <w:szCs w:val="20"/>
        </w:rPr>
        <w:t xml:space="preserve">[3-5 tasks]</w:t>
      </w:r>
    </w:p>
    <w:p>
      <w:pPr>
        <w:spacing w:after="160"/>
      </w:pPr>
    </w:p>
    <w:p>
      <w:pPr>
        <w:pBdr>
          <w:bottom w:val="single" w:color="5B2D8E" w:sz="4" w:space="4"/>
        </w:pBdr>
        <w:spacing w:after="100" w:before="120"/>
      </w:pPr>
      <w:r>
        <w:rPr>
          <w:rFonts w:ascii="Arial" w:cs="Arial" w:eastAsia="Arial" w:hAnsi="Arial"/>
          <w:b/>
          <w:bCs/>
          <w:color w:val="5B2D8E"/>
          <w:sz w:val="24"/>
          <w:szCs w:val="24"/>
        </w:rPr>
        <w:t xml:space="preserve">Practice Problems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1: </w:t>
      </w:r>
      <w:r>
        <w:rPr>
          <w:rFonts w:ascii="Arial" w:cs="Arial" w:eastAsia="Arial" w:hAnsi="Arial"/>
          <w:sz w:val="20"/>
          <w:szCs w:val="20"/>
        </w:rPr>
        <w:t xml:space="preserve">Beginner: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2: </w:t>
      </w:r>
      <w:r>
        <w:rPr>
          <w:rFonts w:ascii="Arial" w:cs="Arial" w:eastAsia="Arial" w:hAnsi="Arial"/>
          <w:sz w:val="20"/>
          <w:szCs w:val="20"/>
        </w:rPr>
        <w:t xml:space="preserve">Intermediate:  [Problem]</w:t>
      </w:r>
    </w:p>
    <w:p>
      <w:pPr>
        <w:spacing w:after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Problem 3: </w:t>
      </w:r>
      <w:r>
        <w:rPr>
          <w:rFonts w:ascii="Arial" w:cs="Arial" w:eastAsia="Arial" w:hAnsi="Arial"/>
          <w:sz w:val="20"/>
          <w:szCs w:val="20"/>
        </w:rPr>
        <w:t xml:space="preserve">Challenge:  [Problem]</w:t>
      </w:r>
    </w:p>
    <w:p>
      <w:pPr>
        <w:spacing w:before="300"/>
      </w:pPr>
    </w:p>
    <w:p>
      <w:pPr>
        <w:pBdr>
          <w:top w:val="single" w:color="5B2D8E" w:sz="6" w:space="8"/>
        </w:pBdr>
        <w:spacing w:before="200"/>
      </w:pPr>
      <w:r>
        <w:rPr>
          <w:rFonts w:ascii="Arial" w:cs="Arial" w:eastAsia="Arial" w:hAnsi="Arial"/>
          <w:i/>
          <w:iCs/>
          <w:color w:val="808080"/>
          <w:sz w:val="16"/>
          <w:szCs w:val="16"/>
        </w:rPr>
        <w:t xml:space="preserve">Video Game Design — Full Year Curriculum</w:t>
      </w:r>
    </w:p>
    <w:sectPr>
      <w:pgSz w:w="12240" w:h="15840" w:orient="portrait"/>
      <w:pgMar w:top="1080" w:right="1200" w:bottom="108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2026-03-30T22:09:16.030Z</dcterms:created>
  <dcterms:modified xsi:type="dcterms:W3CDTF">2026-03-30T22:09:16.030Z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