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07DB8" w:val="clear"/>
            <w:tcMar>
              <w:top w:type="dxa" w:w="240"/>
              <w:left w:type="dxa" w:w="240"/>
              <w:bottom w:type="dxa" w:w="240"/>
              <w:right w:type="dxa" w:w="240"/>
            </w:tcMar>
          </w:tcPr>
          <w:p>
            <w:pPr>
              <w:spacing w:after="40" w:before="0"/>
              <w:jc w:val="left"/>
            </w:pPr>
            <w:r>
              <w:rPr>
                <w:rFonts w:ascii="Arial" w:cs="Arial" w:eastAsia="Arial" w:hAnsi="Arial"/>
                <w:b/>
                <w:bCs/>
                <w:i w:val="false"/>
                <w:iCs w:val="false"/>
                <w:color w:val="FFFFFF"/>
                <w:sz w:val="16"/>
                <w:szCs w:val="16"/>
              </w:rPr>
              <w:t xml:space="preserve">COMPETITOR BRAND OVERVIEW</w:t>
            </w:r>
          </w:p>
          <w:p>
            <w:pPr>
              <w:spacing w:after="40" w:before="0"/>
              <w:jc w:val="left"/>
            </w:pPr>
            <w:r>
              <w:rPr>
                <w:rFonts w:ascii="Arial" w:cs="Arial" w:eastAsia="Arial" w:hAnsi="Arial"/>
                <w:b/>
                <w:bCs/>
                <w:i w:val="false"/>
                <w:iCs w:val="false"/>
                <w:color w:val="FFFFFF"/>
                <w:sz w:val="48"/>
                <w:szCs w:val="48"/>
              </w:rPr>
              <w:t xml:space="preserve">Dell</w:t>
            </w:r>
          </w:p>
          <w:p>
            <w:pPr>
              <w:spacing w:after="0" w:before="0"/>
              <w:jc w:val="left"/>
            </w:pPr>
            <w:r>
              <w:rPr>
                <w:rFonts w:ascii="Arial" w:cs="Arial" w:eastAsia="Arial" w:hAnsi="Arial"/>
                <w:b w:val="false"/>
                <w:bCs w:val="false"/>
                <w:i/>
                <w:iCs/>
                <w:color w:val="FFFFFF"/>
                <w:sz w:val="20"/>
                <w:szCs w:val="20"/>
              </w:rPr>
              <w:t xml:space="preserve">"Technologies That Drive Human Progress"</w:t>
            </w:r>
          </w:p>
        </w:tc>
      </w:tr>
    </w:tbl>
    <w:p>
      <w:pPr>
        <w:spacing w:after="8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4F4F4" w:val="clear"/>
            <w:tcMar>
              <w:top w:type="dxa" w:w="60"/>
              <w:left w:type="dxa" w:w="180"/>
              <w:bottom w:type="dxa" w:w="60"/>
              <w:right w:type="dxa" w:w="180"/>
            </w:tcMar>
          </w:tcPr>
          <w:p>
            <w:pPr>
              <w:spacing w:after="120" w:before="0"/>
              <w:jc w:val="left"/>
            </w:pPr>
            <w:r>
              <w:rPr>
                <w:rFonts w:ascii="Arial" w:cs="Arial" w:eastAsia="Arial" w:hAnsi="Arial"/>
                <w:b/>
                <w:bCs/>
                <w:i w:val="false"/>
                <w:iCs w:val="false"/>
                <w:color w:val="555555"/>
                <w:sz w:val="18"/>
                <w:szCs w:val="18"/>
              </w:rPr>
              <w:t xml:space="preserve">Founded: </w:t>
            </w:r>
            <w:r>
              <w:rPr>
                <w:rFonts w:ascii="Arial" w:cs="Arial" w:eastAsia="Arial" w:hAnsi="Arial"/>
                <w:b w:val="false"/>
                <w:bCs w:val="false"/>
                <w:i w:val="false"/>
                <w:iCs w:val="false"/>
                <w:color w:val="555555"/>
                <w:sz w:val="18"/>
                <w:szCs w:val="18"/>
              </w:rPr>
              <w:t xml:space="preserve">1984 · Round Rock, TX</w:t>
            </w:r>
          </w:p>
        </w:tc>
      </w:tr>
    </w:tbl>
    <w:p>
      <w:pPr>
        <w:spacing w:after="12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07DB8" w:val="clear"/>
            <w:tcMar>
              <w:top w:type="dxa" w:w="60"/>
              <w:left w:type="dxa" w:w="180"/>
              <w:bottom w:type="dxa" w:w="60"/>
              <w:right w:type="dxa" w:w="180"/>
            </w:tcMar>
          </w:tcPr>
          <w:p>
            <w:pPr>
              <w:spacing w:after="120" w:before="0"/>
              <w:jc w:val="left"/>
            </w:pPr>
            <w:r>
              <w:rPr>
                <w:rFonts w:ascii="Arial" w:cs="Arial" w:eastAsia="Arial" w:hAnsi="Arial"/>
                <w:b/>
                <w:bCs/>
                <w:i w:val="false"/>
                <w:iCs w:val="false"/>
                <w:color w:val="FFFFFF"/>
                <w:sz w:val="18"/>
                <w:szCs w:val="18"/>
              </w:rPr>
              <w:t xml:space="preserve">SECTION 1  ·  BRAND IDENTITY &amp; POSITIONING</w:t>
            </w:r>
          </w:p>
        </w:tc>
      </w:tr>
    </w:tbl>
    <w:p>
      <w:pPr>
        <w:spacing w:after="8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left w:val="nil"/>
              <w:bottom w:val="nil"/>
              <w:right w:val="nil"/>
            </w:tcBorders>
            <w:shd w:fill="EFF8FF" w:val="clear"/>
            <w:tcMar>
              <w:top w:type="dxa" w:w="100"/>
              <w:left w:type="dxa" w:w="180"/>
              <w:bottom w:type="dxa" w:w="100"/>
              <w:right w:type="dxa" w:w="120"/>
            </w:tcMar>
          </w:tcPr>
          <w:p>
            <w:pPr>
              <w:spacing w:after="120" w:before="0"/>
              <w:jc w:val="left"/>
            </w:pPr>
            <w:r>
              <w:rPr>
                <w:rFonts w:ascii="Arial" w:cs="Arial" w:eastAsia="Arial" w:hAnsi="Arial"/>
                <w:b/>
                <w:bCs/>
                <w:i w:val="false"/>
                <w:iCs w:val="false"/>
                <w:color w:val="007DB8"/>
                <w:sz w:val="19"/>
                <w:szCs w:val="19"/>
              </w:rPr>
              <w:t xml:space="preserve">Brand Voice</w:t>
            </w:r>
          </w:p>
        </w:tc>
        <w:tc>
          <w:tcPr>
            <w:tcW w:type="dxa" w:w="7560"/>
            <w:tcBorders>
              <w:top w:val="nil"/>
              <w:left w:val="nil"/>
              <w:bottom w:val="nil"/>
              <w:right w:val="nil"/>
            </w:tcBorders>
            <w:shd w:fill="FFFFFF" w:val="clear"/>
            <w:tcMar>
              <w:top w:type="dxa" w:w="100"/>
              <w:left w:type="dxa" w:w="120"/>
              <w:bottom w:type="dxa" w:w="100"/>
              <w:right w:type="dxa" w:w="180"/>
            </w:tcMar>
          </w:tcPr>
          <w:p>
            <w:pPr>
              <w:spacing w:after="0" w:before="0"/>
              <w:jc w:val="left"/>
            </w:pPr>
            <w:r>
              <w:rPr>
                <w:rFonts w:ascii="Arial" w:cs="Arial" w:eastAsia="Arial" w:hAnsi="Arial"/>
                <w:b w:val="false"/>
                <w:bCs w:val="false"/>
                <w:i w:val="false"/>
                <w:iCs w:val="false"/>
                <w:color w:val="333333"/>
                <w:sz w:val="19"/>
                <w:szCs w:val="19"/>
              </w:rPr>
              <w:t xml:space="preserve">Professional, reliable, and solution-focused. Dell speaks the language of the IT buyer and the enterprise decision-maker — practical, clear, and grounded in outcomes rather than emotion.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left w:val="nil"/>
              <w:bottom w:val="nil"/>
              <w:right w:val="nil"/>
            </w:tcBorders>
            <w:shd w:fill="EFF8FF" w:val="clear"/>
            <w:tcMar>
              <w:top w:type="dxa" w:w="100"/>
              <w:left w:type="dxa" w:w="180"/>
              <w:bottom w:type="dxa" w:w="100"/>
              <w:right w:type="dxa" w:w="120"/>
            </w:tcMar>
          </w:tcPr>
          <w:p>
            <w:pPr>
              <w:spacing w:after="120" w:before="0"/>
              <w:jc w:val="left"/>
            </w:pPr>
            <w:r>
              <w:rPr>
                <w:rFonts w:ascii="Arial" w:cs="Arial" w:eastAsia="Arial" w:hAnsi="Arial"/>
                <w:b/>
                <w:bCs/>
                <w:i w:val="false"/>
                <w:iCs w:val="false"/>
                <w:color w:val="007DB8"/>
                <w:sz w:val="19"/>
                <w:szCs w:val="19"/>
              </w:rPr>
              <w:t xml:space="preserve">Personality</w:t>
            </w:r>
          </w:p>
        </w:tc>
        <w:tc>
          <w:tcPr>
            <w:tcW w:type="dxa" w:w="7560"/>
            <w:tcBorders>
              <w:top w:val="nil"/>
              <w:left w:val="nil"/>
              <w:bottom w:val="nil"/>
              <w:right w:val="nil"/>
            </w:tcBorders>
            <w:shd w:fill="FFFFFF" w:val="clear"/>
            <w:tcMar>
              <w:top w:type="dxa" w:w="100"/>
              <w:left w:type="dxa" w:w="120"/>
              <w:bottom w:type="dxa" w:w="100"/>
              <w:right w:type="dxa" w:w="180"/>
            </w:tcMar>
          </w:tcPr>
          <w:p>
            <w:pPr>
              <w:spacing w:after="0" w:before="0"/>
              <w:jc w:val="left"/>
            </w:pPr>
            <w:r>
              <w:rPr>
                <w:rFonts w:ascii="Arial" w:cs="Arial" w:eastAsia="Arial" w:hAnsi="Arial"/>
                <w:b w:val="false"/>
                <w:bCs w:val="false"/>
                <w:i w:val="false"/>
                <w:iCs w:val="false"/>
                <w:color w:val="333333"/>
                <w:sz w:val="19"/>
                <w:szCs w:val="19"/>
              </w:rPr>
              <w:t xml:space="preserve">The Trusted Partner. Dell's brand identity is built on reliability and relationship. It's not the flashiest brand in tech, but it is one of the most trusted by businesses and institutions worldwide — the brand that's there when the stakes are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left w:val="nil"/>
              <w:bottom w:val="nil"/>
              <w:right w:val="nil"/>
            </w:tcBorders>
            <w:shd w:fill="EFF8FF" w:val="clear"/>
            <w:tcMar>
              <w:top w:type="dxa" w:w="100"/>
              <w:left w:type="dxa" w:w="180"/>
              <w:bottom w:type="dxa" w:w="100"/>
              <w:right w:type="dxa" w:w="120"/>
            </w:tcMar>
          </w:tcPr>
          <w:p>
            <w:pPr>
              <w:spacing w:after="120" w:before="0"/>
              <w:jc w:val="left"/>
            </w:pPr>
            <w:r>
              <w:rPr>
                <w:rFonts w:ascii="Arial" w:cs="Arial" w:eastAsia="Arial" w:hAnsi="Arial"/>
                <w:b/>
                <w:bCs/>
                <w:i w:val="false"/>
                <w:iCs w:val="false"/>
                <w:color w:val="007DB8"/>
                <w:sz w:val="19"/>
                <w:szCs w:val="19"/>
              </w:rPr>
              <w:t xml:space="preserve">Core Values</w:t>
            </w:r>
          </w:p>
        </w:tc>
        <w:tc>
          <w:tcPr>
            <w:tcW w:type="dxa" w:w="7560"/>
            <w:tcBorders>
              <w:top w:val="nil"/>
              <w:left w:val="nil"/>
              <w:bottom w:val="nil"/>
              <w:right w:val="nil"/>
            </w:tcBorders>
            <w:shd w:fill="FFFFFF" w:val="clear"/>
            <w:tcMar>
              <w:top w:type="dxa" w:w="100"/>
              <w:left w:type="dxa" w:w="120"/>
              <w:bottom w:type="dxa" w:w="100"/>
              <w:right w:type="dxa" w:w="180"/>
            </w:tcMar>
          </w:tcPr>
          <w:p>
            <w:pPr>
              <w:spacing w:after="0" w:before="0"/>
            </w:pPr>
            <w:r>
              <w:rPr>
                <w:rFonts w:ascii="Arial" w:cs="Arial" w:eastAsia="Arial" w:hAnsi="Arial"/>
                <w:b/>
                <w:bCs/>
                <w:color w:val="007DB8"/>
                <w:sz w:val="19"/>
                <w:szCs w:val="19"/>
              </w:rPr>
              <w:t xml:space="preserve">● </w:t>
            </w:r>
            <w:r>
              <w:rPr>
                <w:rFonts w:ascii="Arial" w:cs="Arial" w:eastAsia="Arial" w:hAnsi="Arial"/>
                <w:color w:val="333333"/>
                <w:sz w:val="19"/>
                <w:szCs w:val="19"/>
              </w:rPr>
              <w:t xml:space="preserve">Customer-first solutions</w:t>
            </w:r>
            <w:r>
              <w:rPr>
                <w:rFonts w:ascii="Arial" w:cs="Arial" w:eastAsia="Arial" w:hAnsi="Arial"/>
                <w:sz w:val="19"/>
                <w:szCs w:val="19"/>
              </w:rPr>
              <w:t xml:space="preserve">    </w:t>
            </w:r>
            <w:r>
              <w:rPr>
                <w:rFonts w:ascii="Arial" w:cs="Arial" w:eastAsia="Arial" w:hAnsi="Arial"/>
                <w:b/>
                <w:bCs/>
                <w:color w:val="007DB8"/>
                <w:sz w:val="19"/>
                <w:szCs w:val="19"/>
              </w:rPr>
              <w:t xml:space="preserve">● </w:t>
            </w:r>
            <w:r>
              <w:rPr>
                <w:rFonts w:ascii="Arial" w:cs="Arial" w:eastAsia="Arial" w:hAnsi="Arial"/>
                <w:color w:val="333333"/>
                <w:sz w:val="19"/>
                <w:szCs w:val="19"/>
              </w:rPr>
              <w:t xml:space="preserve">Innovation with purpose</w:t>
            </w:r>
            <w:r>
              <w:rPr>
                <w:rFonts w:ascii="Arial" w:cs="Arial" w:eastAsia="Arial" w:hAnsi="Arial"/>
                <w:sz w:val="19"/>
                <w:szCs w:val="19"/>
              </w:rPr>
              <w:t xml:space="preserve">    </w:t>
            </w:r>
            <w:r>
              <w:rPr>
                <w:rFonts w:ascii="Arial" w:cs="Arial" w:eastAsia="Arial" w:hAnsi="Arial"/>
                <w:b/>
                <w:bCs/>
                <w:color w:val="007DB8"/>
                <w:sz w:val="19"/>
                <w:szCs w:val="19"/>
              </w:rPr>
              <w:t xml:space="preserve">● </w:t>
            </w:r>
            <w:r>
              <w:rPr>
                <w:rFonts w:ascii="Arial" w:cs="Arial" w:eastAsia="Arial" w:hAnsi="Arial"/>
                <w:color w:val="333333"/>
                <w:sz w:val="19"/>
                <w:szCs w:val="19"/>
              </w:rPr>
              <w:t xml:space="preserve">Operational excellence</w:t>
            </w:r>
            <w:r>
              <w:rPr>
                <w:rFonts w:ascii="Arial" w:cs="Arial" w:eastAsia="Arial" w:hAnsi="Arial"/>
                <w:sz w:val="19"/>
                <w:szCs w:val="19"/>
              </w:rPr>
              <w:t xml:space="preserve">    </w:t>
            </w:r>
            <w:r>
              <w:rPr>
                <w:rFonts w:ascii="Arial" w:cs="Arial" w:eastAsia="Arial" w:hAnsi="Arial"/>
                <w:b/>
                <w:bCs/>
                <w:color w:val="007DB8"/>
                <w:sz w:val="19"/>
                <w:szCs w:val="19"/>
              </w:rPr>
              <w:t xml:space="preserve">● </w:t>
            </w:r>
            <w:r>
              <w:rPr>
                <w:rFonts w:ascii="Arial" w:cs="Arial" w:eastAsia="Arial" w:hAnsi="Arial"/>
                <w:color w:val="333333"/>
                <w:sz w:val="19"/>
                <w:szCs w:val="19"/>
              </w:rPr>
              <w:t xml:space="preserve">Sustainability &amp; inclusion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left w:val="nil"/>
              <w:bottom w:val="nil"/>
              <w:right w:val="nil"/>
            </w:tcBorders>
            <w:shd w:fill="EFF8FF" w:val="clear"/>
            <w:tcMar>
              <w:top w:type="dxa" w:w="100"/>
              <w:left w:type="dxa" w:w="180"/>
              <w:bottom w:type="dxa" w:w="100"/>
              <w:right w:type="dxa" w:w="120"/>
            </w:tcMar>
          </w:tcPr>
          <w:p>
            <w:pPr>
              <w:spacing w:after="120" w:before="0"/>
              <w:jc w:val="left"/>
            </w:pPr>
            <w:r>
              <w:rPr>
                <w:rFonts w:ascii="Arial" w:cs="Arial" w:eastAsia="Arial" w:hAnsi="Arial"/>
                <w:b/>
                <w:bCs/>
                <w:i w:val="false"/>
                <w:iCs w:val="false"/>
                <w:color w:val="007DB8"/>
                <w:sz w:val="19"/>
                <w:szCs w:val="19"/>
              </w:rPr>
              <w:t xml:space="preserve">Positioning</w:t>
            </w:r>
          </w:p>
        </w:tc>
        <w:tc>
          <w:tcPr>
            <w:tcW w:type="dxa" w:w="7560"/>
            <w:tcBorders>
              <w:top w:val="nil"/>
              <w:left w:val="nil"/>
              <w:bottom w:val="nil"/>
              <w:right w:val="nil"/>
            </w:tcBorders>
            <w:shd w:fill="FFFFFF" w:val="clear"/>
            <w:tcMar>
              <w:top w:type="dxa" w:w="100"/>
              <w:left w:type="dxa" w:w="120"/>
              <w:bottom w:type="dxa" w:w="100"/>
              <w:right w:type="dxa" w:w="180"/>
            </w:tcMar>
          </w:tcPr>
          <w:p>
            <w:pPr>
              <w:spacing w:after="0" w:before="0"/>
              <w:jc w:val="left"/>
            </w:pPr>
            <w:r>
              <w:rPr>
                <w:rFonts w:ascii="Arial" w:cs="Arial" w:eastAsia="Arial" w:hAnsi="Arial"/>
                <w:b w:val="false"/>
                <w:bCs w:val="false"/>
                <w:i w:val="false"/>
                <w:iCs w:val="false"/>
                <w:color w:val="333333"/>
                <w:sz w:val="19"/>
                <w:szCs w:val="19"/>
              </w:rPr>
              <w:t xml:space="preserve">A global technology leader in PCs, servers, storage, and cloud infrastructure serving consumers, SMBs, and Fortune 500 enterprises. Dell differentiates through its direct sales model, supply chain strength, and end-to-end IT ecosystem from device to data center.</w:t>
            </w:r>
          </w:p>
        </w:tc>
      </w:tr>
    </w:tbl>
    <w:p>
      <w:pPr>
        <w:spacing w:after="16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07DB8" w:val="clear"/>
            <w:tcMar>
              <w:top w:type="dxa" w:w="60"/>
              <w:left w:type="dxa" w:w="180"/>
              <w:bottom w:type="dxa" w:w="60"/>
              <w:right w:type="dxa" w:w="180"/>
            </w:tcMar>
          </w:tcPr>
          <w:p>
            <w:pPr>
              <w:spacing w:after="120" w:before="0"/>
              <w:jc w:val="left"/>
            </w:pPr>
            <w:r>
              <w:rPr>
                <w:rFonts w:ascii="Arial" w:cs="Arial" w:eastAsia="Arial" w:hAnsi="Arial"/>
                <w:b/>
                <w:bCs/>
                <w:i w:val="false"/>
                <w:iCs w:val="false"/>
                <w:color w:val="FFFFFF"/>
                <w:sz w:val="18"/>
                <w:szCs w:val="18"/>
              </w:rPr>
              <w:t xml:space="preserve">SECTION 2  ·  VISUAL IDENTITY</w:t>
            </w:r>
          </w:p>
        </w:tc>
      </w:tr>
    </w:tbl>
    <w:p>
      <w:pPr>
        <w:spacing w:after="8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left w:val="nil"/>
              <w:bottom w:val="nil"/>
              <w:right w:val="nil"/>
            </w:tcBorders>
            <w:shd w:fill="EFF8FF" w:val="clear"/>
            <w:tcMar>
              <w:top w:type="dxa" w:w="100"/>
              <w:left w:type="dxa" w:w="180"/>
              <w:bottom w:type="dxa" w:w="100"/>
              <w:right w:type="dxa" w:w="120"/>
            </w:tcMar>
          </w:tcPr>
          <w:p>
            <w:pPr>
              <w:spacing w:after="120" w:before="0"/>
              <w:jc w:val="left"/>
            </w:pPr>
            <w:r>
              <w:rPr>
                <w:rFonts w:ascii="Arial" w:cs="Arial" w:eastAsia="Arial" w:hAnsi="Arial"/>
                <w:b/>
                <w:bCs/>
                <w:i w:val="false"/>
                <w:iCs w:val="false"/>
                <w:color w:val="007DB8"/>
                <w:sz w:val="19"/>
                <w:szCs w:val="19"/>
              </w:rPr>
              <w:t xml:space="preserve">Color Palette</w:t>
            </w:r>
          </w:p>
        </w:tc>
        <w:tc>
          <w:tcPr>
            <w:tcW w:type="dxa" w:w="7560"/>
            <w:tcBorders>
              <w:top w:val="nil"/>
              <w:left w:val="nil"/>
              <w:bottom w:val="nil"/>
              <w:right w:val="nil"/>
            </w:tcBorders>
            <w:shd w:fill="FFFFFF" w:val="clear"/>
            <w:tcMar>
              <w:top w:type="dxa" w:w="60"/>
              <w:left w:type="dxa" w:w="120"/>
              <w:bottom w:type="dxa" w:w="60"/>
              <w:right w:type="dxa" w:w="180"/>
            </w:tcMar>
          </w:tcPr>
          <w:tbl>
            <w:tblPr>
              <w:tblW w:type="dxa" w:w="72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5060"/>
            </w:tblGrid>
            <w:tr>
              <w:tc>
                <w:tcPr>
                  <w:tcW w:type="dxa" w:w="400"/>
                  <w:tcBorders>
                    <w:top w:val="nil"/>
                    <w:left w:val="nil"/>
                    <w:bottom w:val="nil"/>
                    <w:right w:val="nil"/>
                  </w:tcBorders>
                  <w:shd w:fill="007DB8" w:val="clear"/>
                  <w:tcMar>
                    <w:top w:type="dxa" w:w="40"/>
                    <w:left w:type="dxa" w:w="40"/>
                    <w:bottom w:type="dxa" w:w="40"/>
                    <w:right w:type="dxa" w:w="40"/>
                  </w:tcMar>
                </w:tcPr>
                <w:p/>
              </w:tc>
              <w:tc>
                <w:tcPr>
                  <w:tcW w:type="dxa" w:w="1800"/>
                  <w:tcBorders>
                    <w:top w:val="nil"/>
                    <w:left w:val="nil"/>
                    <w:bottom w:val="nil"/>
                    <w:right w:val="nil"/>
                  </w:tcBorders>
                  <w:shd w:fill="FFFFFF" w:val="clear"/>
                  <w:tcMar>
                    <w:top w:type="dxa" w:w="100"/>
                    <w:left w:type="dxa" w:w="140"/>
                    <w:bottom w:type="dxa" w:w="100"/>
                    <w:right w:type="dxa" w:w="140"/>
                  </w:tcMar>
                </w:tcPr>
                <w:p>
                  <w:pPr>
                    <w:spacing w:after="120" w:before="0"/>
                    <w:jc w:val="left"/>
                  </w:pPr>
                  <w:r>
                    <w:rPr>
                      <w:rFonts w:ascii="Courier New" w:cs="Courier New" w:eastAsia="Courier New" w:hAnsi="Courier New"/>
                      <w:b w:val="false"/>
                      <w:bCs w:val="false"/>
                      <w:i w:val="false"/>
                      <w:iCs w:val="false"/>
                      <w:color w:val="555555"/>
                      <w:sz w:val="18"/>
                      <w:szCs w:val="18"/>
                    </w:rPr>
                    <w:t xml:space="preserve">#007DB8</w:t>
                  </w:r>
                </w:p>
              </w:tc>
              <w:tc>
                <w:tcPr>
                  <w:tcW w:type="dxa" w:w="7160"/>
                  <w:tcBorders>
                    <w:top w:val="nil"/>
                    <w:left w:val="nil"/>
                    <w:bottom w:val="nil"/>
                    <w:right w:val="nil"/>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444444"/>
                      <w:sz w:val="18"/>
                      <w:szCs w:val="18"/>
                    </w:rPr>
                    <w:t xml:space="preserve">Dell Blue — trust, technology, reliability</w:t>
                  </w:r>
                </w:p>
              </w:tc>
            </w:tr>
            <w:tr>
              <w:tc>
                <w:tcPr>
                  <w:tcW w:type="dxa" w:w="400"/>
                  <w:tcBorders>
                    <w:top w:val="nil"/>
                    <w:left w:val="nil"/>
                    <w:bottom w:val="nil"/>
                    <w:right w:val="nil"/>
                  </w:tcBorders>
                  <w:shd w:fill="FFFFFF" w:val="clear"/>
                  <w:tcMar>
                    <w:top w:type="dxa" w:w="40"/>
                    <w:left w:type="dxa" w:w="40"/>
                    <w:bottom w:type="dxa" w:w="40"/>
                    <w:right w:type="dxa" w:w="40"/>
                  </w:tcMar>
                </w:tcPr>
                <w:p/>
              </w:tc>
              <w:tc>
                <w:tcPr>
                  <w:tcW w:type="dxa" w:w="1800"/>
                  <w:tcBorders>
                    <w:top w:val="nil"/>
                    <w:left w:val="nil"/>
                    <w:bottom w:val="nil"/>
                    <w:right w:val="nil"/>
                  </w:tcBorders>
                  <w:shd w:fill="FFFFFF" w:val="clear"/>
                  <w:tcMar>
                    <w:top w:type="dxa" w:w="100"/>
                    <w:left w:type="dxa" w:w="140"/>
                    <w:bottom w:type="dxa" w:w="100"/>
                    <w:right w:type="dxa" w:w="140"/>
                  </w:tcMar>
                </w:tcPr>
                <w:p>
                  <w:pPr>
                    <w:spacing w:after="120" w:before="0"/>
                    <w:jc w:val="left"/>
                  </w:pPr>
                  <w:r>
                    <w:rPr>
                      <w:rFonts w:ascii="Courier New" w:cs="Courier New" w:eastAsia="Courier New" w:hAnsi="Courier New"/>
                      <w:b w:val="false"/>
                      <w:bCs w:val="false"/>
                      <w:i w:val="false"/>
                      <w:iCs w:val="false"/>
                      <w:color w:val="555555"/>
                      <w:sz w:val="18"/>
                      <w:szCs w:val="18"/>
                    </w:rPr>
                    <w:t xml:space="preserve">#FFFFFF</w:t>
                  </w:r>
                </w:p>
              </w:tc>
              <w:tc>
                <w:tcPr>
                  <w:tcW w:type="dxa" w:w="7160"/>
                  <w:tcBorders>
                    <w:top w:val="nil"/>
                    <w:left w:val="nil"/>
                    <w:bottom w:val="nil"/>
                    <w:right w:val="nil"/>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444444"/>
                      <w:sz w:val="18"/>
                      <w:szCs w:val="18"/>
                    </w:rPr>
                    <w:t xml:space="preserve">White — clarity, professional space</w:t>
                  </w:r>
                </w:p>
              </w:tc>
            </w:tr>
            <w:tr>
              <w:tc>
                <w:tcPr>
                  <w:tcW w:type="dxa" w:w="400"/>
                  <w:tcBorders>
                    <w:top w:val="nil"/>
                    <w:left w:val="nil"/>
                    <w:bottom w:val="nil"/>
                    <w:right w:val="nil"/>
                  </w:tcBorders>
                  <w:shd w:fill="111111" w:val="clear"/>
                  <w:tcMar>
                    <w:top w:type="dxa" w:w="40"/>
                    <w:left w:type="dxa" w:w="40"/>
                    <w:bottom w:type="dxa" w:w="40"/>
                    <w:right w:type="dxa" w:w="40"/>
                  </w:tcMar>
                </w:tcPr>
                <w:p/>
              </w:tc>
              <w:tc>
                <w:tcPr>
                  <w:tcW w:type="dxa" w:w="1800"/>
                  <w:tcBorders>
                    <w:top w:val="nil"/>
                    <w:left w:val="nil"/>
                    <w:bottom w:val="nil"/>
                    <w:right w:val="nil"/>
                  </w:tcBorders>
                  <w:shd w:fill="FFFFFF" w:val="clear"/>
                  <w:tcMar>
                    <w:top w:type="dxa" w:w="100"/>
                    <w:left w:type="dxa" w:w="140"/>
                    <w:bottom w:type="dxa" w:w="100"/>
                    <w:right w:type="dxa" w:w="140"/>
                  </w:tcMar>
                </w:tcPr>
                <w:p>
                  <w:pPr>
                    <w:spacing w:after="120" w:before="0"/>
                    <w:jc w:val="left"/>
                  </w:pPr>
                  <w:r>
                    <w:rPr>
                      <w:rFonts w:ascii="Courier New" w:cs="Courier New" w:eastAsia="Courier New" w:hAnsi="Courier New"/>
                      <w:b w:val="false"/>
                      <w:bCs w:val="false"/>
                      <w:i w:val="false"/>
                      <w:iCs w:val="false"/>
                      <w:color w:val="555555"/>
                      <w:sz w:val="18"/>
                      <w:szCs w:val="18"/>
                    </w:rPr>
                    <w:t xml:space="preserve">#111111</w:t>
                  </w:r>
                </w:p>
              </w:tc>
              <w:tc>
                <w:tcPr>
                  <w:tcW w:type="dxa" w:w="7160"/>
                  <w:tcBorders>
                    <w:top w:val="nil"/>
                    <w:left w:val="nil"/>
                    <w:bottom w:val="nil"/>
                    <w:right w:val="nil"/>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444444"/>
                      <w:sz w:val="18"/>
                      <w:szCs w:val="18"/>
                    </w:rPr>
                    <w:t xml:space="preserve">Black — enterprise authority</w:t>
                  </w:r>
                </w:p>
              </w:tc>
            </w:tr>
            <w:tr>
              <w:tc>
                <w:tcPr>
                  <w:tcW w:type="dxa" w:w="400"/>
                  <w:tcBorders>
                    <w:top w:val="nil"/>
                    <w:left w:val="nil"/>
                    <w:bottom w:val="nil"/>
                    <w:right w:val="nil"/>
                  </w:tcBorders>
                  <w:shd w:fill="00B4D8" w:val="clear"/>
                  <w:tcMar>
                    <w:top w:type="dxa" w:w="40"/>
                    <w:left w:type="dxa" w:w="40"/>
                    <w:bottom w:type="dxa" w:w="40"/>
                    <w:right w:type="dxa" w:w="40"/>
                  </w:tcMar>
                </w:tcPr>
                <w:p/>
              </w:tc>
              <w:tc>
                <w:tcPr>
                  <w:tcW w:type="dxa" w:w="1800"/>
                  <w:tcBorders>
                    <w:top w:val="nil"/>
                    <w:left w:val="nil"/>
                    <w:bottom w:val="nil"/>
                    <w:right w:val="nil"/>
                  </w:tcBorders>
                  <w:shd w:fill="FFFFFF" w:val="clear"/>
                  <w:tcMar>
                    <w:top w:type="dxa" w:w="100"/>
                    <w:left w:type="dxa" w:w="140"/>
                    <w:bottom w:type="dxa" w:w="100"/>
                    <w:right w:type="dxa" w:w="140"/>
                  </w:tcMar>
                </w:tcPr>
                <w:p>
                  <w:pPr>
                    <w:spacing w:after="120" w:before="0"/>
                    <w:jc w:val="left"/>
                  </w:pPr>
                  <w:r>
                    <w:rPr>
                      <w:rFonts w:ascii="Courier New" w:cs="Courier New" w:eastAsia="Courier New" w:hAnsi="Courier New"/>
                      <w:b w:val="false"/>
                      <w:bCs w:val="false"/>
                      <w:i w:val="false"/>
                      <w:iCs w:val="false"/>
                      <w:color w:val="555555"/>
                      <w:sz w:val="18"/>
                      <w:szCs w:val="18"/>
                    </w:rPr>
                    <w:t xml:space="preserve">#00B4D8</w:t>
                  </w:r>
                </w:p>
              </w:tc>
              <w:tc>
                <w:tcPr>
                  <w:tcW w:type="dxa" w:w="7160"/>
                  <w:tcBorders>
                    <w:top w:val="nil"/>
                    <w:left w:val="nil"/>
                    <w:bottom w:val="nil"/>
                    <w:right w:val="nil"/>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444444"/>
                      <w:sz w:val="18"/>
                      <w:szCs w:val="18"/>
                    </w:rPr>
                    <w:t xml:space="preserve">Light Blue — innovation, digital future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left w:val="nil"/>
              <w:bottom w:val="nil"/>
              <w:right w:val="nil"/>
            </w:tcBorders>
            <w:shd w:fill="EFF8FF" w:val="clear"/>
            <w:tcMar>
              <w:top w:type="dxa" w:w="100"/>
              <w:left w:type="dxa" w:w="180"/>
              <w:bottom w:type="dxa" w:w="100"/>
              <w:right w:type="dxa" w:w="120"/>
            </w:tcMar>
          </w:tcPr>
          <w:p>
            <w:pPr>
              <w:spacing w:after="120" w:before="0"/>
              <w:jc w:val="left"/>
            </w:pPr>
            <w:r>
              <w:rPr>
                <w:rFonts w:ascii="Arial" w:cs="Arial" w:eastAsia="Arial" w:hAnsi="Arial"/>
                <w:b/>
                <w:bCs/>
                <w:i w:val="false"/>
                <w:iCs w:val="false"/>
                <w:color w:val="007DB8"/>
                <w:sz w:val="19"/>
                <w:szCs w:val="19"/>
              </w:rPr>
              <w:t xml:space="preserve">Typography</w:t>
            </w:r>
          </w:p>
        </w:tc>
        <w:tc>
          <w:tcPr>
            <w:tcW w:type="dxa" w:w="7560"/>
            <w:tcBorders>
              <w:top w:val="nil"/>
              <w:left w:val="nil"/>
              <w:bottom w:val="nil"/>
              <w:right w:val="nil"/>
            </w:tcBorders>
            <w:shd w:fill="FFFFFF" w:val="clear"/>
            <w:tcMar>
              <w:top w:type="dxa" w:w="100"/>
              <w:left w:type="dxa" w:w="120"/>
              <w:bottom w:type="dxa" w:w="100"/>
              <w:right w:type="dxa" w:w="180"/>
            </w:tcMar>
          </w:tcPr>
          <w:p>
            <w:pPr>
              <w:spacing w:after="0" w:before="0"/>
              <w:jc w:val="left"/>
            </w:pPr>
            <w:r>
              <w:rPr>
                <w:rFonts w:ascii="Arial" w:cs="Arial" w:eastAsia="Arial" w:hAnsi="Arial"/>
                <w:b w:val="false"/>
                <w:bCs w:val="false"/>
                <w:i w:val="false"/>
                <w:iCs w:val="false"/>
                <w:color w:val="333333"/>
                <w:sz w:val="19"/>
                <w:szCs w:val="19"/>
              </w:rPr>
              <w:t xml:space="preserve">Clean, highly legible sans-serif. Dell's type system prioritizes readability in data-dense contexts — spec sheets, product pages, presentations. Type is never decorative; it exists to communicate efficiently.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left w:val="nil"/>
              <w:bottom w:val="nil"/>
              <w:right w:val="nil"/>
            </w:tcBorders>
            <w:shd w:fill="EFF8FF" w:val="clear"/>
            <w:tcMar>
              <w:top w:type="dxa" w:w="100"/>
              <w:left w:type="dxa" w:w="180"/>
              <w:bottom w:type="dxa" w:w="100"/>
              <w:right w:type="dxa" w:w="120"/>
            </w:tcMar>
          </w:tcPr>
          <w:p>
            <w:pPr>
              <w:spacing w:after="120" w:before="0"/>
              <w:jc w:val="left"/>
            </w:pPr>
            <w:r>
              <w:rPr>
                <w:rFonts w:ascii="Arial" w:cs="Arial" w:eastAsia="Arial" w:hAnsi="Arial"/>
                <w:b/>
                <w:bCs/>
                <w:i w:val="false"/>
                <w:iCs w:val="false"/>
                <w:color w:val="007DB8"/>
                <w:sz w:val="19"/>
                <w:szCs w:val="19"/>
              </w:rPr>
              <w:t xml:space="preserve">Logo</w:t>
            </w:r>
          </w:p>
        </w:tc>
        <w:tc>
          <w:tcPr>
            <w:tcW w:type="dxa" w:w="7560"/>
            <w:tcBorders>
              <w:top w:val="nil"/>
              <w:left w:val="nil"/>
              <w:bottom w:val="nil"/>
              <w:right w:val="nil"/>
            </w:tcBorders>
            <w:shd w:fill="FFFFFF" w:val="clear"/>
            <w:tcMar>
              <w:top w:type="dxa" w:w="100"/>
              <w:left w:type="dxa" w:w="120"/>
              <w:bottom w:type="dxa" w:w="100"/>
              <w:right w:type="dxa" w:w="180"/>
            </w:tcMar>
          </w:tcPr>
          <w:p>
            <w:pPr>
              <w:spacing w:after="0" w:before="0"/>
              <w:jc w:val="left"/>
            </w:pPr>
            <w:r>
              <w:rPr>
                <w:rFonts w:ascii="Arial" w:cs="Arial" w:eastAsia="Arial" w:hAnsi="Arial"/>
                <w:b w:val="false"/>
                <w:bCs w:val="false"/>
                <w:i w:val="false"/>
                <w:iCs w:val="false"/>
                <w:color w:val="333333"/>
                <w:sz w:val="19"/>
                <w:szCs w:val="19"/>
              </w:rPr>
              <w:t xml:space="preserve">The Dell wordmark features a distinctive tilted "E" — a subtle but memorable mark that has remained consistent since the 1990s. The tilt represents forward motion and differentiation. Simple, clean, and endlessly scalable.</w:t>
            </w:r>
          </w:p>
        </w:tc>
      </w:tr>
    </w:tbl>
    <w:p>
      <w:pPr>
        <w:spacing w:after="20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4F4F4" w:val="clear"/>
            <w:tcMar>
              <w:top w:type="dxa" w:w="80"/>
              <w:left w:type="dxa" w:w="180"/>
              <w:bottom w:type="dxa" w:w="80"/>
              <w:right w:type="dxa" w:w="180"/>
            </w:tcMar>
          </w:tcPr>
          <w:p>
            <w:pPr>
              <w:spacing w:after="120" w:before="0"/>
              <w:jc w:val="left"/>
            </w:pPr>
            <w:r>
              <w:rPr>
                <w:rFonts w:ascii="Arial" w:cs="Arial" w:eastAsia="Arial" w:hAnsi="Arial"/>
                <w:b w:val="false"/>
                <w:bCs w:val="false"/>
                <w:i/>
                <w:iCs/>
                <w:color w:val="888888"/>
                <w:sz w:val="16"/>
                <w:szCs w:val="16"/>
              </w:rPr>
              <w:t xml:space="preserve">This overview is a teaching resource prepared for the BrandOps simulation. All brand information is derived from publicly available sources for educational purposes only.</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2026-08-18T20:00:51.752Z</dcterms:created>
  <dcterms:modified xsi:type="dcterms:W3CDTF">2026-08-18T20:00:51.752Z</dcterms:modified>
</cp:coreProperties>
</file>

<file path=docProps/custom.xml><?xml version="1.0" encoding="utf-8"?>
<Properties xmlns="http://schemas.openxmlformats.org/officeDocument/2006/custom-properties" xmlns:vt="http://schemas.openxmlformats.org/officeDocument/2006/docPropsVTypes"/>
</file>