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D4290A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COMPETITOR BRAND OVERVIEW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Electronic Arts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20"/>
                <w:szCs w:val="20"/>
              </w:rPr>
              <w:t xml:space="preserve">"Challenge Everything"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Founded: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1982 · Redwood City, CA</w:t>
            </w:r>
          </w:p>
        </w:tc>
      </w:tr>
    </w:tbl>
    <w:p>
      <w:pPr>
        <w:spacing w:after="12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D4290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SECTION 1  ·  BRAND IDENTITY &amp; POSITIONING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shd w:fill="FFF3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290A"/>
                <w:sz w:val="19"/>
                <w:szCs w:val="19"/>
              </w:rPr>
              <w:t xml:space="preserve">Brand Voice</w:t>
            </w:r>
          </w:p>
        </w:tc>
        <w:tc>
          <w:tcPr>
            <w:tcW w:type="dxa" w:w="75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Energetic, inclusive, and community-first. EA talks to players as peers — competitive, passionate about craft, and invested in the game. It never talks down to its audience.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shd w:fill="FFF3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290A"/>
                <w:sz w:val="19"/>
                <w:szCs w:val="19"/>
              </w:rPr>
              <w:t xml:space="preserve">Personality</w:t>
            </w:r>
          </w:p>
        </w:tc>
        <w:tc>
          <w:tcPr>
            <w:tcW w:type="dxa" w:w="75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The Champion. EA's identity centers on competition, mastery, and belonging to a global gaming community. It celebrates both the casual player and the esports competitor.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shd w:fill="FFF3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290A"/>
                <w:sz w:val="19"/>
                <w:szCs w:val="19"/>
              </w:rPr>
              <w:t xml:space="preserve">Core Values</w:t>
            </w:r>
          </w:p>
        </w:tc>
        <w:tc>
          <w:tcPr>
            <w:tcW w:type="dxa" w:w="75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4290A"/>
                <w:sz w:val="19"/>
                <w:szCs w:val="19"/>
              </w:rPr>
              <w:t xml:space="preserve">●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Player-first innovation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  <w:r>
              <w:rPr>
                <w:rFonts w:ascii="Arial" w:cs="Arial" w:eastAsia="Arial" w:hAnsi="Arial"/>
                <w:b/>
                <w:bCs/>
                <w:color w:val="D4290A"/>
                <w:sz w:val="19"/>
                <w:szCs w:val="19"/>
              </w:rPr>
              <w:t xml:space="preserve">●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Inclusion &amp; belonging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  <w:r>
              <w:rPr>
                <w:rFonts w:ascii="Arial" w:cs="Arial" w:eastAsia="Arial" w:hAnsi="Arial"/>
                <w:b/>
                <w:bCs/>
                <w:color w:val="D4290A"/>
                <w:sz w:val="19"/>
                <w:szCs w:val="19"/>
              </w:rPr>
              <w:t xml:space="preserve">●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Creative excellence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  <w:r>
              <w:rPr>
                <w:rFonts w:ascii="Arial" w:cs="Arial" w:eastAsia="Arial" w:hAnsi="Arial"/>
                <w:b/>
                <w:bCs/>
                <w:color w:val="D4290A"/>
                <w:sz w:val="19"/>
                <w:szCs w:val="19"/>
              </w:rPr>
              <w:t xml:space="preserve">●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Community-driven play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shd w:fill="FFF3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290A"/>
                <w:sz w:val="19"/>
                <w:szCs w:val="19"/>
              </w:rPr>
              <w:t xml:space="preserve">Positioning</w:t>
            </w:r>
          </w:p>
        </w:tc>
        <w:tc>
          <w:tcPr>
            <w:tcW w:type="dxa" w:w="75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One of the world's largest interactive entertainment companies, best known for sports simulations (FIFA/EA Sports FC, Madden, NBA Live) and action franchises (Battlefield, Apex Legends). Competes on the breadth of its IP library and the depth of its sports licensing.</w:t>
            </w:r>
          </w:p>
        </w:tc>
      </w:tr>
    </w:tbl>
    <w:p>
      <w:pPr>
        <w:spacing w:after="16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D4290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SECTION 2  ·  VISUAL IDENTITY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shd w:fill="FFF3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290A"/>
                <w:sz w:val="19"/>
                <w:szCs w:val="19"/>
              </w:rPr>
              <w:t xml:space="preserve">Color Palette</w:t>
            </w:r>
          </w:p>
        </w:tc>
        <w:tc>
          <w:tcPr>
            <w:tcW w:type="dxa" w:w="75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80"/>
            </w:tcMar>
          </w:tcPr>
          <w:tbl>
            <w:tblPr>
              <w:tblW w:type="dxa" w:w="72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1800"/>
              <w:gridCol w:w="5060"/>
            </w:tblGrid>
            <w:tr>
              <w:tc>
                <w:tcPr>
                  <w:tcW w:type="dxa" w:w="400"/>
                  <w:tcBorders>
                    <w:top w:val="nil"/>
                    <w:left w:val="nil"/>
                    <w:bottom w:val="nil"/>
                    <w:right w:val="nil"/>
                  </w:tcBorders>
                  <w:shd w:fill="D4290A" w:val="clear"/>
                  <w:tcMar>
                    <w:top w:type="dxa" w:w="40"/>
                    <w:left w:type="dxa" w:w="40"/>
                    <w:bottom w:type="dxa" w:w="40"/>
                    <w:right w:type="dxa" w:w="40"/>
                  </w:tcMar>
                </w:tcPr>
                <w:p/>
              </w:tc>
              <w:tc>
                <w:tcPr>
                  <w:tcW w:type="dxa" w:w="1800"/>
                  <w:tcBorders>
                    <w:top w:val="nil"/>
                    <w:left w:val="nil"/>
                    <w:bottom w:val="nil"/>
                    <w:right w:val="nil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120" w:before="0"/>
                    <w:jc w:val="left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555555"/>
                      <w:sz w:val="18"/>
                      <w:szCs w:val="18"/>
                    </w:rPr>
                    <w:t xml:space="preserve">#D4290A</w:t>
                  </w:r>
                </w:p>
              </w:tc>
              <w:tc>
                <w:tcPr>
                  <w:tcW w:type="dxa" w:w="7160"/>
                  <w:tcBorders>
                    <w:top w:val="nil"/>
                    <w:left w:val="nil"/>
                    <w:bottom w:val="nil"/>
                    <w:right w:val="nil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12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44444"/>
                      <w:sz w:val="18"/>
                      <w:szCs w:val="18"/>
                    </w:rPr>
                    <w:t xml:space="preserve">EA Red — competition, heat, intensity</w:t>
                  </w:r>
                </w:p>
              </w:tc>
            </w:tr>
            <w:tr>
              <w:tc>
                <w:tcPr>
                  <w:tcW w:type="dxa" w:w="400"/>
                  <w:tcBorders>
                    <w:top w:val="nil"/>
                    <w:left w:val="nil"/>
                    <w:bottom w:val="nil"/>
                    <w:right w:val="nil"/>
                  </w:tcBorders>
                  <w:shd w:fill="111111" w:val="clear"/>
                  <w:tcMar>
                    <w:top w:type="dxa" w:w="40"/>
                    <w:left w:type="dxa" w:w="40"/>
                    <w:bottom w:type="dxa" w:w="40"/>
                    <w:right w:type="dxa" w:w="40"/>
                  </w:tcMar>
                </w:tcPr>
                <w:p/>
              </w:tc>
              <w:tc>
                <w:tcPr>
                  <w:tcW w:type="dxa" w:w="1800"/>
                  <w:tcBorders>
                    <w:top w:val="nil"/>
                    <w:left w:val="nil"/>
                    <w:bottom w:val="nil"/>
                    <w:right w:val="nil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120" w:before="0"/>
                    <w:jc w:val="left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555555"/>
                      <w:sz w:val="18"/>
                      <w:szCs w:val="18"/>
                    </w:rPr>
                    <w:t xml:space="preserve">#111111</w:t>
                  </w:r>
                </w:p>
              </w:tc>
              <w:tc>
                <w:tcPr>
                  <w:tcW w:type="dxa" w:w="7160"/>
                  <w:tcBorders>
                    <w:top w:val="nil"/>
                    <w:left w:val="nil"/>
                    <w:bottom w:val="nil"/>
                    <w:right w:val="nil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12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44444"/>
                      <w:sz w:val="18"/>
                      <w:szCs w:val="18"/>
                    </w:rPr>
                    <w:t xml:space="preserve">EA Black — sophistication, gaming dark mode</w:t>
                  </w:r>
                </w:p>
              </w:tc>
            </w:tr>
            <w:tr>
              <w:tc>
                <w:tcPr>
                  <w:tcW w:type="dxa" w:w="400"/>
                  <w:tcBorders>
                    <w:top w:val="nil"/>
                    <w:left w:val="nil"/>
                    <w:bottom w:val="nil"/>
                    <w:right w:val="nil"/>
                  </w:tcBorders>
                  <w:shd w:fill="FFFFFF" w:val="clear"/>
                  <w:tcMar>
                    <w:top w:type="dxa" w:w="40"/>
                    <w:left w:type="dxa" w:w="40"/>
                    <w:bottom w:type="dxa" w:w="40"/>
                    <w:right w:type="dxa" w:w="40"/>
                  </w:tcMar>
                </w:tcPr>
                <w:p/>
              </w:tc>
              <w:tc>
                <w:tcPr>
                  <w:tcW w:type="dxa" w:w="1800"/>
                  <w:tcBorders>
                    <w:top w:val="nil"/>
                    <w:left w:val="nil"/>
                    <w:bottom w:val="nil"/>
                    <w:right w:val="nil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120" w:before="0"/>
                    <w:jc w:val="left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555555"/>
                      <w:sz w:val="18"/>
                      <w:szCs w:val="18"/>
                    </w:rPr>
                    <w:t xml:space="preserve">#FFFFFF</w:t>
                  </w:r>
                </w:p>
              </w:tc>
              <w:tc>
                <w:tcPr>
                  <w:tcW w:type="dxa" w:w="7160"/>
                  <w:tcBorders>
                    <w:top w:val="nil"/>
                    <w:left w:val="nil"/>
                    <w:bottom w:val="nil"/>
                    <w:right w:val="nil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12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44444"/>
                      <w:sz w:val="18"/>
                      <w:szCs w:val="18"/>
                    </w:rPr>
                    <w:t xml:space="preserve">White — clarity, digital space</w:t>
                  </w:r>
                </w:p>
              </w:tc>
            </w:tr>
            <w:tr>
              <w:tc>
                <w:tcPr>
                  <w:tcW w:type="dxa" w:w="400"/>
                  <w:tcBorders>
                    <w:top w:val="nil"/>
                    <w:left w:val="nil"/>
                    <w:bottom w:val="nil"/>
                    <w:right w:val="nil"/>
                  </w:tcBorders>
                  <w:shd w:fill="FF6B00" w:val="clear"/>
                  <w:tcMar>
                    <w:top w:type="dxa" w:w="40"/>
                    <w:left w:type="dxa" w:w="40"/>
                    <w:bottom w:type="dxa" w:w="40"/>
                    <w:right w:type="dxa" w:w="40"/>
                  </w:tcMar>
                </w:tcPr>
                <w:p/>
              </w:tc>
              <w:tc>
                <w:tcPr>
                  <w:tcW w:type="dxa" w:w="1800"/>
                  <w:tcBorders>
                    <w:top w:val="nil"/>
                    <w:left w:val="nil"/>
                    <w:bottom w:val="nil"/>
                    <w:right w:val="nil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120" w:before="0"/>
                    <w:jc w:val="left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555555"/>
                      <w:sz w:val="18"/>
                      <w:szCs w:val="18"/>
                    </w:rPr>
                    <w:t xml:space="preserve">#FF6B00</w:t>
                  </w:r>
                </w:p>
              </w:tc>
              <w:tc>
                <w:tcPr>
                  <w:tcW w:type="dxa" w:w="7160"/>
                  <w:tcBorders>
                    <w:top w:val="nil"/>
                    <w:left w:val="nil"/>
                    <w:bottom w:val="nil"/>
                    <w:right w:val="nil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12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44444"/>
                      <w:sz w:val="18"/>
                      <w:szCs w:val="18"/>
                    </w:rPr>
                    <w:t xml:space="preserve">EA Orange — energy, sports, action</w:t>
                  </w:r>
                </w:p>
              </w:tc>
            </w:tr>
          </w:tbl>
          <w:p/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shd w:fill="FFF3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290A"/>
                <w:sz w:val="19"/>
                <w:szCs w:val="19"/>
              </w:rPr>
              <w:t xml:space="preserve">Typography</w:t>
            </w:r>
          </w:p>
        </w:tc>
        <w:tc>
          <w:tcPr>
            <w:tcW w:type="dxa" w:w="75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Modern geometric sans-serif. Clean, highly legible at small sizes (critical for game UI). Headlines use bold weight with tight tracking. EA Sports sub-brand uses wider, more athletic type.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shd w:fill="FFF3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290A"/>
                <w:sz w:val="19"/>
                <w:szCs w:val="19"/>
              </w:rPr>
              <w:t xml:space="preserve">Logo</w:t>
            </w:r>
          </w:p>
        </w:tc>
        <w:tc>
          <w:tcPr>
            <w:tcW w:type="dxa" w:w="75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The current EA logo is a bold stylized "EA" in black on white (or reversed) inside a clean geometric container — a major rebrand away from the previous colorful streak-mark. Simple, scalable, and digital-native.</w:t>
            </w:r>
          </w:p>
        </w:tc>
      </w:tr>
    </w:tbl>
    <w:p>
      <w:pPr>
        <w:spacing w:after="20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This overview is a teaching resource prepared for the BrandOps simulation. All brand information is derived from publicly available sources for educational purposes only.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2026-08-18T20:00:51.713Z</dcterms:created>
  <dcterms:modified xsi:type="dcterms:W3CDTF">2026-08-18T20:00:51.713Z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