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11111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COMPETITOR BRAND OVERVIEW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48"/>
                <w:szCs w:val="48"/>
              </w:rPr>
              <w:t xml:space="preserve">Prada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"Where the Intellectual Meets the Sensual"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Founded: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1913 · Milan, Italy</w:t>
            </w:r>
          </w:p>
        </w:tc>
      </w:tr>
    </w:tbl>
    <w:p>
      <w:pPr>
        <w:spacing w:after="12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1111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1  ·  BRAND IDENTITY &amp; POSITIONING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AF9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Brand Voice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Understated, intellectual, and intentionally provocative. Prada lets the design speak — copy is minimal and conceptual, never selling features. The brand challenges you to think, not just consume.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AF9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Personality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Intellectual Provocateur. Prada occupies a singular position in luxury: it is simultaneously heritage and avant-garde, classic and transgressive. It attracts people who see fashion as philosophy.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AF9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Core Values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Craftsmanship &amp; heritage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Intellectual elegance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Transgressive creativity</w:t>
            </w:r>
            <w:r>
              <w:rPr>
                <w:rFonts w:ascii="Arial" w:cs="Arial" w:eastAsia="Arial" w:hAnsi="Arial"/>
                <w:sz w:val="19"/>
                <w:szCs w:val="19"/>
              </w:rPr>
              <w:t xml:space="preserve">    </w:t>
            </w: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●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Uncompromising quality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AF9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Positioning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An Italian luxury house that treats fashion as a conceptual art form. Prada competes in the ultra-luxury tier against Chanel, Louis Vuitton, and Gucci — but differentiates through cerebral, anti-trend positioning and institutional ties to architecture and art.</w:t>
            </w:r>
          </w:p>
        </w:tc>
      </w:tr>
    </w:tbl>
    <w:p>
      <w:pPr>
        <w:spacing w:after="16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111111" w:val="clear"/>
            <w:tcMar>
              <w:top w:type="dxa" w:w="60"/>
              <w:left w:type="dxa" w:w="180"/>
              <w:bottom w:type="dxa" w:w="6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 2  ·  VISUAL IDENTITY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AF9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Color Palette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80"/>
            </w:tcMar>
          </w:tcPr>
          <w:tbl>
            <w:tblPr>
              <w:tblW w:type="dxa" w:w="72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1800"/>
              <w:gridCol w:w="5060"/>
            </w:tblGrid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111111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#111111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Prada Black — absolute authority, timelessness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#FFFFFF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White — minimalism, space, purity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8B1A1A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#8B1A1A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Deep Red — heritage, desire, craft</w:t>
                  </w:r>
                </w:p>
              </w:tc>
            </w:tr>
            <w:tr>
              <w:tc>
                <w:tcPr>
                  <w:tcW w:type="dxa" w:w="400"/>
                  <w:tcBorders>
                    <w:top w:val="nil"/>
                    <w:left w:val="nil"/>
                    <w:bottom w:val="nil"/>
                    <w:right w:val="nil"/>
                  </w:tcBorders>
                  <w:shd w:fill="E8E3D8" w:val="clear"/>
                  <w:tcMar>
                    <w:top w:type="dxa" w:w="40"/>
                    <w:left w:type="dxa" w:w="40"/>
                    <w:bottom w:type="dxa" w:w="40"/>
                    <w:right w:type="dxa" w:w="40"/>
                  </w:tcMar>
                </w:tcPr>
                <w:p/>
              </w:tc>
              <w:tc>
                <w:tcPr>
                  <w:tcW w:type="dxa" w:w="180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i w:val="false"/>
                      <w:iCs w:val="false"/>
                      <w:color w:val="555555"/>
                      <w:sz w:val="18"/>
                      <w:szCs w:val="18"/>
                    </w:rPr>
                    <w:t xml:space="preserve">#E8E3D8</w:t>
                  </w:r>
                </w:p>
              </w:tc>
              <w:tc>
                <w:tcPr>
                  <w:tcW w:type="dxa" w:w="7160"/>
                  <w:tcBorders>
                    <w:top w:val="nil"/>
                    <w:left w:val="nil"/>
                    <w:bottom w:val="nil"/>
                    <w:right w:val="nil"/>
                  </w:tcBorders>
                  <w:shd w:fill="FFFFFF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</w:tcPr>
                <w:p>
                  <w:pPr>
                    <w:spacing w:after="120" w:before="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444444"/>
                      <w:sz w:val="18"/>
                      <w:szCs w:val="18"/>
                    </w:rPr>
                    <w:t xml:space="preserve">Prada Beige — warmth, Italian craftsmanship</w:t>
                  </w:r>
                </w:p>
              </w:tc>
            </w:tr>
          </w:tbl>
          <w:p/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AF9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Typography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Prada's wordmark uses a clean, refined sans-serif with precise letterform geometry. Body text is typically set in elegant serif. Typography is used with extreme restraint — white space communicates luxury more than any graphic element.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il"/>
              <w:left w:val="nil"/>
              <w:bottom w:val="nil"/>
              <w:right w:val="nil"/>
            </w:tcBorders>
            <w:shd w:fill="FAF9F7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Logo</w:t>
            </w:r>
          </w:p>
        </w:tc>
        <w:tc>
          <w:tcPr>
            <w:tcW w:type="dxa" w:w="7560"/>
            <w:tcBorders>
              <w:top w:val="nil"/>
              <w:left w:val="nil"/>
              <w:bottom w:val="nil"/>
              <w:right w:val="nil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8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The Prada wordmark is set in a distinctive font with slightly unusual letterform proportions — instantly recognizable, architecturally precise, never decorative. The enamel triangle logo (used on bags) references the company's original luggage heritage.</w:t>
            </w:r>
          </w:p>
        </w:tc>
      </w:tr>
    </w:tbl>
    <w:p>
      <w:pPr>
        <w:spacing w:after="20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F4F4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16"/>
                <w:szCs w:val="16"/>
              </w:rPr>
              <w:t xml:space="preserve">This overview is a teaching resource prepared for the BrandOps simulation. All brand information is derived from publicly available sources for educational purposes only.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2026-08-18T20:00:51.723Z</dcterms:created>
  <dcterms:modified xsi:type="dcterms:W3CDTF">2026-08-18T20:00:51.723Z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