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F36C7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COMPETITOR BRAND OVERVIEW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Unilever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"Making Sustainable Living Commonplace"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Founded: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1929 · London, UK</w:t>
            </w:r>
          </w:p>
        </w:tc>
      </w:tr>
    </w:tbl>
    <w:p>
      <w:pPr>
        <w:spacing w:after="12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F36C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 1  ·  BRAND IDENTITY &amp; POSITIONING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0F2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6C7"/>
                <w:sz w:val="19"/>
                <w:szCs w:val="19"/>
              </w:rPr>
              <w:t xml:space="preserve">Brand Voice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Purposeful, optimistic, and warmly human. Unilever communicates as a company that genuinely believes business and doing good are not in conflict — accessible and sincere, never corporate or cold.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0F2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6C7"/>
                <w:sz w:val="19"/>
                <w:szCs w:val="19"/>
              </w:rPr>
              <w:t xml:space="preserve">Personality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The Purposeful Giant. Unilever is one of the world's largest consumer goods companies — but its brand identity is built around people and planet, not scale. It leads with mission across every sub-brand from Dove to Hellmann's to Vaseline.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0F2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6C7"/>
                <w:sz w:val="19"/>
                <w:szCs w:val="19"/>
              </w:rPr>
              <w:t xml:space="preserve">Core Values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6C7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Sustainable living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1F36C7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Social equity &amp; inclusion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1F36C7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Human dignity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1F36C7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Science-backed product quality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0F2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6C7"/>
                <w:sz w:val="19"/>
                <w:szCs w:val="19"/>
              </w:rPr>
              <w:t xml:space="preserve">Positioning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One of the world's largest FMCG (fast-moving consumer goods) companies with 400+ brands spanning beauty, food, home care, and hygiene. Unilever differentiates through its Sustainable Living Plan — connecting ESG commitments to brand strategy across its entire portfolio.</w:t>
            </w:r>
          </w:p>
        </w:tc>
      </w:tr>
    </w:tbl>
    <w:p>
      <w:pPr>
        <w:spacing w:after="16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F36C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 2  ·  VISUAL IDENTITY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0F2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6C7"/>
                <w:sz w:val="19"/>
                <w:szCs w:val="19"/>
              </w:rPr>
              <w:t xml:space="preserve">Color Palette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80"/>
            </w:tcMar>
          </w:tcPr>
          <w:tbl>
            <w:tblPr>
              <w:tblW w:type="dxa" w:w="72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1800"/>
              <w:gridCol w:w="5060"/>
            </w:tblGrid>
            <w:tr>
              <w:tc>
                <w:tcPr>
                  <w:tcW w:type="dxa" w:w="400"/>
                  <w:tcBorders>
                    <w:top w:val="nil"/>
                    <w:left w:val="nil"/>
                    <w:bottom w:val="nil"/>
                    <w:right w:val="nil"/>
                  </w:tcBorders>
                  <w:shd w:fill="1F36C7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/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555555"/>
                      <w:sz w:val="18"/>
                      <w:szCs w:val="18"/>
                    </w:rPr>
                    <w:t xml:space="preserve">#1F36C7</w:t>
                  </w:r>
                </w:p>
              </w:tc>
              <w:tc>
                <w:tcPr>
                  <w:tcW w:type="dxa" w:w="71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Unilever Blue — trust, purpose, corporate confidence</w:t>
                  </w:r>
                </w:p>
              </w:tc>
            </w:tr>
            <w:tr>
              <w:tc>
                <w:tcPr>
                  <w:tcW w:type="dxa" w:w="400"/>
                  <w:tcBorders>
                    <w:top w:val="nil"/>
                    <w:left w:val="nil"/>
                    <w:bottom w:val="nil"/>
                    <w:right w:val="nil"/>
                  </w:tcBorders>
                  <w:shd w:fill="E8132A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/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555555"/>
                      <w:sz w:val="18"/>
                      <w:szCs w:val="18"/>
                    </w:rPr>
                    <w:t xml:space="preserve">#E8132A</w:t>
                  </w:r>
                </w:p>
              </w:tc>
              <w:tc>
                <w:tcPr>
                  <w:tcW w:type="dxa" w:w="71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Unilever Red — energy, vitality, humanity</w:t>
                  </w:r>
                </w:p>
              </w:tc>
            </w:tr>
            <w:tr>
              <w:tc>
                <w:tcPr>
                  <w:tcW w:type="dxa" w:w="4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/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555555"/>
                      <w:sz w:val="18"/>
                      <w:szCs w:val="18"/>
                    </w:rPr>
                    <w:t xml:space="preserve">#FFFFFF</w:t>
                  </w:r>
                </w:p>
              </w:tc>
              <w:tc>
                <w:tcPr>
                  <w:tcW w:type="dxa" w:w="71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White — openness, clarity, transparency</w:t>
                  </w:r>
                </w:p>
              </w:tc>
            </w:tr>
            <w:tr>
              <w:tc>
                <w:tcPr>
                  <w:tcW w:type="dxa" w:w="400"/>
                  <w:tcBorders>
                    <w:top w:val="nil"/>
                    <w:left w:val="nil"/>
                    <w:bottom w:val="nil"/>
                    <w:right w:val="nil"/>
                  </w:tcBorders>
                  <w:shd w:fill="F5A623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/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555555"/>
                      <w:sz w:val="18"/>
                      <w:szCs w:val="18"/>
                    </w:rPr>
                    <w:t xml:space="preserve">#F5A623</w:t>
                  </w:r>
                </w:p>
              </w:tc>
              <w:tc>
                <w:tcPr>
                  <w:tcW w:type="dxa" w:w="71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Gold — optimism, warmth, sustainability</w:t>
                  </w:r>
                </w:p>
              </w:tc>
            </w:tr>
          </w:tbl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0F2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6C7"/>
                <w:sz w:val="19"/>
                <w:szCs w:val="19"/>
              </w:rPr>
              <w:t xml:space="preserve">Typography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Clean modern sans-serif for the corporate brand. Sub-brands carry their own typographic personalities (e.g., Dove's warmth, AXE's edge). The parent Unilever mark prioritizes clarity and trustworthiness.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0F2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6C7"/>
                <w:sz w:val="19"/>
                <w:szCs w:val="19"/>
              </w:rPr>
              <w:t xml:space="preserve">Logo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The Unilever "U" is composed of 25 individual icons — each representing a brand, value, or sustainability commitment (a fish, a hand, a leaf, a bird, a heart, etc.). The U is a mosaic of purpose. Below it, "Unilever" is set in a confident blue sans-serif.</w:t>
            </w:r>
          </w:p>
        </w:tc>
      </w:tr>
    </w:tbl>
    <w:p>
      <w:pPr>
        <w:spacing w:after="20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This overview is a teaching resource prepared for the BrandOps simulation. All brand information is derived from publicly available sources for educational purposes only.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2026-08-18T20:00:51.761Z</dcterms:created>
  <dcterms:modified xsi:type="dcterms:W3CDTF">2026-08-18T20:00:51.761Z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