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41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geonor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de Análisis Agrícola Avanzado</w:t>
      </w:r>
    </w:p>
    <w:p>
      <w:pPr>
        <w:jc w:val="center"/>
      </w:pPr>
      <w:r>
        <w:rPr>
          <w:b/>
          <w:sz w:val="28"/>
        </w:rPr>
        <w:t>Proyecto: Agricultura Sostenible - La Cruz</w:t>
        <w:br/>
      </w:r>
      <w:r>
        <w:t>Fecha: 02/02/2026 03:22</w:t>
        <w:br/>
      </w:r>
      <w:r>
        <w:rPr>
          <w:b/>
        </w:rPr>
        <w:t>GEONORTH</w:t>
      </w:r>
    </w:p>
    <w:p>
      <w:pPr>
        <w:pStyle w:val="Heading1"/>
      </w:pPr>
      <w:r>
        <w:t>1. Resumen Ejecutivo</w:t>
      </w:r>
    </w:p>
    <w:p>
      <w:r>
        <w:t>El presente informe técnico detalla los resultados obtenidos mediante el procesamiento de datos satelitales y modelos geoespaciales aplicados al cultivo de Maíz en la zona de La Cruz. Se han evaluado indicadores clave de vigor vegetal, humedad del suelo, balance hídrico y potencial de rendimiento.</w:t>
      </w:r>
    </w:p>
    <w:p>
      <w:pPr>
        <w:pStyle w:val="Heading1"/>
      </w:pPr>
      <w:r>
        <w:t>2. Estadísticas y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Mín</w:t>
            </w:r>
          </w:p>
        </w:tc>
        <w:tc>
          <w:tcPr>
            <w:tcW w:type="dxa" w:w="1728"/>
          </w:tcPr>
          <w:p>
            <w:r>
              <w:t>Máx</w:t>
            </w:r>
          </w:p>
        </w:tc>
        <w:tc>
          <w:tcPr>
            <w:tcW w:type="dxa" w:w="1728"/>
          </w:tcPr>
          <w:p>
            <w:r>
              <w:t>Desv_Est</w:t>
            </w:r>
          </w:p>
        </w:tc>
      </w:tr>
      <w:tr>
        <w:tc>
          <w:tcPr>
            <w:tcW w:type="dxa" w:w="1728"/>
          </w:tcPr>
          <w:p>
            <w:r>
              <w:t>NDVI</w:t>
            </w:r>
          </w:p>
        </w:tc>
        <w:tc>
          <w:tcPr>
            <w:tcW w:type="dxa" w:w="1728"/>
          </w:tcPr>
          <w:p>
            <w:r>
              <w:t>0.461</w:t>
            </w:r>
          </w:p>
        </w:tc>
        <w:tc>
          <w:tcPr>
            <w:tcW w:type="dxa" w:w="1728"/>
          </w:tcPr>
          <w:p>
            <w:r>
              <w:t>0.341</w:t>
            </w:r>
          </w:p>
        </w:tc>
        <w:tc>
          <w:tcPr>
            <w:tcW w:type="dxa" w:w="1728"/>
          </w:tcPr>
          <w:p>
            <w:r>
              <w:t>0.694</w:t>
            </w:r>
          </w:p>
        </w:tc>
        <w:tc>
          <w:tcPr>
            <w:tcW w:type="dxa" w:w="1728"/>
          </w:tcPr>
          <w:p>
            <w:r>
              <w:t>0.091</w:t>
            </w:r>
          </w:p>
        </w:tc>
      </w:tr>
      <w:tr>
        <w:tc>
          <w:tcPr>
            <w:tcW w:type="dxa" w:w="1728"/>
          </w:tcPr>
          <w:p>
            <w:r>
              <w:t>NDWI</w:t>
            </w:r>
          </w:p>
        </w:tc>
        <w:tc>
          <w:tcPr>
            <w:tcW w:type="dxa" w:w="1728"/>
          </w:tcPr>
          <w:p>
            <w:r>
              <w:t>-0.493</w:t>
            </w:r>
          </w:p>
        </w:tc>
        <w:tc>
          <w:tcPr>
            <w:tcW w:type="dxa" w:w="1728"/>
          </w:tcPr>
          <w:p>
            <w:r>
              <w:t>-0.616</w:t>
            </w:r>
          </w:p>
        </w:tc>
        <w:tc>
          <w:tcPr>
            <w:tcW w:type="dxa" w:w="1728"/>
          </w:tcPr>
          <w:p>
            <w:r>
              <w:t>-0.424</w:t>
            </w:r>
          </w:p>
        </w:tc>
        <w:tc>
          <w:tcPr>
            <w:tcW w:type="dxa" w:w="1728"/>
          </w:tcPr>
          <w:p>
            <w:r>
              <w:t>0.043</w:t>
            </w:r>
          </w:p>
        </w:tc>
      </w:tr>
      <w:tr>
        <w:tc>
          <w:tcPr>
            <w:tcW w:type="dxa" w:w="1728"/>
          </w:tcPr>
          <w:p>
            <w:r>
              <w:t>SAVI</w:t>
            </w:r>
          </w:p>
        </w:tc>
        <w:tc>
          <w:tcPr>
            <w:tcW w:type="dxa" w:w="1728"/>
          </w:tcPr>
          <w:p>
            <w:r>
              <w:t>0.290</w:t>
            </w:r>
          </w:p>
        </w:tc>
        <w:tc>
          <w:tcPr>
            <w:tcW w:type="dxa" w:w="1728"/>
          </w:tcPr>
          <w:p>
            <w:r>
              <w:t>0.227</w:t>
            </w:r>
          </w:p>
        </w:tc>
        <w:tc>
          <w:tcPr>
            <w:tcW w:type="dxa" w:w="1728"/>
          </w:tcPr>
          <w:p>
            <w:r>
              <w:t>0.406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</w:tr>
      <w:tr>
        <w:tc>
          <w:tcPr>
            <w:tcW w:type="dxa" w:w="1728"/>
          </w:tcPr>
          <w:p>
            <w:r>
              <w:t>BSI</w:t>
            </w:r>
          </w:p>
        </w:tc>
        <w:tc>
          <w:tcPr>
            <w:tcW w:type="dxa" w:w="1728"/>
          </w:tcPr>
          <w:p>
            <w:r>
              <w:t>0.137</w:t>
            </w:r>
          </w:p>
        </w:tc>
        <w:tc>
          <w:tcPr>
            <w:tcW w:type="dxa" w:w="1728"/>
          </w:tcPr>
          <w:p>
            <w:r>
              <w:t>-0.076</w:t>
            </w:r>
          </w:p>
        </w:tc>
        <w:tc>
          <w:tcPr>
            <w:tcW w:type="dxa" w:w="1728"/>
          </w:tcPr>
          <w:p>
            <w:r>
              <w:t>0.235</w:t>
            </w:r>
          </w:p>
        </w:tc>
        <w:tc>
          <w:tcPr>
            <w:tcW w:type="dxa" w:w="1728"/>
          </w:tcPr>
          <w:p>
            <w:r>
              <w:t>0.076</w:t>
            </w:r>
          </w:p>
        </w:tc>
      </w:tr>
      <w:tr>
        <w:tc>
          <w:tcPr>
            <w:tcW w:type="dxa" w:w="1728"/>
          </w:tcPr>
          <w:p>
            <w:r>
              <w:t>YIELD</w:t>
            </w:r>
          </w:p>
        </w:tc>
        <w:tc>
          <w:tcPr>
            <w:tcW w:type="dxa" w:w="1728"/>
          </w:tcPr>
          <w:p>
            <w:r>
              <w:t>6148.760</w:t>
            </w:r>
          </w:p>
        </w:tc>
        <w:tc>
          <w:tcPr>
            <w:tcW w:type="dxa" w:w="1728"/>
          </w:tcPr>
          <w:p>
            <w:r>
              <w:t>4545.576</w:t>
            </w:r>
          </w:p>
        </w:tc>
        <w:tc>
          <w:tcPr>
            <w:tcW w:type="dxa" w:w="1728"/>
          </w:tcPr>
          <w:p>
            <w:r>
              <w:t>9250.424</w:t>
            </w:r>
          </w:p>
        </w:tc>
        <w:tc>
          <w:tcPr>
            <w:tcW w:type="dxa" w:w="1728"/>
          </w:tcPr>
          <w:p>
            <w:r>
              <w:t>1211.078</w:t>
            </w:r>
          </w:p>
        </w:tc>
      </w:tr>
      <w:tr>
        <w:tc>
          <w:tcPr>
            <w:tcW w:type="dxa" w:w="1728"/>
          </w:tcPr>
          <w:p>
            <w:r>
              <w:t>WATER_BALANCE</w:t>
            </w:r>
          </w:p>
        </w:tc>
        <w:tc>
          <w:tcPr>
            <w:tcW w:type="dxa" w:w="1728"/>
          </w:tcPr>
          <w:p>
            <w:r>
              <w:t>655.051</w:t>
            </w:r>
          </w:p>
        </w:tc>
        <w:tc>
          <w:tcPr>
            <w:tcW w:type="dxa" w:w="1728"/>
          </w:tcPr>
          <w:p>
            <w:r>
              <w:t>654.680</w:t>
            </w:r>
          </w:p>
        </w:tc>
        <w:tc>
          <w:tcPr>
            <w:tcW w:type="dxa" w:w="1728"/>
          </w:tcPr>
          <w:p>
            <w:r>
              <w:t>655.243</w:t>
            </w:r>
          </w:p>
        </w:tc>
        <w:tc>
          <w:tcPr>
            <w:tcW w:type="dxa" w:w="1728"/>
          </w:tcPr>
          <w:p>
            <w:r>
              <w:t>0.145</w:t>
            </w:r>
          </w:p>
        </w:tc>
      </w:tr>
      <w:tr>
        <w:tc>
          <w:tcPr>
            <w:tcW w:type="dxa" w:w="1728"/>
          </w:tcPr>
          <w:p>
            <w:r>
              <w:t>PRECIPITATION</w:t>
            </w:r>
          </w:p>
        </w:tc>
        <w:tc>
          <w:tcPr>
            <w:tcW w:type="dxa" w:w="1728"/>
          </w:tcPr>
          <w:p>
            <w:r>
              <w:t>663.764</w:t>
            </w:r>
          </w:p>
        </w:tc>
        <w:tc>
          <w:tcPr>
            <w:tcW w:type="dxa" w:w="1728"/>
          </w:tcPr>
          <w:p>
            <w:r>
              <w:t>663.764</w:t>
            </w:r>
          </w:p>
        </w:tc>
        <w:tc>
          <w:tcPr>
            <w:tcW w:type="dxa" w:w="1728"/>
          </w:tcPr>
          <w:p>
            <w:r>
              <w:t>663.764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28.443</w:t>
            </w:r>
          </w:p>
        </w:tc>
        <w:tc>
          <w:tcPr>
            <w:tcW w:type="dxa" w:w="1728"/>
          </w:tcPr>
          <w:p>
            <w:r>
              <w:t>28.443</w:t>
            </w:r>
          </w:p>
        </w:tc>
        <w:tc>
          <w:tcPr>
            <w:tcW w:type="dxa" w:w="1728"/>
          </w:tcPr>
          <w:p>
            <w:r>
              <w:t>28.443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ELEVATION</w:t>
            </w:r>
          </w:p>
        </w:tc>
        <w:tc>
          <w:tcPr>
            <w:tcW w:type="dxa" w:w="1728"/>
          </w:tcPr>
          <w:p>
            <w:r>
              <w:t>298.105</w:t>
            </w:r>
          </w:p>
        </w:tc>
        <w:tc>
          <w:tcPr>
            <w:tcW w:type="dxa" w:w="1728"/>
          </w:tcPr>
          <w:p>
            <w:r>
              <w:t>295.000</w:t>
            </w:r>
          </w:p>
        </w:tc>
        <w:tc>
          <w:tcPr>
            <w:tcW w:type="dxa" w:w="1728"/>
          </w:tcPr>
          <w:p>
            <w:r>
              <w:t>300.000</w:t>
            </w:r>
          </w:p>
        </w:tc>
        <w:tc>
          <w:tcPr>
            <w:tcW w:type="dxa" w:w="1728"/>
          </w:tcPr>
          <w:p>
            <w:r>
              <w:t>1.385</w:t>
            </w:r>
          </w:p>
        </w:tc>
      </w:tr>
      <w:tr>
        <w:tc>
          <w:tcPr>
            <w:tcW w:type="dxa" w:w="1728"/>
          </w:tcPr>
          <w:p>
            <w:r>
              <w:t>SLOPE</w:t>
            </w:r>
          </w:p>
        </w:tc>
        <w:tc>
          <w:tcPr>
            <w:tcW w:type="dxa" w:w="1728"/>
          </w:tcPr>
          <w:p>
            <w:r>
              <w:t>2.433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4.182</w:t>
            </w:r>
          </w:p>
        </w:tc>
        <w:tc>
          <w:tcPr>
            <w:tcW w:type="dxa" w:w="1728"/>
          </w:tcPr>
          <w:p>
            <w:r>
              <w:t>1.085</w:t>
            </w:r>
          </w:p>
        </w:tc>
      </w:tr>
      <w:tr>
        <w:tc>
          <w:tcPr>
            <w:tcW w:type="dxa" w:w="1728"/>
          </w:tcPr>
          <w:p>
            <w:r>
              <w:t>ZONES</w:t>
            </w:r>
          </w:p>
        </w:tc>
        <w:tc>
          <w:tcPr>
            <w:tcW w:type="dxa" w:w="1728"/>
          </w:tcPr>
          <w:p>
            <w:r>
              <w:t>2.515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4.000</w:t>
            </w:r>
          </w:p>
        </w:tc>
        <w:tc>
          <w:tcPr>
            <w:tcW w:type="dxa" w:w="1728"/>
          </w:tcPr>
          <w:p>
            <w:r>
              <w:t>1.107</w:t>
            </w:r>
          </w:p>
        </w:tc>
      </w:tr>
      <w:tr>
        <w:tc>
          <w:tcPr>
            <w:tcW w:type="dxa" w:w="1728"/>
          </w:tcPr>
          <w:p>
            <w:r>
              <w:t>CSI</w:t>
            </w:r>
          </w:p>
        </w:tc>
        <w:tc>
          <w:tcPr>
            <w:tcW w:type="dxa" w:w="1728"/>
          </w:tcPr>
          <w:p>
            <w:r>
              <w:t>-0.927</w:t>
            </w:r>
          </w:p>
        </w:tc>
        <w:tc>
          <w:tcPr>
            <w:tcW w:type="dxa" w:w="1728"/>
          </w:tcPr>
          <w:p>
            <w:r>
              <w:t>-1.201</w:t>
            </w:r>
          </w:p>
        </w:tc>
        <w:tc>
          <w:tcPr>
            <w:tcW w:type="dxa" w:w="1728"/>
          </w:tcPr>
          <w:p>
            <w:r>
              <w:t>-0.768</w:t>
            </w:r>
          </w:p>
        </w:tc>
        <w:tc>
          <w:tcPr>
            <w:tcW w:type="dxa" w:w="1728"/>
          </w:tcPr>
          <w:p>
            <w:r>
              <w:t>0.101</w:t>
            </w:r>
          </w:p>
        </w:tc>
      </w:tr>
    </w:tbl>
    <w:p>
      <w:pPr>
        <w:pStyle w:val="Heading1"/>
      </w:pPr>
      <w:r>
        <w:t>3. Análisis Visual y Espacial</w:t>
      </w:r>
    </w:p>
    <w:p>
      <w:pPr>
        <w:pStyle w:val="Heading2"/>
      </w:pPr>
      <w:r>
        <w:t>3.1 Distribución de Índices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ind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Histogramas de frecuencia que muestran la distribución estadística de los índices.</w:t>
      </w:r>
    </w:p>
    <w:p>
      <w:pPr>
        <w:pStyle w:val="Heading2"/>
      </w:pPr>
      <w:r>
        <w:t>3.2 Mapas de Superficie</w:t>
      </w:r>
    </w:p>
    <w:p>
      <w:r>
        <w:drawing>
          <wp:inline xmlns:a="http://schemas.openxmlformats.org/drawingml/2006/main" xmlns:pic="http://schemas.openxmlformats.org/drawingml/2006/picture">
            <wp:extent cx="54864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s_gener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2: Distribución espacial de NDVI, Rendimiento y Balance Hídrico.</w:t>
      </w:r>
    </w:p>
    <w:p>
      <w:pPr>
        <w:pStyle w:val="Heading1"/>
      </w:pPr>
      <w:r>
        <w:t>4. Conclusiones y Recomendaciones</w:t>
      </w:r>
    </w:p>
    <w:p>
      <w:r>
        <w:rPr>
          <w:b/>
        </w:rPr>
        <w:t xml:space="preserve">• Estado del Cultivo: </w:t>
      </w:r>
      <w:r>
        <w:t>La salud vegetal se reporta como Estable con un NDVI promedio de 0.46.</w:t>
        <w:br/>
      </w:r>
      <w:r>
        <w:rPr>
          <w:b/>
        </w:rPr>
        <w:t xml:space="preserve">• Proyección de Rendimiento: </w:t>
      </w:r>
      <w:r>
        <w:t>Se estima una producción promedio de 6149 kg/ha para el lote analizado.</w:t>
        <w:br/>
      </w:r>
      <w:r>
        <w:rPr>
          <w:b/>
        </w:rPr>
        <w:t xml:space="preserve">• Gestión de Recursos: </w:t>
      </w:r>
      <w:r>
        <w:t>Se recomienda el monitoreo constante de las zonas identificadas con balance hídrico crítico.</w:t>
      </w:r>
    </w:p>
    <w:p>
      <w:r>
        <w:br/>
        <w:br/>
        <w:br/>
      </w:r>
    </w:p>
    <w:p>
      <w:pPr>
        <w:jc w:val="right"/>
      </w:pPr>
      <w:r>
        <w:rPr>
          <w:b/>
        </w:rPr>
        <w:t>______________________________</w:t>
        <w:br/>
      </w:r>
      <w:r>
        <w:rPr>
          <w:b/>
        </w:rPr>
        <w:t>M.Sc. Edwin Calle Condori</w:t>
        <w:br/>
      </w:r>
      <w:r>
        <w:rPr>
          <w:i/>
        </w:rPr>
        <w:t>CEO &amp; Founder Geonorth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