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color w:val="ff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ff0000"/>
          <w:sz w:val="28"/>
          <w:szCs w:val="28"/>
          <w:rtl w:val="0"/>
        </w:rPr>
        <w:t xml:space="preserve">За 09.04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Лабораторная работа №6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Разбиение сети 10.0.5.128/27 на 2 подсети:</w:t>
        <w:br w:type="textWrapping"/>
        <w:t xml:space="preserve">1)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адрес сети: 10.0.5.128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широковещательный адрес: 10.0.5.143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пул адресов: 10.0.5.129 - 10.0.5.142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маска: /28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2)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адрес сети: 10.0.5.144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широковещательный адрес: 10.0.5.159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пул адресов: 10.0.5.145 - 10.0.5.158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маска: /28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Часть 2: arp запрос от ПК1 к ПК2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0" distT="0" distL="0" distR="0">
            <wp:extent cx="5940425" cy="345313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3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0" distT="0" distL="0" distR="0">
            <wp:extent cx="4602573" cy="127671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2573" cy="1276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Сначала ПК1 отправляет широковещательный ARP-запрос, в котором указывает свой MAC и IP, а также IP интересующего устройства (ПК2). Все устройства в сети видят этот запрос, но отвечает только ПК2, отправляя свой MAC-адрес.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Часть 3: ARP-спуфинг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5940115" cy="4737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28"/>
          <w:szCs w:val="28"/>
        </w:rPr>
      </w:pPr>
      <w:bookmarkStart w:colFirst="0" w:colLast="0" w:name="_heading=h.w9q3uymjh0wv" w:id="0"/>
      <w:bookmarkEnd w:id="0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Если сформировать и отправить поддельный ARP-ответ, можно "привязать" чужой IP-адрес к своему MAC-адресу. После этого весь трафик, предназначенный для этого IP, будет приходить к атакующему устройству. Однако, поскольку реальный IP-адрес получателя не меняется, атакующее устройство может перенаправить принятые пакеты истинному получателю, оставаясь невидимым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zkgyZnraHsSKkjeYMKPhmCAvgA==">CgMxLjAyDmgudzlxM3V5bWpoMHd2OAByITFjUGZyRHU3U2EtSko0WDlLc0pLb0hyN3c1ZmlHNE9DOQ==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2026-03-31T18:18:00Z</dcterms:created>
  <dc:creator>Alexandr</dc:creator>
</cp:coreProperties>
</file>