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8BE5D" w14:textId="77777777" w:rsidR="00C41940" w:rsidRPr="00C41940" w:rsidRDefault="00C41940" w:rsidP="00C41940">
      <w:pPr>
        <w:jc w:val="both"/>
        <w:rPr>
          <w:b/>
          <w:bCs/>
          <w:sz w:val="24"/>
          <w:szCs w:val="24"/>
        </w:rPr>
      </w:pPr>
      <w:r w:rsidRPr="00C41940">
        <w:rPr>
          <w:b/>
          <w:bCs/>
          <w:sz w:val="24"/>
          <w:szCs w:val="24"/>
        </w:rPr>
        <w:t>Initial Post: Security Implications in the Digital Economy</w:t>
      </w:r>
    </w:p>
    <w:p w14:paraId="0DEBB5DA" w14:textId="77777777" w:rsidR="00C41940" w:rsidRPr="00C41940" w:rsidRDefault="00C41940" w:rsidP="00C41940">
      <w:pPr>
        <w:jc w:val="both"/>
        <w:rPr>
          <w:b/>
          <w:bCs/>
          <w:sz w:val="24"/>
          <w:szCs w:val="24"/>
        </w:rPr>
      </w:pPr>
      <w:r w:rsidRPr="00C41940">
        <w:rPr>
          <w:b/>
          <w:bCs/>
          <w:sz w:val="24"/>
          <w:szCs w:val="24"/>
        </w:rPr>
        <w:t>A Fully Digital Enterprise</w:t>
      </w:r>
    </w:p>
    <w:p w14:paraId="26AC2B49" w14:textId="77777777" w:rsidR="00C41940" w:rsidRPr="00C41940" w:rsidRDefault="00C41940" w:rsidP="00C41940">
      <w:pPr>
        <w:jc w:val="both"/>
        <w:rPr>
          <w:sz w:val="24"/>
          <w:szCs w:val="24"/>
        </w:rPr>
      </w:pPr>
      <w:r w:rsidRPr="00C41940">
        <w:rPr>
          <w:sz w:val="24"/>
          <w:szCs w:val="24"/>
        </w:rPr>
        <w:t>The transition to a fully digital enterprise signifies the comprehensive adoption of digital technologies to enhance business operations, customer engagement, and overall efficiency. This includes the utilisation of cloud computing, big data analytics, the Internet of Things (IoT), and artificial intelligence (AI) to enable seamless and real-time business processes (Wei et al., 2019).</w:t>
      </w:r>
    </w:p>
    <w:p w14:paraId="71C4482B" w14:textId="4432AB22" w:rsidR="00C41940" w:rsidRPr="00C41940" w:rsidRDefault="00C41940" w:rsidP="00C41940">
      <w:pPr>
        <w:jc w:val="both"/>
        <w:rPr>
          <w:b/>
          <w:bCs/>
          <w:sz w:val="24"/>
          <w:szCs w:val="24"/>
        </w:rPr>
      </w:pPr>
      <w:r w:rsidRPr="00C41940">
        <w:rPr>
          <w:b/>
          <w:bCs/>
          <w:sz w:val="24"/>
          <w:szCs w:val="24"/>
        </w:rPr>
        <w:t xml:space="preserve">Issues in Cybersecurity for </w:t>
      </w:r>
      <w:r>
        <w:rPr>
          <w:b/>
          <w:bCs/>
          <w:sz w:val="24"/>
          <w:szCs w:val="24"/>
        </w:rPr>
        <w:t>Fully</w:t>
      </w:r>
      <w:r w:rsidRPr="00C41940">
        <w:rPr>
          <w:b/>
          <w:bCs/>
          <w:sz w:val="24"/>
          <w:szCs w:val="24"/>
        </w:rPr>
        <w:t xml:space="preserve"> Digital Enterprises</w:t>
      </w:r>
    </w:p>
    <w:p w14:paraId="2E00D180" w14:textId="2C6063E9" w:rsidR="00C41940" w:rsidRDefault="00C41940" w:rsidP="00C41940">
      <w:pPr>
        <w:jc w:val="both"/>
        <w:rPr>
          <w:sz w:val="24"/>
          <w:szCs w:val="24"/>
        </w:rPr>
      </w:pPr>
      <w:r w:rsidRPr="00C41940">
        <w:rPr>
          <w:sz w:val="24"/>
          <w:szCs w:val="24"/>
        </w:rPr>
        <w:t xml:space="preserve">Nevertheless, the transition to digitalisation brings up numerous cyber security obstacles. </w:t>
      </w:r>
      <w:r>
        <w:rPr>
          <w:sz w:val="24"/>
          <w:szCs w:val="24"/>
        </w:rPr>
        <w:t>A primary</w:t>
      </w:r>
      <w:r w:rsidRPr="00C41940">
        <w:rPr>
          <w:sz w:val="24"/>
          <w:szCs w:val="24"/>
        </w:rPr>
        <w:t xml:space="preserve"> concern</w:t>
      </w:r>
      <w:r w:rsidRPr="00C41940">
        <w:rPr>
          <w:sz w:val="24"/>
          <w:szCs w:val="24"/>
        </w:rPr>
        <w:t xml:space="preserve"> is the risk of data breaches, which can lead to significant financial losses and damage to an organisation’s reputation. Fully digital enterprises are also prone to advanced persistent threats (APTs) and ransomware attacks that can severely disrupt operations and compromise sensitive information. Moreover, ensuring compliance with data protection regulations, such as the General Data Protection Regulation (GDPR), necessitates robust and continuous security measures (</w:t>
      </w:r>
      <w:proofErr w:type="spellStart"/>
      <w:r w:rsidRPr="00C41940">
        <w:rPr>
          <w:sz w:val="24"/>
          <w:szCs w:val="24"/>
        </w:rPr>
        <w:t>Spremic</w:t>
      </w:r>
      <w:proofErr w:type="spellEnd"/>
      <w:r w:rsidRPr="00C41940">
        <w:rPr>
          <w:sz w:val="24"/>
          <w:szCs w:val="24"/>
        </w:rPr>
        <w:t xml:space="preserve"> &amp; </w:t>
      </w:r>
      <w:proofErr w:type="spellStart"/>
      <w:r w:rsidRPr="00C41940">
        <w:rPr>
          <w:sz w:val="24"/>
          <w:szCs w:val="24"/>
        </w:rPr>
        <w:t>Simunic</w:t>
      </w:r>
      <w:proofErr w:type="spellEnd"/>
      <w:r w:rsidRPr="00C41940">
        <w:rPr>
          <w:sz w:val="24"/>
          <w:szCs w:val="24"/>
        </w:rPr>
        <w:t>, 2018).</w:t>
      </w:r>
    </w:p>
    <w:p w14:paraId="5A65CFBF" w14:textId="77777777" w:rsidR="00C41940" w:rsidRDefault="00C41940" w:rsidP="00C41940">
      <w:pPr>
        <w:jc w:val="both"/>
        <w:rPr>
          <w:sz w:val="24"/>
          <w:szCs w:val="24"/>
        </w:rPr>
      </w:pPr>
    </w:p>
    <w:p w14:paraId="3A40C964" w14:textId="7071D784" w:rsidR="00C41940" w:rsidRPr="00C41940" w:rsidRDefault="00C41940" w:rsidP="00C41940">
      <w:pPr>
        <w:jc w:val="both"/>
        <w:rPr>
          <w:b/>
          <w:bCs/>
          <w:sz w:val="24"/>
          <w:szCs w:val="24"/>
        </w:rPr>
      </w:pPr>
      <w:r w:rsidRPr="00C41940">
        <w:rPr>
          <w:b/>
          <w:bCs/>
          <w:sz w:val="24"/>
          <w:szCs w:val="24"/>
        </w:rPr>
        <w:t>Cyber Security Challenges for Bricks-and-Mortar SMEs</w:t>
      </w:r>
    </w:p>
    <w:p w14:paraId="627AC450" w14:textId="316CE3C0" w:rsidR="00C41940" w:rsidRPr="00C41940" w:rsidRDefault="00C41940" w:rsidP="00C41940">
      <w:pPr>
        <w:jc w:val="both"/>
        <w:rPr>
          <w:sz w:val="24"/>
          <w:szCs w:val="24"/>
        </w:rPr>
      </w:pPr>
      <w:r w:rsidRPr="00C41940">
        <w:rPr>
          <w:sz w:val="24"/>
          <w:szCs w:val="24"/>
        </w:rPr>
        <w:t xml:space="preserve">For small and medium-sized enterprises (SMEs) transitioning from traditional bricks-and-mortar models to digital platforms, the challenges are particularly pronounced. These businesses often lack the necessary resources and expertise to implement comprehensive cyber security strategies. This makes them more vulnerable to </w:t>
      </w:r>
      <w:r w:rsidRPr="00C41940">
        <w:rPr>
          <w:sz w:val="24"/>
          <w:szCs w:val="24"/>
        </w:rPr>
        <w:t>cyber-attacks</w:t>
      </w:r>
      <w:r w:rsidRPr="00C41940">
        <w:rPr>
          <w:sz w:val="24"/>
          <w:szCs w:val="24"/>
        </w:rPr>
        <w:t>, including phishing and malware. Additionally, the integration of legacy systems with new digital infrastructure can create security vulnerabilities if not managed properly (Deloitte, 2023).</w:t>
      </w:r>
    </w:p>
    <w:p w14:paraId="1ACA19BD" w14:textId="79259D5F" w:rsidR="00C41940" w:rsidRPr="00C41940" w:rsidRDefault="00C41940" w:rsidP="00C41940">
      <w:pPr>
        <w:jc w:val="both"/>
        <w:rPr>
          <w:b/>
          <w:bCs/>
          <w:sz w:val="24"/>
          <w:szCs w:val="24"/>
        </w:rPr>
      </w:pPr>
      <w:r>
        <w:rPr>
          <w:b/>
          <w:bCs/>
          <w:sz w:val="24"/>
          <w:szCs w:val="24"/>
        </w:rPr>
        <w:t>The i</w:t>
      </w:r>
      <w:r w:rsidRPr="00C41940">
        <w:rPr>
          <w:b/>
          <w:bCs/>
          <w:sz w:val="24"/>
          <w:szCs w:val="24"/>
        </w:rPr>
        <w:t>mpact of the Energy Crisis on Digital Security</w:t>
      </w:r>
    </w:p>
    <w:p w14:paraId="564A37FB" w14:textId="792E93FB" w:rsidR="00C41940" w:rsidRPr="00C41940" w:rsidRDefault="00C41940" w:rsidP="00C41940">
      <w:pPr>
        <w:jc w:val="both"/>
        <w:rPr>
          <w:sz w:val="24"/>
          <w:szCs w:val="24"/>
        </w:rPr>
      </w:pPr>
      <w:r w:rsidRPr="00C41940">
        <w:rPr>
          <w:sz w:val="24"/>
          <w:szCs w:val="24"/>
        </w:rPr>
        <w:t xml:space="preserve">The global energy crisis of 2022 has intensified these challenges. Energy shortages and increased costs can disrupt digital operations, making businesses more susceptible to </w:t>
      </w:r>
      <w:r w:rsidRPr="00C41940">
        <w:rPr>
          <w:sz w:val="24"/>
          <w:szCs w:val="24"/>
        </w:rPr>
        <w:t>cyber-attacks</w:t>
      </w:r>
      <w:r w:rsidRPr="00C41940">
        <w:rPr>
          <w:sz w:val="24"/>
          <w:szCs w:val="24"/>
        </w:rPr>
        <w:t xml:space="preserve"> due to reduced investment in security measures. Cyber criminals can exploit these situations by targeting energy infrastructures and the digital enterprises dependent on them, thereby amplifying the risks and potential impacts of </w:t>
      </w:r>
      <w:r w:rsidRPr="00C41940">
        <w:rPr>
          <w:sz w:val="24"/>
          <w:szCs w:val="24"/>
        </w:rPr>
        <w:t>cyber-attacks</w:t>
      </w:r>
      <w:r w:rsidRPr="00C41940">
        <w:rPr>
          <w:sz w:val="24"/>
          <w:szCs w:val="24"/>
        </w:rPr>
        <w:t xml:space="preserve"> (NPR, 2023).</w:t>
      </w:r>
    </w:p>
    <w:p w14:paraId="78528D98" w14:textId="77777777" w:rsidR="00C41940" w:rsidRPr="00C41940" w:rsidRDefault="00C41940" w:rsidP="00C41940">
      <w:pPr>
        <w:jc w:val="both"/>
        <w:rPr>
          <w:b/>
          <w:bCs/>
          <w:sz w:val="24"/>
          <w:szCs w:val="24"/>
        </w:rPr>
      </w:pPr>
      <w:r w:rsidRPr="00C41940">
        <w:rPr>
          <w:b/>
          <w:bCs/>
          <w:sz w:val="24"/>
          <w:szCs w:val="24"/>
        </w:rPr>
        <w:t>Conclusion</w:t>
      </w:r>
    </w:p>
    <w:p w14:paraId="2FEEB170" w14:textId="43F8ABDF" w:rsidR="00C41940" w:rsidRPr="00C41940" w:rsidRDefault="00C41940" w:rsidP="00C41940">
      <w:pPr>
        <w:jc w:val="both"/>
        <w:rPr>
          <w:sz w:val="24"/>
          <w:szCs w:val="24"/>
        </w:rPr>
      </w:pPr>
      <w:r w:rsidRPr="00C41940">
        <w:rPr>
          <w:sz w:val="24"/>
          <w:szCs w:val="24"/>
        </w:rPr>
        <w:t>To summarise, although digitisation has several benefits, it also poses substantial cyber</w:t>
      </w:r>
      <w:r>
        <w:rPr>
          <w:sz w:val="24"/>
          <w:szCs w:val="24"/>
        </w:rPr>
        <w:t xml:space="preserve"> </w:t>
      </w:r>
      <w:r w:rsidRPr="00C41940">
        <w:rPr>
          <w:sz w:val="24"/>
          <w:szCs w:val="24"/>
        </w:rPr>
        <w:t>security obstacles. Both fully digital organisations and small and medium-sized enterprises (SMEs) that are migrating to digital must allocate resources to implement strong security measures, maintain constant monitoring, and ensure compliance with regulatory standards in order to reduce these risks. The energy crisis underscores the necessity for robust and flexible security methods to protect digital processes from possible disruptions.</w:t>
      </w:r>
    </w:p>
    <w:p w14:paraId="120EF243" w14:textId="7806977E" w:rsidR="00C41940" w:rsidRPr="00C41940" w:rsidRDefault="00C41940" w:rsidP="00C41940">
      <w:pPr>
        <w:jc w:val="both"/>
        <w:rPr>
          <w:sz w:val="24"/>
          <w:szCs w:val="24"/>
        </w:rPr>
      </w:pPr>
    </w:p>
    <w:p w14:paraId="6270B97F" w14:textId="77777777" w:rsidR="00C41940" w:rsidRPr="00C41940" w:rsidRDefault="00C41940" w:rsidP="00C41940">
      <w:pPr>
        <w:rPr>
          <w:sz w:val="24"/>
          <w:szCs w:val="24"/>
        </w:rPr>
      </w:pPr>
      <w:r w:rsidRPr="00C41940">
        <w:rPr>
          <w:b/>
          <w:bCs/>
          <w:sz w:val="24"/>
          <w:szCs w:val="24"/>
        </w:rPr>
        <w:lastRenderedPageBreak/>
        <w:t>References</w:t>
      </w:r>
      <w:r w:rsidRPr="00C41940">
        <w:rPr>
          <w:sz w:val="24"/>
          <w:szCs w:val="24"/>
        </w:rPr>
        <w:br/>
        <w:t xml:space="preserve">Wei, X., et al. (2019). Digital Transformation in the Era of the Fourth Industrial Revolution. </w:t>
      </w:r>
      <w:r w:rsidRPr="00C41940">
        <w:rPr>
          <w:i/>
          <w:iCs/>
          <w:sz w:val="24"/>
          <w:szCs w:val="24"/>
        </w:rPr>
        <w:t>Journal of Digital Economy</w:t>
      </w:r>
      <w:r w:rsidRPr="00C41940">
        <w:rPr>
          <w:sz w:val="24"/>
          <w:szCs w:val="24"/>
        </w:rPr>
        <w:t>.</w:t>
      </w:r>
      <w:r w:rsidRPr="00C41940">
        <w:rPr>
          <w:sz w:val="24"/>
          <w:szCs w:val="24"/>
        </w:rPr>
        <w:br/>
      </w:r>
      <w:proofErr w:type="spellStart"/>
      <w:r w:rsidRPr="00C41940">
        <w:rPr>
          <w:sz w:val="24"/>
          <w:szCs w:val="24"/>
        </w:rPr>
        <w:t>Spremic</w:t>
      </w:r>
      <w:proofErr w:type="spellEnd"/>
      <w:r w:rsidRPr="00C41940">
        <w:rPr>
          <w:sz w:val="24"/>
          <w:szCs w:val="24"/>
        </w:rPr>
        <w:t xml:space="preserve">, M., &amp; </w:t>
      </w:r>
      <w:proofErr w:type="spellStart"/>
      <w:r w:rsidRPr="00C41940">
        <w:rPr>
          <w:sz w:val="24"/>
          <w:szCs w:val="24"/>
        </w:rPr>
        <w:t>Simunic</w:t>
      </w:r>
      <w:proofErr w:type="spellEnd"/>
      <w:r w:rsidRPr="00C41940">
        <w:rPr>
          <w:sz w:val="24"/>
          <w:szCs w:val="24"/>
        </w:rPr>
        <w:t xml:space="preserve">, M. (2018). Cyber Security Challenges in Digital Economy. </w:t>
      </w:r>
      <w:r w:rsidRPr="00C41940">
        <w:rPr>
          <w:i/>
          <w:iCs/>
          <w:sz w:val="24"/>
          <w:szCs w:val="24"/>
        </w:rPr>
        <w:t>International Journal of Cyber Security</w:t>
      </w:r>
      <w:r w:rsidRPr="00C41940">
        <w:rPr>
          <w:sz w:val="24"/>
          <w:szCs w:val="24"/>
        </w:rPr>
        <w:t>.</w:t>
      </w:r>
      <w:r w:rsidRPr="00C41940">
        <w:rPr>
          <w:sz w:val="24"/>
          <w:szCs w:val="24"/>
        </w:rPr>
        <w:br/>
        <w:t xml:space="preserve">Deloitte. (2023). Digital Transformation: Utility of the Future. Retrieved from </w:t>
      </w:r>
      <w:hyperlink r:id="rId4" w:tgtFrame="_new" w:history="1">
        <w:r w:rsidRPr="00C41940">
          <w:rPr>
            <w:rStyle w:val="Hyperlink"/>
            <w:sz w:val="24"/>
            <w:szCs w:val="24"/>
          </w:rPr>
          <w:t>Del</w:t>
        </w:r>
        <w:r w:rsidRPr="00C41940">
          <w:rPr>
            <w:rStyle w:val="Hyperlink"/>
            <w:sz w:val="24"/>
            <w:szCs w:val="24"/>
          </w:rPr>
          <w:t>o</w:t>
        </w:r>
        <w:r w:rsidRPr="00C41940">
          <w:rPr>
            <w:rStyle w:val="Hyperlink"/>
            <w:sz w:val="24"/>
            <w:szCs w:val="24"/>
          </w:rPr>
          <w:t>itte</w:t>
        </w:r>
      </w:hyperlink>
      <w:r w:rsidRPr="00C41940">
        <w:rPr>
          <w:sz w:val="24"/>
          <w:szCs w:val="24"/>
        </w:rPr>
        <w:t>.</w:t>
      </w:r>
      <w:r w:rsidRPr="00C41940">
        <w:rPr>
          <w:sz w:val="24"/>
          <w:szCs w:val="24"/>
        </w:rPr>
        <w:br/>
        <w:t xml:space="preserve">NPR. (2023). The Energy Crisis of 2022. Retrieved from </w:t>
      </w:r>
      <w:hyperlink r:id="rId5" w:tgtFrame="_new" w:history="1">
        <w:r w:rsidRPr="00C41940">
          <w:rPr>
            <w:rStyle w:val="Hyperlink"/>
            <w:sz w:val="24"/>
            <w:szCs w:val="24"/>
          </w:rPr>
          <w:t>N</w:t>
        </w:r>
        <w:r w:rsidRPr="00C41940">
          <w:rPr>
            <w:rStyle w:val="Hyperlink"/>
            <w:sz w:val="24"/>
            <w:szCs w:val="24"/>
          </w:rPr>
          <w:t>P</w:t>
        </w:r>
        <w:r w:rsidRPr="00C41940">
          <w:rPr>
            <w:rStyle w:val="Hyperlink"/>
            <w:sz w:val="24"/>
            <w:szCs w:val="24"/>
          </w:rPr>
          <w:t>R</w:t>
        </w:r>
      </w:hyperlink>
      <w:r w:rsidRPr="00C41940">
        <w:rPr>
          <w:sz w:val="24"/>
          <w:szCs w:val="24"/>
        </w:rPr>
        <w:t>.</w:t>
      </w:r>
    </w:p>
    <w:p w14:paraId="19893014" w14:textId="3473669A" w:rsidR="00C41940" w:rsidRPr="00C41940" w:rsidRDefault="00C41940" w:rsidP="00C41940">
      <w:pPr>
        <w:rPr>
          <w:sz w:val="24"/>
          <w:szCs w:val="24"/>
        </w:rPr>
      </w:pPr>
    </w:p>
    <w:p w14:paraId="03B7E6B6" w14:textId="77777777" w:rsidR="00261508" w:rsidRPr="00C41940" w:rsidRDefault="00261508" w:rsidP="00C41940">
      <w:pPr>
        <w:rPr>
          <w:sz w:val="24"/>
          <w:szCs w:val="24"/>
        </w:rPr>
      </w:pPr>
    </w:p>
    <w:sectPr w:rsidR="00261508" w:rsidRPr="00C41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40"/>
    <w:rsid w:val="00261508"/>
    <w:rsid w:val="00794D0A"/>
    <w:rsid w:val="009B61F1"/>
    <w:rsid w:val="00C41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847E"/>
  <w15:chartTrackingRefBased/>
  <w15:docId w15:val="{6CBA2E04-15FF-42F1-9FA5-33EC75CC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9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9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9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9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9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9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9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9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9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9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940"/>
    <w:rPr>
      <w:rFonts w:eastAsiaTheme="majorEastAsia" w:cstheme="majorBidi"/>
      <w:color w:val="272727" w:themeColor="text1" w:themeTint="D8"/>
    </w:rPr>
  </w:style>
  <w:style w:type="paragraph" w:styleId="Title">
    <w:name w:val="Title"/>
    <w:basedOn w:val="Normal"/>
    <w:next w:val="Normal"/>
    <w:link w:val="TitleChar"/>
    <w:uiPriority w:val="10"/>
    <w:qFormat/>
    <w:rsid w:val="00C41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940"/>
    <w:pPr>
      <w:spacing w:before="160"/>
      <w:jc w:val="center"/>
    </w:pPr>
    <w:rPr>
      <w:i/>
      <w:iCs/>
      <w:color w:val="404040" w:themeColor="text1" w:themeTint="BF"/>
    </w:rPr>
  </w:style>
  <w:style w:type="character" w:customStyle="1" w:styleId="QuoteChar">
    <w:name w:val="Quote Char"/>
    <w:basedOn w:val="DefaultParagraphFont"/>
    <w:link w:val="Quote"/>
    <w:uiPriority w:val="29"/>
    <w:rsid w:val="00C41940"/>
    <w:rPr>
      <w:i/>
      <w:iCs/>
      <w:color w:val="404040" w:themeColor="text1" w:themeTint="BF"/>
    </w:rPr>
  </w:style>
  <w:style w:type="paragraph" w:styleId="ListParagraph">
    <w:name w:val="List Paragraph"/>
    <w:basedOn w:val="Normal"/>
    <w:uiPriority w:val="34"/>
    <w:qFormat/>
    <w:rsid w:val="00C41940"/>
    <w:pPr>
      <w:ind w:left="720"/>
      <w:contextualSpacing/>
    </w:pPr>
  </w:style>
  <w:style w:type="character" w:styleId="IntenseEmphasis">
    <w:name w:val="Intense Emphasis"/>
    <w:basedOn w:val="DefaultParagraphFont"/>
    <w:uiPriority w:val="21"/>
    <w:qFormat/>
    <w:rsid w:val="00C41940"/>
    <w:rPr>
      <w:i/>
      <w:iCs/>
      <w:color w:val="2F5496" w:themeColor="accent1" w:themeShade="BF"/>
    </w:rPr>
  </w:style>
  <w:style w:type="paragraph" w:styleId="IntenseQuote">
    <w:name w:val="Intense Quote"/>
    <w:basedOn w:val="Normal"/>
    <w:next w:val="Normal"/>
    <w:link w:val="IntenseQuoteChar"/>
    <w:uiPriority w:val="30"/>
    <w:qFormat/>
    <w:rsid w:val="00C419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940"/>
    <w:rPr>
      <w:i/>
      <w:iCs/>
      <w:color w:val="2F5496" w:themeColor="accent1" w:themeShade="BF"/>
    </w:rPr>
  </w:style>
  <w:style w:type="character" w:styleId="IntenseReference">
    <w:name w:val="Intense Reference"/>
    <w:basedOn w:val="DefaultParagraphFont"/>
    <w:uiPriority w:val="32"/>
    <w:qFormat/>
    <w:rsid w:val="00C41940"/>
    <w:rPr>
      <w:b/>
      <w:bCs/>
      <w:smallCaps/>
      <w:color w:val="2F5496" w:themeColor="accent1" w:themeShade="BF"/>
      <w:spacing w:val="5"/>
    </w:rPr>
  </w:style>
  <w:style w:type="character" w:styleId="Hyperlink">
    <w:name w:val="Hyperlink"/>
    <w:basedOn w:val="DefaultParagraphFont"/>
    <w:uiPriority w:val="99"/>
    <w:unhideWhenUsed/>
    <w:rsid w:val="00C41940"/>
    <w:rPr>
      <w:color w:val="0563C1" w:themeColor="hyperlink"/>
      <w:u w:val="single"/>
    </w:rPr>
  </w:style>
  <w:style w:type="character" w:styleId="UnresolvedMention">
    <w:name w:val="Unresolved Mention"/>
    <w:basedOn w:val="DefaultParagraphFont"/>
    <w:uiPriority w:val="99"/>
    <w:semiHidden/>
    <w:unhideWhenUsed/>
    <w:rsid w:val="00C41940"/>
    <w:rPr>
      <w:color w:val="605E5C"/>
      <w:shd w:val="clear" w:color="auto" w:fill="E1DFDD"/>
    </w:rPr>
  </w:style>
  <w:style w:type="character" w:styleId="FollowedHyperlink">
    <w:name w:val="FollowedHyperlink"/>
    <w:basedOn w:val="DefaultParagraphFont"/>
    <w:uiPriority w:val="99"/>
    <w:semiHidden/>
    <w:unhideWhenUsed/>
    <w:rsid w:val="00C41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1108">
      <w:bodyDiv w:val="1"/>
      <w:marLeft w:val="0"/>
      <w:marRight w:val="0"/>
      <w:marTop w:val="0"/>
      <w:marBottom w:val="0"/>
      <w:divBdr>
        <w:top w:val="none" w:sz="0" w:space="0" w:color="auto"/>
        <w:left w:val="none" w:sz="0" w:space="0" w:color="auto"/>
        <w:bottom w:val="none" w:sz="0" w:space="0" w:color="auto"/>
        <w:right w:val="none" w:sz="0" w:space="0" w:color="auto"/>
      </w:divBdr>
    </w:div>
    <w:div w:id="90055716">
      <w:bodyDiv w:val="1"/>
      <w:marLeft w:val="0"/>
      <w:marRight w:val="0"/>
      <w:marTop w:val="0"/>
      <w:marBottom w:val="0"/>
      <w:divBdr>
        <w:top w:val="none" w:sz="0" w:space="0" w:color="auto"/>
        <w:left w:val="none" w:sz="0" w:space="0" w:color="auto"/>
        <w:bottom w:val="none" w:sz="0" w:space="0" w:color="auto"/>
        <w:right w:val="none" w:sz="0" w:space="0" w:color="auto"/>
      </w:divBdr>
    </w:div>
    <w:div w:id="243534514">
      <w:bodyDiv w:val="1"/>
      <w:marLeft w:val="0"/>
      <w:marRight w:val="0"/>
      <w:marTop w:val="0"/>
      <w:marBottom w:val="0"/>
      <w:divBdr>
        <w:top w:val="none" w:sz="0" w:space="0" w:color="auto"/>
        <w:left w:val="none" w:sz="0" w:space="0" w:color="auto"/>
        <w:bottom w:val="none" w:sz="0" w:space="0" w:color="auto"/>
        <w:right w:val="none" w:sz="0" w:space="0" w:color="auto"/>
      </w:divBdr>
    </w:div>
    <w:div w:id="279917909">
      <w:bodyDiv w:val="1"/>
      <w:marLeft w:val="0"/>
      <w:marRight w:val="0"/>
      <w:marTop w:val="0"/>
      <w:marBottom w:val="0"/>
      <w:divBdr>
        <w:top w:val="none" w:sz="0" w:space="0" w:color="auto"/>
        <w:left w:val="none" w:sz="0" w:space="0" w:color="auto"/>
        <w:bottom w:val="none" w:sz="0" w:space="0" w:color="auto"/>
        <w:right w:val="none" w:sz="0" w:space="0" w:color="auto"/>
      </w:divBdr>
      <w:divsChild>
        <w:div w:id="1711109055">
          <w:marLeft w:val="0"/>
          <w:marRight w:val="0"/>
          <w:marTop w:val="0"/>
          <w:marBottom w:val="0"/>
          <w:divBdr>
            <w:top w:val="none" w:sz="0" w:space="0" w:color="auto"/>
            <w:left w:val="none" w:sz="0" w:space="0" w:color="auto"/>
            <w:bottom w:val="none" w:sz="0" w:space="0" w:color="auto"/>
            <w:right w:val="none" w:sz="0" w:space="0" w:color="auto"/>
          </w:divBdr>
          <w:divsChild>
            <w:div w:id="1720011524">
              <w:marLeft w:val="0"/>
              <w:marRight w:val="0"/>
              <w:marTop w:val="0"/>
              <w:marBottom w:val="0"/>
              <w:divBdr>
                <w:top w:val="none" w:sz="0" w:space="0" w:color="auto"/>
                <w:left w:val="none" w:sz="0" w:space="0" w:color="auto"/>
                <w:bottom w:val="none" w:sz="0" w:space="0" w:color="auto"/>
                <w:right w:val="none" w:sz="0" w:space="0" w:color="auto"/>
              </w:divBdr>
              <w:divsChild>
                <w:div w:id="209658028">
                  <w:marLeft w:val="0"/>
                  <w:marRight w:val="0"/>
                  <w:marTop w:val="0"/>
                  <w:marBottom w:val="0"/>
                  <w:divBdr>
                    <w:top w:val="none" w:sz="0" w:space="0" w:color="auto"/>
                    <w:left w:val="none" w:sz="0" w:space="0" w:color="auto"/>
                    <w:bottom w:val="none" w:sz="0" w:space="0" w:color="auto"/>
                    <w:right w:val="none" w:sz="0" w:space="0" w:color="auto"/>
                  </w:divBdr>
                  <w:divsChild>
                    <w:div w:id="10084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3189">
          <w:marLeft w:val="0"/>
          <w:marRight w:val="0"/>
          <w:marTop w:val="0"/>
          <w:marBottom w:val="0"/>
          <w:divBdr>
            <w:top w:val="none" w:sz="0" w:space="0" w:color="auto"/>
            <w:left w:val="none" w:sz="0" w:space="0" w:color="auto"/>
            <w:bottom w:val="none" w:sz="0" w:space="0" w:color="auto"/>
            <w:right w:val="none" w:sz="0" w:space="0" w:color="auto"/>
          </w:divBdr>
          <w:divsChild>
            <w:div w:id="246572179">
              <w:marLeft w:val="0"/>
              <w:marRight w:val="0"/>
              <w:marTop w:val="0"/>
              <w:marBottom w:val="0"/>
              <w:divBdr>
                <w:top w:val="none" w:sz="0" w:space="0" w:color="auto"/>
                <w:left w:val="none" w:sz="0" w:space="0" w:color="auto"/>
                <w:bottom w:val="none" w:sz="0" w:space="0" w:color="auto"/>
                <w:right w:val="none" w:sz="0" w:space="0" w:color="auto"/>
              </w:divBdr>
              <w:divsChild>
                <w:div w:id="524103644">
                  <w:marLeft w:val="0"/>
                  <w:marRight w:val="0"/>
                  <w:marTop w:val="0"/>
                  <w:marBottom w:val="0"/>
                  <w:divBdr>
                    <w:top w:val="none" w:sz="0" w:space="0" w:color="auto"/>
                    <w:left w:val="none" w:sz="0" w:space="0" w:color="auto"/>
                    <w:bottom w:val="none" w:sz="0" w:space="0" w:color="auto"/>
                    <w:right w:val="none" w:sz="0" w:space="0" w:color="auto"/>
                  </w:divBdr>
                  <w:divsChild>
                    <w:div w:id="6044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38027">
      <w:bodyDiv w:val="1"/>
      <w:marLeft w:val="0"/>
      <w:marRight w:val="0"/>
      <w:marTop w:val="0"/>
      <w:marBottom w:val="0"/>
      <w:divBdr>
        <w:top w:val="none" w:sz="0" w:space="0" w:color="auto"/>
        <w:left w:val="none" w:sz="0" w:space="0" w:color="auto"/>
        <w:bottom w:val="none" w:sz="0" w:space="0" w:color="auto"/>
        <w:right w:val="none" w:sz="0" w:space="0" w:color="auto"/>
      </w:divBdr>
    </w:div>
    <w:div w:id="1045444788">
      <w:bodyDiv w:val="1"/>
      <w:marLeft w:val="0"/>
      <w:marRight w:val="0"/>
      <w:marTop w:val="0"/>
      <w:marBottom w:val="0"/>
      <w:divBdr>
        <w:top w:val="none" w:sz="0" w:space="0" w:color="auto"/>
        <w:left w:val="none" w:sz="0" w:space="0" w:color="auto"/>
        <w:bottom w:val="none" w:sz="0" w:space="0" w:color="auto"/>
        <w:right w:val="none" w:sz="0" w:space="0" w:color="auto"/>
      </w:divBdr>
    </w:div>
    <w:div w:id="1703237870">
      <w:bodyDiv w:val="1"/>
      <w:marLeft w:val="0"/>
      <w:marRight w:val="0"/>
      <w:marTop w:val="0"/>
      <w:marBottom w:val="0"/>
      <w:divBdr>
        <w:top w:val="none" w:sz="0" w:space="0" w:color="auto"/>
        <w:left w:val="none" w:sz="0" w:space="0" w:color="auto"/>
        <w:bottom w:val="none" w:sz="0" w:space="0" w:color="auto"/>
        <w:right w:val="none" w:sz="0" w:space="0" w:color="auto"/>
      </w:divBdr>
    </w:div>
    <w:div w:id="21245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xt.npr.org/985439655" TargetMode="External"/><Relationship Id="rId4" Type="http://schemas.openxmlformats.org/officeDocument/2006/relationships/hyperlink" Target="https://www2.deloitte.com/us/en/insights/industry/power-and-utilities/digital-transformation-utility-of-the-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1</cp:revision>
  <dcterms:created xsi:type="dcterms:W3CDTF">2024-08-01T08:25:00Z</dcterms:created>
  <dcterms:modified xsi:type="dcterms:W3CDTF">2024-08-01T08:53:00Z</dcterms:modified>
</cp:coreProperties>
</file>