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849531713"/>
        <w:docPartObj>
          <w:docPartGallery w:val="Cover Pages"/>
          <w:docPartUnique/>
        </w:docPartObj>
      </w:sdtPr>
      <w:sdtContent>
        <w:p w14:paraId="6E3D57E0" w14:textId="496DEE08" w:rsidR="00C3302B" w:rsidRPr="00315735" w:rsidRDefault="00C3302B">
          <w:r w:rsidRPr="00315735">
            <w:rPr>
              <w:noProof/>
            </w:rPr>
            <mc:AlternateContent>
              <mc:Choice Requires="wps">
                <w:drawing>
                  <wp:anchor distT="0" distB="0" distL="114300" distR="114300" simplePos="0" relativeHeight="251659264" behindDoc="1" locked="0" layoutInCell="1" allowOverlap="0" wp14:anchorId="42610F6E" wp14:editId="2099CDE6">
                    <wp:simplePos x="0" y="0"/>
                    <wp:positionH relativeFrom="page">
                      <wp:align>center</wp:align>
                    </wp:positionH>
                    <wp:positionV relativeFrom="page">
                      <wp:align>center</wp:align>
                    </wp:positionV>
                    <wp:extent cx="6858000" cy="9144000"/>
                    <wp:effectExtent l="0" t="0" r="0" b="0"/>
                    <wp:wrapNone/>
                    <wp:docPr id="8" name="Text Box 4"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C3302B" w:rsidRPr="00315735" w14:paraId="0779C6D4" w14:textId="77777777">
                                  <w:trPr>
                                    <w:trHeight w:hRule="exact" w:val="9360"/>
                                  </w:trPr>
                                  <w:tc>
                                    <w:tcPr>
                                      <w:tcW w:w="5000" w:type="pct"/>
                                    </w:tcPr>
                                    <w:p w14:paraId="1A674975" w14:textId="77777777" w:rsidR="00C3302B" w:rsidRPr="00315735" w:rsidRDefault="00C3302B">
                                      <w:r w:rsidRPr="00315735">
                                        <w:rPr>
                                          <w:noProof/>
                                        </w:rPr>
                                        <w:drawing>
                                          <wp:inline distT="0" distB="0" distL="0" distR="0" wp14:anchorId="7873AF87" wp14:editId="0921BC31">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C3302B" w:rsidRPr="00315735" w14:paraId="6E738851" w14:textId="77777777">
                                  <w:trPr>
                                    <w:trHeight w:hRule="exact" w:val="4320"/>
                                  </w:trPr>
                                  <w:tc>
                                    <w:tcPr>
                                      <w:tcW w:w="5000" w:type="pct"/>
                                      <w:shd w:val="clear" w:color="auto" w:fill="156082" w:themeFill="accent1"/>
                                      <w:vAlign w:val="center"/>
                                    </w:tcPr>
                                    <w:p w14:paraId="65CD64C4" w14:textId="63FA330A" w:rsidR="00C3302B" w:rsidRPr="009B300E" w:rsidRDefault="00000000">
                                      <w:pPr>
                                        <w:pStyle w:val="NoSpacing"/>
                                        <w:spacing w:before="200" w:line="216" w:lineRule="auto"/>
                                        <w:ind w:left="720" w:right="720"/>
                                        <w:rPr>
                                          <w:rFonts w:asciiTheme="majorHAnsi" w:hAnsiTheme="majorHAnsi"/>
                                          <w:color w:val="FFFFFF" w:themeColor="background1"/>
                                          <w:sz w:val="56"/>
                                          <w:szCs w:val="56"/>
                                          <w:lang w:val="en-GB"/>
                                        </w:rPr>
                                      </w:pPr>
                                      <w:sdt>
                                        <w:sdtPr>
                                          <w:rPr>
                                            <w:rFonts w:asciiTheme="majorHAnsi" w:hAnsiTheme="majorHAnsi"/>
                                            <w:color w:val="FFFFFF" w:themeColor="background1"/>
                                            <w:sz w:val="56"/>
                                            <w:szCs w:val="56"/>
                                            <w:lang w:val="en-GB"/>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EC38A5" w:rsidRPr="009B300E">
                                            <w:rPr>
                                              <w:rFonts w:asciiTheme="majorHAnsi" w:hAnsiTheme="majorHAnsi"/>
                                              <w:color w:val="FFFFFF" w:themeColor="background1"/>
                                              <w:sz w:val="56"/>
                                              <w:szCs w:val="56"/>
                                              <w:lang w:val="en-GB"/>
                                            </w:rPr>
                                            <w:t>Individual Project: Executive Summary</w:t>
                                          </w:r>
                                        </w:sdtContent>
                                      </w:sdt>
                                    </w:p>
                                    <w:p w14:paraId="139FA46C" w14:textId="3F915F46" w:rsidR="00C3302B" w:rsidRPr="00315735" w:rsidRDefault="00000000">
                                      <w:pPr>
                                        <w:pStyle w:val="NoSpacing"/>
                                        <w:spacing w:before="240"/>
                                        <w:ind w:left="720" w:right="720"/>
                                        <w:rPr>
                                          <w:color w:val="FFFFFF" w:themeColor="background1"/>
                                          <w:sz w:val="32"/>
                                          <w:szCs w:val="32"/>
                                          <w:lang w:val="en-GB"/>
                                        </w:rPr>
                                      </w:pPr>
                                      <w:sdt>
                                        <w:sdtPr>
                                          <w:rPr>
                                            <w:color w:val="FFFFFF" w:themeColor="background1"/>
                                            <w:sz w:val="40"/>
                                            <w:szCs w:val="40"/>
                                            <w:lang w:val="en-GB"/>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EC38A5" w:rsidRPr="009B300E">
                                            <w:rPr>
                                              <w:color w:val="FFFFFF" w:themeColor="background1"/>
                                              <w:sz w:val="40"/>
                                              <w:szCs w:val="40"/>
                                              <w:lang w:val="en-GB"/>
                                            </w:rPr>
                                            <w:t>Risk Assessment and Disaster Recovery Plan</w:t>
                                          </w:r>
                                        </w:sdtContent>
                                      </w:sdt>
                                      <w:r w:rsidR="00C3302B" w:rsidRPr="00315735">
                                        <w:rPr>
                                          <w:color w:val="FFFFFF" w:themeColor="background1"/>
                                          <w:sz w:val="32"/>
                                          <w:szCs w:val="32"/>
                                          <w:lang w:val="en-GB"/>
                                        </w:rPr>
                                        <w:t xml:space="preserve"> </w:t>
                                      </w:r>
                                    </w:p>
                                  </w:tc>
                                </w:tr>
                                <w:tr w:rsidR="00C3302B" w:rsidRPr="00315735" w14:paraId="7CC8BBAF"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C3302B" w:rsidRPr="00D61DBC" w14:paraId="070790E4" w14:textId="77777777">
                                        <w:trPr>
                                          <w:trHeight w:hRule="exact" w:val="720"/>
                                        </w:trPr>
                                        <w:sdt>
                                          <w:sdtPr>
                                            <w:rPr>
                                              <w:color w:val="FFFFFF" w:themeColor="background1"/>
                                              <w:lang w:val="en-GB"/>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61417765" w14:textId="4A579788" w:rsidR="00C3302B" w:rsidRPr="00D61DBC" w:rsidRDefault="006C4161">
                                                <w:pPr>
                                                  <w:pStyle w:val="NoSpacing"/>
                                                  <w:ind w:left="144" w:right="144"/>
                                                  <w:jc w:val="center"/>
                                                  <w:rPr>
                                                    <w:color w:val="FFFFFF" w:themeColor="background1"/>
                                                    <w:lang w:val="en-GB"/>
                                                  </w:rPr>
                                                </w:pPr>
                                                <w:r w:rsidRPr="00D61DBC">
                                                  <w:rPr>
                                                    <w:color w:val="FFFFFF" w:themeColor="background1"/>
                                                    <w:lang w:val="en-GB"/>
                                                  </w:rPr>
                                                  <w:t xml:space="preserve">Milad </w:t>
                                                </w:r>
                                                <w:r w:rsidR="00C3302B" w:rsidRPr="00D61DBC">
                                                  <w:rPr>
                                                    <w:color w:val="FFFFFF" w:themeColor="background1"/>
                                                    <w:lang w:val="en-GB"/>
                                                  </w:rPr>
                                                  <w:t>C</w:t>
                                                </w:r>
                                                <w:r w:rsidRPr="00D61DBC">
                                                  <w:rPr>
                                                    <w:color w:val="FFFFFF" w:themeColor="background1"/>
                                                    <w:lang w:val="en-GB"/>
                                                  </w:rPr>
                                                  <w:t>howdhury</w:t>
                                                </w:r>
                                              </w:p>
                                            </w:tc>
                                          </w:sdtContent>
                                        </w:sdt>
                                        <w:tc>
                                          <w:tcPr>
                                            <w:tcW w:w="3591" w:type="dxa"/>
                                            <w:vAlign w:val="center"/>
                                          </w:tcPr>
                                          <w:sdt>
                                            <w:sdtPr>
                                              <w:rPr>
                                                <w:color w:val="FFFFFF" w:themeColor="background1"/>
                                                <w:lang w:val="en-GB"/>
                                              </w:rPr>
                                              <w:alias w:val="Date"/>
                                              <w:tag w:val=""/>
                                              <w:id w:val="-1047523169"/>
                                              <w:dataBinding w:prefixMappings="xmlns:ns0='http://schemas.microsoft.com/office/2006/coverPageProps' " w:xpath="/ns0:CoverPageProperties[1]/ns0:PublishDate[1]" w:storeItemID="{55AF091B-3C7A-41E3-B477-F2FDAA23CFDA}"/>
                                              <w:date w:fullDate="2025-01-18T00:00:00Z">
                                                <w:dateFormat w:val="M/d/yy"/>
                                                <w:lid w:val="en-US"/>
                                                <w:storeMappedDataAs w:val="dateTime"/>
                                                <w:calendar w:val="gregorian"/>
                                              </w:date>
                                            </w:sdtPr>
                                            <w:sdtContent>
                                              <w:p w14:paraId="278E5428" w14:textId="6D5CE7AE" w:rsidR="00C3302B" w:rsidRPr="00D61DBC" w:rsidRDefault="00D66DBC">
                                                <w:pPr>
                                                  <w:pStyle w:val="NoSpacing"/>
                                                  <w:ind w:left="144" w:right="144"/>
                                                  <w:jc w:val="center"/>
                                                  <w:rPr>
                                                    <w:color w:val="FFFFFF" w:themeColor="background1"/>
                                                    <w:lang w:val="en-GB"/>
                                                  </w:rPr>
                                                </w:pPr>
                                                <w:r w:rsidRPr="00D61DBC">
                                                  <w:rPr>
                                                    <w:color w:val="FFFFFF" w:themeColor="background1"/>
                                                  </w:rPr>
                                                  <w:t>1/18/25</w:t>
                                                </w:r>
                                              </w:p>
                                            </w:sdtContent>
                                          </w:sdt>
                                        </w:tc>
                                        <w:sdt>
                                          <w:sdtPr>
                                            <w:rPr>
                                              <w:color w:val="FFFFFF" w:themeColor="background1"/>
                                              <w:lang w:val="en-GB"/>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A3F3CAE" w14:textId="47791CAB" w:rsidR="00C3302B" w:rsidRPr="00D61DBC" w:rsidRDefault="004D348C">
                                                <w:pPr>
                                                  <w:pStyle w:val="NoSpacing"/>
                                                  <w:ind w:left="144" w:right="720"/>
                                                  <w:jc w:val="right"/>
                                                  <w:rPr>
                                                    <w:color w:val="FFFFFF" w:themeColor="background1"/>
                                                    <w:lang w:val="en-GB"/>
                                                  </w:rPr>
                                                </w:pPr>
                                                <w:r w:rsidRPr="00D61DBC">
                                                  <w:rPr>
                                                    <w:color w:val="FFFFFF" w:themeColor="background1"/>
                                                    <w:lang w:val="en-GB"/>
                                                  </w:rPr>
                                                  <w:t>Security and Risk Management October 2024</w:t>
                                                </w:r>
                                              </w:p>
                                            </w:tc>
                                          </w:sdtContent>
                                        </w:sdt>
                                      </w:tr>
                                    </w:tbl>
                                    <w:p w14:paraId="484E3EB7" w14:textId="77777777" w:rsidR="00C3302B" w:rsidRPr="00D61DBC" w:rsidRDefault="00C3302B"/>
                                  </w:tc>
                                </w:tr>
                              </w:tbl>
                              <w:p w14:paraId="3BD5142C" w14:textId="77777777" w:rsidR="00C3302B" w:rsidRPr="00315735" w:rsidRDefault="00C3302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2610F6E" id="_x0000_t202" coordsize="21600,21600" o:spt="202" path="m,l,21600r21600,l21600,xe">
                    <v:stroke joinstyle="miter"/>
                    <v:path gradientshapeok="t" o:connecttype="rect"/>
                  </v:shapetype>
                  <v:shape id="Text Box 4" o:spid="_x0000_s1026" type="#_x0000_t202" alt="Cover page layout" style="position:absolute;left:0;text-align:left;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C3302B" w:rsidRPr="00315735" w14:paraId="0779C6D4" w14:textId="77777777">
                            <w:trPr>
                              <w:trHeight w:hRule="exact" w:val="9360"/>
                            </w:trPr>
                            <w:tc>
                              <w:tcPr>
                                <w:tcW w:w="5000" w:type="pct"/>
                              </w:tcPr>
                              <w:p w14:paraId="1A674975" w14:textId="77777777" w:rsidR="00C3302B" w:rsidRPr="00315735" w:rsidRDefault="00C3302B">
                                <w:r w:rsidRPr="00315735">
                                  <w:rPr>
                                    <w:noProof/>
                                  </w:rPr>
                                  <w:drawing>
                                    <wp:inline distT="0" distB="0" distL="0" distR="0" wp14:anchorId="7873AF87" wp14:editId="0921BC31">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C3302B" w:rsidRPr="00315735" w14:paraId="6E738851" w14:textId="77777777">
                            <w:trPr>
                              <w:trHeight w:hRule="exact" w:val="4320"/>
                            </w:trPr>
                            <w:tc>
                              <w:tcPr>
                                <w:tcW w:w="5000" w:type="pct"/>
                                <w:shd w:val="clear" w:color="auto" w:fill="156082" w:themeFill="accent1"/>
                                <w:vAlign w:val="center"/>
                              </w:tcPr>
                              <w:p w14:paraId="65CD64C4" w14:textId="63FA330A" w:rsidR="00C3302B" w:rsidRPr="009B300E" w:rsidRDefault="00000000">
                                <w:pPr>
                                  <w:pStyle w:val="NoSpacing"/>
                                  <w:spacing w:before="200" w:line="216" w:lineRule="auto"/>
                                  <w:ind w:left="720" w:right="720"/>
                                  <w:rPr>
                                    <w:rFonts w:asciiTheme="majorHAnsi" w:hAnsiTheme="majorHAnsi"/>
                                    <w:color w:val="FFFFFF" w:themeColor="background1"/>
                                    <w:sz w:val="56"/>
                                    <w:szCs w:val="56"/>
                                    <w:lang w:val="en-GB"/>
                                  </w:rPr>
                                </w:pPr>
                                <w:sdt>
                                  <w:sdtPr>
                                    <w:rPr>
                                      <w:rFonts w:asciiTheme="majorHAnsi" w:hAnsiTheme="majorHAnsi"/>
                                      <w:color w:val="FFFFFF" w:themeColor="background1"/>
                                      <w:sz w:val="56"/>
                                      <w:szCs w:val="56"/>
                                      <w:lang w:val="en-GB"/>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EC38A5" w:rsidRPr="009B300E">
                                      <w:rPr>
                                        <w:rFonts w:asciiTheme="majorHAnsi" w:hAnsiTheme="majorHAnsi"/>
                                        <w:color w:val="FFFFFF" w:themeColor="background1"/>
                                        <w:sz w:val="56"/>
                                        <w:szCs w:val="56"/>
                                        <w:lang w:val="en-GB"/>
                                      </w:rPr>
                                      <w:t>Individual Project: Executive Summary</w:t>
                                    </w:r>
                                  </w:sdtContent>
                                </w:sdt>
                              </w:p>
                              <w:p w14:paraId="139FA46C" w14:textId="3F915F46" w:rsidR="00C3302B" w:rsidRPr="00315735" w:rsidRDefault="00000000">
                                <w:pPr>
                                  <w:pStyle w:val="NoSpacing"/>
                                  <w:spacing w:before="240"/>
                                  <w:ind w:left="720" w:right="720"/>
                                  <w:rPr>
                                    <w:color w:val="FFFFFF" w:themeColor="background1"/>
                                    <w:sz w:val="32"/>
                                    <w:szCs w:val="32"/>
                                    <w:lang w:val="en-GB"/>
                                  </w:rPr>
                                </w:pPr>
                                <w:sdt>
                                  <w:sdtPr>
                                    <w:rPr>
                                      <w:color w:val="FFFFFF" w:themeColor="background1"/>
                                      <w:sz w:val="40"/>
                                      <w:szCs w:val="40"/>
                                      <w:lang w:val="en-GB"/>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EC38A5" w:rsidRPr="009B300E">
                                      <w:rPr>
                                        <w:color w:val="FFFFFF" w:themeColor="background1"/>
                                        <w:sz w:val="40"/>
                                        <w:szCs w:val="40"/>
                                        <w:lang w:val="en-GB"/>
                                      </w:rPr>
                                      <w:t>Risk Assessment and Disaster Recovery Plan</w:t>
                                    </w:r>
                                  </w:sdtContent>
                                </w:sdt>
                                <w:r w:rsidR="00C3302B" w:rsidRPr="00315735">
                                  <w:rPr>
                                    <w:color w:val="FFFFFF" w:themeColor="background1"/>
                                    <w:sz w:val="32"/>
                                    <w:szCs w:val="32"/>
                                    <w:lang w:val="en-GB"/>
                                  </w:rPr>
                                  <w:t xml:space="preserve"> </w:t>
                                </w:r>
                              </w:p>
                            </w:tc>
                          </w:tr>
                          <w:tr w:rsidR="00C3302B" w:rsidRPr="00315735" w14:paraId="7CC8BBAF"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C3302B" w:rsidRPr="00D61DBC" w14:paraId="070790E4" w14:textId="77777777">
                                  <w:trPr>
                                    <w:trHeight w:hRule="exact" w:val="720"/>
                                  </w:trPr>
                                  <w:sdt>
                                    <w:sdtPr>
                                      <w:rPr>
                                        <w:color w:val="FFFFFF" w:themeColor="background1"/>
                                        <w:lang w:val="en-GB"/>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61417765" w14:textId="4A579788" w:rsidR="00C3302B" w:rsidRPr="00D61DBC" w:rsidRDefault="006C4161">
                                          <w:pPr>
                                            <w:pStyle w:val="NoSpacing"/>
                                            <w:ind w:left="144" w:right="144"/>
                                            <w:jc w:val="center"/>
                                            <w:rPr>
                                              <w:color w:val="FFFFFF" w:themeColor="background1"/>
                                              <w:lang w:val="en-GB"/>
                                            </w:rPr>
                                          </w:pPr>
                                          <w:r w:rsidRPr="00D61DBC">
                                            <w:rPr>
                                              <w:color w:val="FFFFFF" w:themeColor="background1"/>
                                              <w:lang w:val="en-GB"/>
                                            </w:rPr>
                                            <w:t xml:space="preserve">Milad </w:t>
                                          </w:r>
                                          <w:r w:rsidR="00C3302B" w:rsidRPr="00D61DBC">
                                            <w:rPr>
                                              <w:color w:val="FFFFFF" w:themeColor="background1"/>
                                              <w:lang w:val="en-GB"/>
                                            </w:rPr>
                                            <w:t>C</w:t>
                                          </w:r>
                                          <w:r w:rsidRPr="00D61DBC">
                                            <w:rPr>
                                              <w:color w:val="FFFFFF" w:themeColor="background1"/>
                                              <w:lang w:val="en-GB"/>
                                            </w:rPr>
                                            <w:t>howdhury</w:t>
                                          </w:r>
                                        </w:p>
                                      </w:tc>
                                    </w:sdtContent>
                                  </w:sdt>
                                  <w:tc>
                                    <w:tcPr>
                                      <w:tcW w:w="3591" w:type="dxa"/>
                                      <w:vAlign w:val="center"/>
                                    </w:tcPr>
                                    <w:sdt>
                                      <w:sdtPr>
                                        <w:rPr>
                                          <w:color w:val="FFFFFF" w:themeColor="background1"/>
                                          <w:lang w:val="en-GB"/>
                                        </w:rPr>
                                        <w:alias w:val="Date"/>
                                        <w:tag w:val=""/>
                                        <w:id w:val="-1047523169"/>
                                        <w:dataBinding w:prefixMappings="xmlns:ns0='http://schemas.microsoft.com/office/2006/coverPageProps' " w:xpath="/ns0:CoverPageProperties[1]/ns0:PublishDate[1]" w:storeItemID="{55AF091B-3C7A-41E3-B477-F2FDAA23CFDA}"/>
                                        <w:date w:fullDate="2025-01-18T00:00:00Z">
                                          <w:dateFormat w:val="M/d/yy"/>
                                          <w:lid w:val="en-US"/>
                                          <w:storeMappedDataAs w:val="dateTime"/>
                                          <w:calendar w:val="gregorian"/>
                                        </w:date>
                                      </w:sdtPr>
                                      <w:sdtContent>
                                        <w:p w14:paraId="278E5428" w14:textId="6D5CE7AE" w:rsidR="00C3302B" w:rsidRPr="00D61DBC" w:rsidRDefault="00D66DBC">
                                          <w:pPr>
                                            <w:pStyle w:val="NoSpacing"/>
                                            <w:ind w:left="144" w:right="144"/>
                                            <w:jc w:val="center"/>
                                            <w:rPr>
                                              <w:color w:val="FFFFFF" w:themeColor="background1"/>
                                              <w:lang w:val="en-GB"/>
                                            </w:rPr>
                                          </w:pPr>
                                          <w:r w:rsidRPr="00D61DBC">
                                            <w:rPr>
                                              <w:color w:val="FFFFFF" w:themeColor="background1"/>
                                            </w:rPr>
                                            <w:t>1/18/25</w:t>
                                          </w:r>
                                        </w:p>
                                      </w:sdtContent>
                                    </w:sdt>
                                  </w:tc>
                                  <w:sdt>
                                    <w:sdtPr>
                                      <w:rPr>
                                        <w:color w:val="FFFFFF" w:themeColor="background1"/>
                                        <w:lang w:val="en-GB"/>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A3F3CAE" w14:textId="47791CAB" w:rsidR="00C3302B" w:rsidRPr="00D61DBC" w:rsidRDefault="004D348C">
                                          <w:pPr>
                                            <w:pStyle w:val="NoSpacing"/>
                                            <w:ind w:left="144" w:right="720"/>
                                            <w:jc w:val="right"/>
                                            <w:rPr>
                                              <w:color w:val="FFFFFF" w:themeColor="background1"/>
                                              <w:lang w:val="en-GB"/>
                                            </w:rPr>
                                          </w:pPr>
                                          <w:r w:rsidRPr="00D61DBC">
                                            <w:rPr>
                                              <w:color w:val="FFFFFF" w:themeColor="background1"/>
                                              <w:lang w:val="en-GB"/>
                                            </w:rPr>
                                            <w:t>Security and Risk Management October 2024</w:t>
                                          </w:r>
                                        </w:p>
                                      </w:tc>
                                    </w:sdtContent>
                                  </w:sdt>
                                </w:tr>
                              </w:tbl>
                              <w:p w14:paraId="484E3EB7" w14:textId="77777777" w:rsidR="00C3302B" w:rsidRPr="00D61DBC" w:rsidRDefault="00C3302B"/>
                            </w:tc>
                          </w:tr>
                        </w:tbl>
                        <w:p w14:paraId="3BD5142C" w14:textId="77777777" w:rsidR="00C3302B" w:rsidRPr="00315735" w:rsidRDefault="00C3302B"/>
                      </w:txbxContent>
                    </v:textbox>
                    <w10:wrap anchorx="page" anchory="page"/>
                  </v:shape>
                </w:pict>
              </mc:Fallback>
            </mc:AlternateContent>
          </w:r>
        </w:p>
        <w:p w14:paraId="3F67132C" w14:textId="477CA95A" w:rsidR="00C3302B" w:rsidRPr="00315735" w:rsidRDefault="00C3302B">
          <w:r w:rsidRPr="00315735">
            <w:br w:type="page"/>
          </w:r>
        </w:p>
      </w:sdtContent>
    </w:sdt>
    <w:sdt>
      <w:sdtPr>
        <w:rPr>
          <w:rFonts w:asciiTheme="minorHAnsi" w:eastAsiaTheme="minorHAnsi" w:hAnsiTheme="minorHAnsi" w:cstheme="minorBidi"/>
          <w:color w:val="auto"/>
          <w:kern w:val="2"/>
          <w:sz w:val="22"/>
          <w:szCs w:val="22"/>
          <w14:ligatures w14:val="standardContextual"/>
        </w:rPr>
        <w:id w:val="332111093"/>
        <w:docPartObj>
          <w:docPartGallery w:val="Table of Contents"/>
          <w:docPartUnique/>
        </w:docPartObj>
      </w:sdtPr>
      <w:sdtEndPr>
        <w:rPr>
          <w:b/>
          <w:bCs/>
          <w:lang w:val="en-GB"/>
        </w:rPr>
      </w:sdtEndPr>
      <w:sdtContent>
        <w:p w14:paraId="296802B8" w14:textId="004FA125" w:rsidR="00C3302B" w:rsidRPr="00315735" w:rsidRDefault="00C3302B" w:rsidP="00EB670A">
          <w:pPr>
            <w:pStyle w:val="TOCHeading"/>
          </w:pPr>
          <w:r w:rsidRPr="00315735">
            <w:t>Contents</w:t>
          </w:r>
        </w:p>
        <w:p w14:paraId="4C8FCDF1" w14:textId="1E1561F3" w:rsidR="00464383" w:rsidRDefault="00C3302B">
          <w:pPr>
            <w:pStyle w:val="TOC1"/>
            <w:tabs>
              <w:tab w:val="right" w:leader="dot" w:pos="9016"/>
            </w:tabs>
            <w:rPr>
              <w:rFonts w:eastAsiaTheme="minorEastAsia"/>
              <w:noProof/>
              <w:sz w:val="24"/>
              <w:szCs w:val="24"/>
              <w:lang w:eastAsia="en-GB"/>
            </w:rPr>
          </w:pPr>
          <w:r w:rsidRPr="00315735">
            <w:fldChar w:fldCharType="begin"/>
          </w:r>
          <w:r w:rsidRPr="00315735">
            <w:instrText xml:space="preserve"> TOC \o "1-3" \h \z \u </w:instrText>
          </w:r>
          <w:r w:rsidRPr="00315735">
            <w:fldChar w:fldCharType="separate"/>
          </w:r>
          <w:hyperlink w:anchor="_Toc188091911" w:history="1">
            <w:r w:rsidR="00464383" w:rsidRPr="00872AA7">
              <w:rPr>
                <w:rStyle w:val="Hyperlink"/>
                <w:noProof/>
              </w:rPr>
              <w:t>Executive Summary: Risk Assessment and Disaster Recovery Plan</w:t>
            </w:r>
            <w:r w:rsidR="00464383">
              <w:rPr>
                <w:noProof/>
                <w:webHidden/>
              </w:rPr>
              <w:tab/>
            </w:r>
            <w:r w:rsidR="00464383">
              <w:rPr>
                <w:noProof/>
                <w:webHidden/>
              </w:rPr>
              <w:fldChar w:fldCharType="begin"/>
            </w:r>
            <w:r w:rsidR="00464383">
              <w:rPr>
                <w:noProof/>
                <w:webHidden/>
              </w:rPr>
              <w:instrText xml:space="preserve"> PAGEREF _Toc188091911 \h </w:instrText>
            </w:r>
            <w:r w:rsidR="00464383">
              <w:rPr>
                <w:noProof/>
                <w:webHidden/>
              </w:rPr>
            </w:r>
            <w:r w:rsidR="00464383">
              <w:rPr>
                <w:noProof/>
                <w:webHidden/>
              </w:rPr>
              <w:fldChar w:fldCharType="separate"/>
            </w:r>
            <w:r w:rsidR="00464383">
              <w:rPr>
                <w:noProof/>
                <w:webHidden/>
              </w:rPr>
              <w:t>2</w:t>
            </w:r>
            <w:r w:rsidR="00464383">
              <w:rPr>
                <w:noProof/>
                <w:webHidden/>
              </w:rPr>
              <w:fldChar w:fldCharType="end"/>
            </w:r>
          </w:hyperlink>
        </w:p>
        <w:p w14:paraId="43DC61EE" w14:textId="250BD5D0" w:rsidR="00464383" w:rsidRDefault="00464383">
          <w:pPr>
            <w:pStyle w:val="TOC1"/>
            <w:tabs>
              <w:tab w:val="right" w:leader="dot" w:pos="9016"/>
            </w:tabs>
            <w:rPr>
              <w:rFonts w:eastAsiaTheme="minorEastAsia"/>
              <w:noProof/>
              <w:sz w:val="24"/>
              <w:szCs w:val="24"/>
              <w:lang w:eastAsia="en-GB"/>
            </w:rPr>
          </w:pPr>
          <w:hyperlink w:anchor="_Toc188091912" w:history="1">
            <w:r w:rsidRPr="00872AA7">
              <w:rPr>
                <w:rStyle w:val="Hyperlink"/>
                <w:noProof/>
              </w:rPr>
              <w:t>1. Introduction</w:t>
            </w:r>
            <w:r>
              <w:rPr>
                <w:noProof/>
                <w:webHidden/>
              </w:rPr>
              <w:tab/>
            </w:r>
            <w:r>
              <w:rPr>
                <w:noProof/>
                <w:webHidden/>
              </w:rPr>
              <w:fldChar w:fldCharType="begin"/>
            </w:r>
            <w:r>
              <w:rPr>
                <w:noProof/>
                <w:webHidden/>
              </w:rPr>
              <w:instrText xml:space="preserve"> PAGEREF _Toc188091912 \h </w:instrText>
            </w:r>
            <w:r>
              <w:rPr>
                <w:noProof/>
                <w:webHidden/>
              </w:rPr>
            </w:r>
            <w:r>
              <w:rPr>
                <w:noProof/>
                <w:webHidden/>
              </w:rPr>
              <w:fldChar w:fldCharType="separate"/>
            </w:r>
            <w:r>
              <w:rPr>
                <w:noProof/>
                <w:webHidden/>
              </w:rPr>
              <w:t>2</w:t>
            </w:r>
            <w:r>
              <w:rPr>
                <w:noProof/>
                <w:webHidden/>
              </w:rPr>
              <w:fldChar w:fldCharType="end"/>
            </w:r>
          </w:hyperlink>
        </w:p>
        <w:p w14:paraId="78A5B6F5" w14:textId="45343DA4" w:rsidR="00464383" w:rsidRDefault="00464383">
          <w:pPr>
            <w:pStyle w:val="TOC1"/>
            <w:tabs>
              <w:tab w:val="right" w:leader="dot" w:pos="9016"/>
            </w:tabs>
            <w:rPr>
              <w:rFonts w:eastAsiaTheme="minorEastAsia"/>
              <w:noProof/>
              <w:sz w:val="24"/>
              <w:szCs w:val="24"/>
              <w:lang w:eastAsia="en-GB"/>
            </w:rPr>
          </w:pPr>
          <w:hyperlink w:anchor="_Toc188091913" w:history="1">
            <w:r w:rsidRPr="00872AA7">
              <w:rPr>
                <w:rStyle w:val="Hyperlink"/>
                <w:noProof/>
              </w:rPr>
              <w:t>2. Risk Analysis: Potential Risks to Quality and Supply Chain</w:t>
            </w:r>
            <w:r>
              <w:rPr>
                <w:noProof/>
                <w:webHidden/>
              </w:rPr>
              <w:tab/>
            </w:r>
            <w:r>
              <w:rPr>
                <w:noProof/>
                <w:webHidden/>
              </w:rPr>
              <w:fldChar w:fldCharType="begin"/>
            </w:r>
            <w:r>
              <w:rPr>
                <w:noProof/>
                <w:webHidden/>
              </w:rPr>
              <w:instrText xml:space="preserve"> PAGEREF _Toc188091913 \h </w:instrText>
            </w:r>
            <w:r>
              <w:rPr>
                <w:noProof/>
                <w:webHidden/>
              </w:rPr>
            </w:r>
            <w:r>
              <w:rPr>
                <w:noProof/>
                <w:webHidden/>
              </w:rPr>
              <w:fldChar w:fldCharType="separate"/>
            </w:r>
            <w:r>
              <w:rPr>
                <w:noProof/>
                <w:webHidden/>
              </w:rPr>
              <w:t>2</w:t>
            </w:r>
            <w:r>
              <w:rPr>
                <w:noProof/>
                <w:webHidden/>
              </w:rPr>
              <w:fldChar w:fldCharType="end"/>
            </w:r>
          </w:hyperlink>
        </w:p>
        <w:p w14:paraId="0868CA7F" w14:textId="7E0A1B60" w:rsidR="00464383" w:rsidRDefault="00464383">
          <w:pPr>
            <w:pStyle w:val="TOC2"/>
            <w:tabs>
              <w:tab w:val="right" w:leader="dot" w:pos="9016"/>
            </w:tabs>
            <w:rPr>
              <w:rFonts w:eastAsiaTheme="minorEastAsia"/>
              <w:noProof/>
              <w:sz w:val="24"/>
              <w:szCs w:val="24"/>
              <w:lang w:eastAsia="en-GB"/>
            </w:rPr>
          </w:pPr>
          <w:hyperlink w:anchor="_Toc188091914" w:history="1">
            <w:r w:rsidRPr="00872AA7">
              <w:rPr>
                <w:rStyle w:val="Hyperlink"/>
                <w:noProof/>
              </w:rPr>
              <w:t>2.1 Identifying Key Risks</w:t>
            </w:r>
            <w:r>
              <w:rPr>
                <w:noProof/>
                <w:webHidden/>
              </w:rPr>
              <w:tab/>
            </w:r>
            <w:r>
              <w:rPr>
                <w:noProof/>
                <w:webHidden/>
              </w:rPr>
              <w:fldChar w:fldCharType="begin"/>
            </w:r>
            <w:r>
              <w:rPr>
                <w:noProof/>
                <w:webHidden/>
              </w:rPr>
              <w:instrText xml:space="preserve"> PAGEREF _Toc188091914 \h </w:instrText>
            </w:r>
            <w:r>
              <w:rPr>
                <w:noProof/>
                <w:webHidden/>
              </w:rPr>
            </w:r>
            <w:r>
              <w:rPr>
                <w:noProof/>
                <w:webHidden/>
              </w:rPr>
              <w:fldChar w:fldCharType="separate"/>
            </w:r>
            <w:r>
              <w:rPr>
                <w:noProof/>
                <w:webHidden/>
              </w:rPr>
              <w:t>2</w:t>
            </w:r>
            <w:r>
              <w:rPr>
                <w:noProof/>
                <w:webHidden/>
              </w:rPr>
              <w:fldChar w:fldCharType="end"/>
            </w:r>
          </w:hyperlink>
        </w:p>
        <w:p w14:paraId="372D166C" w14:textId="52E48BD0" w:rsidR="00464383" w:rsidRDefault="00464383">
          <w:pPr>
            <w:pStyle w:val="TOC2"/>
            <w:tabs>
              <w:tab w:val="right" w:leader="dot" w:pos="9016"/>
            </w:tabs>
            <w:rPr>
              <w:rFonts w:eastAsiaTheme="minorEastAsia"/>
              <w:noProof/>
              <w:sz w:val="24"/>
              <w:szCs w:val="24"/>
              <w:lang w:eastAsia="en-GB"/>
            </w:rPr>
          </w:pPr>
          <w:hyperlink w:anchor="_Toc188091915" w:history="1">
            <w:r w:rsidRPr="00872AA7">
              <w:rPr>
                <w:rStyle w:val="Hyperlink"/>
                <w:noProof/>
              </w:rPr>
              <w:t>2.2 Quantitative Risk Modelling</w:t>
            </w:r>
            <w:r>
              <w:rPr>
                <w:noProof/>
                <w:webHidden/>
              </w:rPr>
              <w:tab/>
            </w:r>
            <w:r>
              <w:rPr>
                <w:noProof/>
                <w:webHidden/>
              </w:rPr>
              <w:fldChar w:fldCharType="begin"/>
            </w:r>
            <w:r>
              <w:rPr>
                <w:noProof/>
                <w:webHidden/>
              </w:rPr>
              <w:instrText xml:space="preserve"> PAGEREF _Toc188091915 \h </w:instrText>
            </w:r>
            <w:r>
              <w:rPr>
                <w:noProof/>
                <w:webHidden/>
              </w:rPr>
            </w:r>
            <w:r>
              <w:rPr>
                <w:noProof/>
                <w:webHidden/>
              </w:rPr>
              <w:fldChar w:fldCharType="separate"/>
            </w:r>
            <w:r>
              <w:rPr>
                <w:noProof/>
                <w:webHidden/>
              </w:rPr>
              <w:t>3</w:t>
            </w:r>
            <w:r>
              <w:rPr>
                <w:noProof/>
                <w:webHidden/>
              </w:rPr>
              <w:fldChar w:fldCharType="end"/>
            </w:r>
          </w:hyperlink>
        </w:p>
        <w:p w14:paraId="57C1EE1F" w14:textId="73F23698" w:rsidR="00464383" w:rsidRDefault="00464383">
          <w:pPr>
            <w:pStyle w:val="TOC2"/>
            <w:tabs>
              <w:tab w:val="right" w:leader="dot" w:pos="9016"/>
            </w:tabs>
            <w:rPr>
              <w:rFonts w:eastAsiaTheme="minorEastAsia"/>
              <w:noProof/>
              <w:sz w:val="24"/>
              <w:szCs w:val="24"/>
              <w:lang w:eastAsia="en-GB"/>
            </w:rPr>
          </w:pPr>
          <w:hyperlink w:anchor="_Toc188091916" w:history="1">
            <w:r w:rsidRPr="00872AA7">
              <w:rPr>
                <w:rStyle w:val="Hyperlink"/>
                <w:noProof/>
              </w:rPr>
              <w:t>2.3 Graphical Representation of Risk Probabilities</w:t>
            </w:r>
            <w:r>
              <w:rPr>
                <w:noProof/>
                <w:webHidden/>
              </w:rPr>
              <w:tab/>
            </w:r>
            <w:r>
              <w:rPr>
                <w:noProof/>
                <w:webHidden/>
              </w:rPr>
              <w:fldChar w:fldCharType="begin"/>
            </w:r>
            <w:r>
              <w:rPr>
                <w:noProof/>
                <w:webHidden/>
              </w:rPr>
              <w:instrText xml:space="preserve"> PAGEREF _Toc188091916 \h </w:instrText>
            </w:r>
            <w:r>
              <w:rPr>
                <w:noProof/>
                <w:webHidden/>
              </w:rPr>
            </w:r>
            <w:r>
              <w:rPr>
                <w:noProof/>
                <w:webHidden/>
              </w:rPr>
              <w:fldChar w:fldCharType="separate"/>
            </w:r>
            <w:r>
              <w:rPr>
                <w:noProof/>
                <w:webHidden/>
              </w:rPr>
              <w:t>3</w:t>
            </w:r>
            <w:r>
              <w:rPr>
                <w:noProof/>
                <w:webHidden/>
              </w:rPr>
              <w:fldChar w:fldCharType="end"/>
            </w:r>
          </w:hyperlink>
        </w:p>
        <w:p w14:paraId="45D900A4" w14:textId="1EAD4E93" w:rsidR="00464383" w:rsidRDefault="00464383">
          <w:pPr>
            <w:pStyle w:val="TOC1"/>
            <w:tabs>
              <w:tab w:val="right" w:leader="dot" w:pos="9016"/>
            </w:tabs>
            <w:rPr>
              <w:rFonts w:eastAsiaTheme="minorEastAsia"/>
              <w:noProof/>
              <w:sz w:val="24"/>
              <w:szCs w:val="24"/>
              <w:lang w:eastAsia="en-GB"/>
            </w:rPr>
          </w:pPr>
          <w:hyperlink w:anchor="_Toc188091917" w:history="1">
            <w:r w:rsidRPr="00872AA7">
              <w:rPr>
                <w:rStyle w:val="Hyperlink"/>
                <w:noProof/>
              </w:rPr>
              <w:t>3. Business Continuity and Disaster Recovery (DR) Strategy</w:t>
            </w:r>
            <w:r>
              <w:rPr>
                <w:noProof/>
                <w:webHidden/>
              </w:rPr>
              <w:tab/>
            </w:r>
            <w:r>
              <w:rPr>
                <w:noProof/>
                <w:webHidden/>
              </w:rPr>
              <w:fldChar w:fldCharType="begin"/>
            </w:r>
            <w:r>
              <w:rPr>
                <w:noProof/>
                <w:webHidden/>
              </w:rPr>
              <w:instrText xml:space="preserve"> PAGEREF _Toc188091917 \h </w:instrText>
            </w:r>
            <w:r>
              <w:rPr>
                <w:noProof/>
                <w:webHidden/>
              </w:rPr>
            </w:r>
            <w:r>
              <w:rPr>
                <w:noProof/>
                <w:webHidden/>
              </w:rPr>
              <w:fldChar w:fldCharType="separate"/>
            </w:r>
            <w:r>
              <w:rPr>
                <w:noProof/>
                <w:webHidden/>
              </w:rPr>
              <w:t>4</w:t>
            </w:r>
            <w:r>
              <w:rPr>
                <w:noProof/>
                <w:webHidden/>
              </w:rPr>
              <w:fldChar w:fldCharType="end"/>
            </w:r>
          </w:hyperlink>
        </w:p>
        <w:p w14:paraId="30FA6434" w14:textId="41B6A261" w:rsidR="00464383" w:rsidRDefault="00464383">
          <w:pPr>
            <w:pStyle w:val="TOC2"/>
            <w:tabs>
              <w:tab w:val="right" w:leader="dot" w:pos="9016"/>
            </w:tabs>
            <w:rPr>
              <w:rFonts w:eastAsiaTheme="minorEastAsia"/>
              <w:noProof/>
              <w:sz w:val="24"/>
              <w:szCs w:val="24"/>
              <w:lang w:eastAsia="en-GB"/>
            </w:rPr>
          </w:pPr>
          <w:hyperlink w:anchor="_Toc188091918" w:history="1">
            <w:r w:rsidRPr="00872AA7">
              <w:rPr>
                <w:rStyle w:val="Hyperlink"/>
                <w:noProof/>
              </w:rPr>
              <w:t>3.1 Disaster Recovery Planning</w:t>
            </w:r>
            <w:r>
              <w:rPr>
                <w:noProof/>
                <w:webHidden/>
              </w:rPr>
              <w:tab/>
            </w:r>
            <w:r>
              <w:rPr>
                <w:noProof/>
                <w:webHidden/>
              </w:rPr>
              <w:fldChar w:fldCharType="begin"/>
            </w:r>
            <w:r>
              <w:rPr>
                <w:noProof/>
                <w:webHidden/>
              </w:rPr>
              <w:instrText xml:space="preserve"> PAGEREF _Toc188091918 \h </w:instrText>
            </w:r>
            <w:r>
              <w:rPr>
                <w:noProof/>
                <w:webHidden/>
              </w:rPr>
            </w:r>
            <w:r>
              <w:rPr>
                <w:noProof/>
                <w:webHidden/>
              </w:rPr>
              <w:fldChar w:fldCharType="separate"/>
            </w:r>
            <w:r>
              <w:rPr>
                <w:noProof/>
                <w:webHidden/>
              </w:rPr>
              <w:t>4</w:t>
            </w:r>
            <w:r>
              <w:rPr>
                <w:noProof/>
                <w:webHidden/>
              </w:rPr>
              <w:fldChar w:fldCharType="end"/>
            </w:r>
          </w:hyperlink>
        </w:p>
        <w:p w14:paraId="10E2E374" w14:textId="3728BFC0" w:rsidR="00464383" w:rsidRDefault="00464383">
          <w:pPr>
            <w:pStyle w:val="TOC2"/>
            <w:tabs>
              <w:tab w:val="right" w:leader="dot" w:pos="9016"/>
            </w:tabs>
            <w:rPr>
              <w:rFonts w:eastAsiaTheme="minorEastAsia"/>
              <w:noProof/>
              <w:sz w:val="24"/>
              <w:szCs w:val="24"/>
              <w:lang w:eastAsia="en-GB"/>
            </w:rPr>
          </w:pPr>
          <w:hyperlink w:anchor="_Toc188091919" w:history="1">
            <w:r w:rsidRPr="00872AA7">
              <w:rPr>
                <w:rStyle w:val="Hyperlink"/>
                <w:noProof/>
              </w:rPr>
              <w:t>3.2 DR Testing and Maintenance</w:t>
            </w:r>
            <w:r>
              <w:rPr>
                <w:noProof/>
                <w:webHidden/>
              </w:rPr>
              <w:tab/>
            </w:r>
            <w:r>
              <w:rPr>
                <w:noProof/>
                <w:webHidden/>
              </w:rPr>
              <w:fldChar w:fldCharType="begin"/>
            </w:r>
            <w:r>
              <w:rPr>
                <w:noProof/>
                <w:webHidden/>
              </w:rPr>
              <w:instrText xml:space="preserve"> PAGEREF _Toc188091919 \h </w:instrText>
            </w:r>
            <w:r>
              <w:rPr>
                <w:noProof/>
                <w:webHidden/>
              </w:rPr>
            </w:r>
            <w:r>
              <w:rPr>
                <w:noProof/>
                <w:webHidden/>
              </w:rPr>
              <w:fldChar w:fldCharType="separate"/>
            </w:r>
            <w:r>
              <w:rPr>
                <w:noProof/>
                <w:webHidden/>
              </w:rPr>
              <w:t>5</w:t>
            </w:r>
            <w:r>
              <w:rPr>
                <w:noProof/>
                <w:webHidden/>
              </w:rPr>
              <w:fldChar w:fldCharType="end"/>
            </w:r>
          </w:hyperlink>
        </w:p>
        <w:p w14:paraId="6B3C9455" w14:textId="5C82563F" w:rsidR="00464383" w:rsidRDefault="00464383">
          <w:pPr>
            <w:pStyle w:val="TOC2"/>
            <w:tabs>
              <w:tab w:val="right" w:leader="dot" w:pos="9016"/>
            </w:tabs>
            <w:rPr>
              <w:rFonts w:eastAsiaTheme="minorEastAsia"/>
              <w:noProof/>
              <w:sz w:val="24"/>
              <w:szCs w:val="24"/>
              <w:lang w:eastAsia="en-GB"/>
            </w:rPr>
          </w:pPr>
          <w:hyperlink w:anchor="_Toc188091920" w:history="1">
            <w:r w:rsidRPr="00872AA7">
              <w:rPr>
                <w:rStyle w:val="Hyperlink"/>
                <w:noProof/>
              </w:rPr>
              <w:t>3.3 Communication and Stakeholder Engagement</w:t>
            </w:r>
            <w:r>
              <w:rPr>
                <w:noProof/>
                <w:webHidden/>
              </w:rPr>
              <w:tab/>
            </w:r>
            <w:r>
              <w:rPr>
                <w:noProof/>
                <w:webHidden/>
              </w:rPr>
              <w:fldChar w:fldCharType="begin"/>
            </w:r>
            <w:r>
              <w:rPr>
                <w:noProof/>
                <w:webHidden/>
              </w:rPr>
              <w:instrText xml:space="preserve"> PAGEREF _Toc188091920 \h </w:instrText>
            </w:r>
            <w:r>
              <w:rPr>
                <w:noProof/>
                <w:webHidden/>
              </w:rPr>
            </w:r>
            <w:r>
              <w:rPr>
                <w:noProof/>
                <w:webHidden/>
              </w:rPr>
              <w:fldChar w:fldCharType="separate"/>
            </w:r>
            <w:r>
              <w:rPr>
                <w:noProof/>
                <w:webHidden/>
              </w:rPr>
              <w:t>5</w:t>
            </w:r>
            <w:r>
              <w:rPr>
                <w:noProof/>
                <w:webHidden/>
              </w:rPr>
              <w:fldChar w:fldCharType="end"/>
            </w:r>
          </w:hyperlink>
        </w:p>
        <w:p w14:paraId="0E136DC1" w14:textId="44E178ED" w:rsidR="00464383" w:rsidRDefault="00464383">
          <w:pPr>
            <w:pStyle w:val="TOC1"/>
            <w:tabs>
              <w:tab w:val="right" w:leader="dot" w:pos="9016"/>
            </w:tabs>
            <w:rPr>
              <w:rFonts w:eastAsiaTheme="minorEastAsia"/>
              <w:noProof/>
              <w:sz w:val="24"/>
              <w:szCs w:val="24"/>
              <w:lang w:eastAsia="en-GB"/>
            </w:rPr>
          </w:pPr>
          <w:hyperlink w:anchor="_Toc188091921" w:history="1">
            <w:r w:rsidRPr="00872AA7">
              <w:rPr>
                <w:rStyle w:val="Hyperlink"/>
                <w:noProof/>
              </w:rPr>
              <w:t>4. Legal and Ethical Considerations</w:t>
            </w:r>
            <w:r>
              <w:rPr>
                <w:noProof/>
                <w:webHidden/>
              </w:rPr>
              <w:tab/>
            </w:r>
            <w:r>
              <w:rPr>
                <w:noProof/>
                <w:webHidden/>
              </w:rPr>
              <w:fldChar w:fldCharType="begin"/>
            </w:r>
            <w:r>
              <w:rPr>
                <w:noProof/>
                <w:webHidden/>
              </w:rPr>
              <w:instrText xml:space="preserve"> PAGEREF _Toc188091921 \h </w:instrText>
            </w:r>
            <w:r>
              <w:rPr>
                <w:noProof/>
                <w:webHidden/>
              </w:rPr>
            </w:r>
            <w:r>
              <w:rPr>
                <w:noProof/>
                <w:webHidden/>
              </w:rPr>
              <w:fldChar w:fldCharType="separate"/>
            </w:r>
            <w:r>
              <w:rPr>
                <w:noProof/>
                <w:webHidden/>
              </w:rPr>
              <w:t>5</w:t>
            </w:r>
            <w:r>
              <w:rPr>
                <w:noProof/>
                <w:webHidden/>
              </w:rPr>
              <w:fldChar w:fldCharType="end"/>
            </w:r>
          </w:hyperlink>
        </w:p>
        <w:p w14:paraId="1A6635BF" w14:textId="62EDC158" w:rsidR="00464383" w:rsidRDefault="00464383">
          <w:pPr>
            <w:pStyle w:val="TOC3"/>
            <w:tabs>
              <w:tab w:val="right" w:leader="dot" w:pos="9016"/>
            </w:tabs>
            <w:rPr>
              <w:rFonts w:eastAsiaTheme="minorEastAsia"/>
              <w:noProof/>
              <w:sz w:val="24"/>
              <w:szCs w:val="24"/>
              <w:lang w:eastAsia="en-GB"/>
            </w:rPr>
          </w:pPr>
          <w:hyperlink w:anchor="_Toc188091922" w:history="1">
            <w:r w:rsidRPr="00872AA7">
              <w:rPr>
                <w:rStyle w:val="Hyperlink"/>
                <w:noProof/>
              </w:rPr>
              <w:t>4.1 Data Privacy and Protection</w:t>
            </w:r>
            <w:r>
              <w:rPr>
                <w:noProof/>
                <w:webHidden/>
              </w:rPr>
              <w:tab/>
            </w:r>
            <w:r>
              <w:rPr>
                <w:noProof/>
                <w:webHidden/>
              </w:rPr>
              <w:fldChar w:fldCharType="begin"/>
            </w:r>
            <w:r>
              <w:rPr>
                <w:noProof/>
                <w:webHidden/>
              </w:rPr>
              <w:instrText xml:space="preserve"> PAGEREF _Toc188091922 \h </w:instrText>
            </w:r>
            <w:r>
              <w:rPr>
                <w:noProof/>
                <w:webHidden/>
              </w:rPr>
            </w:r>
            <w:r>
              <w:rPr>
                <w:noProof/>
                <w:webHidden/>
              </w:rPr>
              <w:fldChar w:fldCharType="separate"/>
            </w:r>
            <w:r>
              <w:rPr>
                <w:noProof/>
                <w:webHidden/>
              </w:rPr>
              <w:t>5</w:t>
            </w:r>
            <w:r>
              <w:rPr>
                <w:noProof/>
                <w:webHidden/>
              </w:rPr>
              <w:fldChar w:fldCharType="end"/>
            </w:r>
          </w:hyperlink>
        </w:p>
        <w:p w14:paraId="5E288F71" w14:textId="4B855285" w:rsidR="00464383" w:rsidRDefault="00464383">
          <w:pPr>
            <w:pStyle w:val="TOC2"/>
            <w:tabs>
              <w:tab w:val="right" w:leader="dot" w:pos="9016"/>
            </w:tabs>
            <w:rPr>
              <w:rFonts w:eastAsiaTheme="minorEastAsia"/>
              <w:noProof/>
              <w:sz w:val="24"/>
              <w:szCs w:val="24"/>
              <w:lang w:eastAsia="en-GB"/>
            </w:rPr>
          </w:pPr>
          <w:hyperlink w:anchor="_Toc188091923" w:history="1">
            <w:r w:rsidRPr="00872AA7">
              <w:rPr>
                <w:rStyle w:val="Hyperlink"/>
                <w:noProof/>
              </w:rPr>
              <w:t>4.2 Ethical Use of Artificial Intelligence (AI)</w:t>
            </w:r>
            <w:r>
              <w:rPr>
                <w:noProof/>
                <w:webHidden/>
              </w:rPr>
              <w:tab/>
            </w:r>
            <w:r>
              <w:rPr>
                <w:noProof/>
                <w:webHidden/>
              </w:rPr>
              <w:fldChar w:fldCharType="begin"/>
            </w:r>
            <w:r>
              <w:rPr>
                <w:noProof/>
                <w:webHidden/>
              </w:rPr>
              <w:instrText xml:space="preserve"> PAGEREF _Toc188091923 \h </w:instrText>
            </w:r>
            <w:r>
              <w:rPr>
                <w:noProof/>
                <w:webHidden/>
              </w:rPr>
            </w:r>
            <w:r>
              <w:rPr>
                <w:noProof/>
                <w:webHidden/>
              </w:rPr>
              <w:fldChar w:fldCharType="separate"/>
            </w:r>
            <w:r>
              <w:rPr>
                <w:noProof/>
                <w:webHidden/>
              </w:rPr>
              <w:t>5</w:t>
            </w:r>
            <w:r>
              <w:rPr>
                <w:noProof/>
                <w:webHidden/>
              </w:rPr>
              <w:fldChar w:fldCharType="end"/>
            </w:r>
          </w:hyperlink>
        </w:p>
        <w:p w14:paraId="5513BE96" w14:textId="06418BCA" w:rsidR="00464383" w:rsidRDefault="00464383">
          <w:pPr>
            <w:pStyle w:val="TOC2"/>
            <w:tabs>
              <w:tab w:val="right" w:leader="dot" w:pos="9016"/>
            </w:tabs>
            <w:rPr>
              <w:rFonts w:eastAsiaTheme="minorEastAsia"/>
              <w:noProof/>
              <w:sz w:val="24"/>
              <w:szCs w:val="24"/>
              <w:lang w:eastAsia="en-GB"/>
            </w:rPr>
          </w:pPr>
          <w:hyperlink w:anchor="_Toc188091924" w:history="1">
            <w:r w:rsidRPr="00872AA7">
              <w:rPr>
                <w:rStyle w:val="Hyperlink"/>
                <w:noProof/>
              </w:rPr>
              <w:t>4.3 Environmental Sustainability</w:t>
            </w:r>
            <w:r>
              <w:rPr>
                <w:noProof/>
                <w:webHidden/>
              </w:rPr>
              <w:tab/>
            </w:r>
            <w:r>
              <w:rPr>
                <w:noProof/>
                <w:webHidden/>
              </w:rPr>
              <w:fldChar w:fldCharType="begin"/>
            </w:r>
            <w:r>
              <w:rPr>
                <w:noProof/>
                <w:webHidden/>
              </w:rPr>
              <w:instrText xml:space="preserve"> PAGEREF _Toc188091924 \h </w:instrText>
            </w:r>
            <w:r>
              <w:rPr>
                <w:noProof/>
                <w:webHidden/>
              </w:rPr>
            </w:r>
            <w:r>
              <w:rPr>
                <w:noProof/>
                <w:webHidden/>
              </w:rPr>
              <w:fldChar w:fldCharType="separate"/>
            </w:r>
            <w:r>
              <w:rPr>
                <w:noProof/>
                <w:webHidden/>
              </w:rPr>
              <w:t>6</w:t>
            </w:r>
            <w:r>
              <w:rPr>
                <w:noProof/>
                <w:webHidden/>
              </w:rPr>
              <w:fldChar w:fldCharType="end"/>
            </w:r>
          </w:hyperlink>
        </w:p>
        <w:p w14:paraId="718366D7" w14:textId="33E0BB0E" w:rsidR="00464383" w:rsidRDefault="00464383">
          <w:pPr>
            <w:pStyle w:val="TOC2"/>
            <w:tabs>
              <w:tab w:val="right" w:leader="dot" w:pos="9016"/>
            </w:tabs>
            <w:rPr>
              <w:rFonts w:eastAsiaTheme="minorEastAsia"/>
              <w:noProof/>
              <w:sz w:val="24"/>
              <w:szCs w:val="24"/>
              <w:lang w:eastAsia="en-GB"/>
            </w:rPr>
          </w:pPr>
          <w:hyperlink w:anchor="_Toc188091925" w:history="1">
            <w:r w:rsidRPr="00872AA7">
              <w:rPr>
                <w:rStyle w:val="Hyperlink"/>
                <w:noProof/>
              </w:rPr>
              <w:t>4.4 Implementation Timeline</w:t>
            </w:r>
            <w:r>
              <w:rPr>
                <w:noProof/>
                <w:webHidden/>
              </w:rPr>
              <w:tab/>
            </w:r>
            <w:r>
              <w:rPr>
                <w:noProof/>
                <w:webHidden/>
              </w:rPr>
              <w:fldChar w:fldCharType="begin"/>
            </w:r>
            <w:r>
              <w:rPr>
                <w:noProof/>
                <w:webHidden/>
              </w:rPr>
              <w:instrText xml:space="preserve"> PAGEREF _Toc188091925 \h </w:instrText>
            </w:r>
            <w:r>
              <w:rPr>
                <w:noProof/>
                <w:webHidden/>
              </w:rPr>
            </w:r>
            <w:r>
              <w:rPr>
                <w:noProof/>
                <w:webHidden/>
              </w:rPr>
              <w:fldChar w:fldCharType="separate"/>
            </w:r>
            <w:r>
              <w:rPr>
                <w:noProof/>
                <w:webHidden/>
              </w:rPr>
              <w:t>6</w:t>
            </w:r>
            <w:r>
              <w:rPr>
                <w:noProof/>
                <w:webHidden/>
              </w:rPr>
              <w:fldChar w:fldCharType="end"/>
            </w:r>
          </w:hyperlink>
        </w:p>
        <w:p w14:paraId="590D4AF4" w14:textId="46119C2C" w:rsidR="00464383" w:rsidRDefault="00464383">
          <w:pPr>
            <w:pStyle w:val="TOC1"/>
            <w:tabs>
              <w:tab w:val="right" w:leader="dot" w:pos="9016"/>
            </w:tabs>
            <w:rPr>
              <w:rFonts w:eastAsiaTheme="minorEastAsia"/>
              <w:noProof/>
              <w:sz w:val="24"/>
              <w:szCs w:val="24"/>
              <w:lang w:eastAsia="en-GB"/>
            </w:rPr>
          </w:pPr>
          <w:hyperlink w:anchor="_Toc188091926" w:history="1">
            <w:r w:rsidRPr="00872AA7">
              <w:rPr>
                <w:rStyle w:val="Hyperlink"/>
                <w:noProof/>
              </w:rPr>
              <w:t>5. Conclusion</w:t>
            </w:r>
            <w:r>
              <w:rPr>
                <w:noProof/>
                <w:webHidden/>
              </w:rPr>
              <w:tab/>
            </w:r>
            <w:r>
              <w:rPr>
                <w:noProof/>
                <w:webHidden/>
              </w:rPr>
              <w:fldChar w:fldCharType="begin"/>
            </w:r>
            <w:r>
              <w:rPr>
                <w:noProof/>
                <w:webHidden/>
              </w:rPr>
              <w:instrText xml:space="preserve"> PAGEREF _Toc188091926 \h </w:instrText>
            </w:r>
            <w:r>
              <w:rPr>
                <w:noProof/>
                <w:webHidden/>
              </w:rPr>
            </w:r>
            <w:r>
              <w:rPr>
                <w:noProof/>
                <w:webHidden/>
              </w:rPr>
              <w:fldChar w:fldCharType="separate"/>
            </w:r>
            <w:r>
              <w:rPr>
                <w:noProof/>
                <w:webHidden/>
              </w:rPr>
              <w:t>8</w:t>
            </w:r>
            <w:r>
              <w:rPr>
                <w:noProof/>
                <w:webHidden/>
              </w:rPr>
              <w:fldChar w:fldCharType="end"/>
            </w:r>
          </w:hyperlink>
        </w:p>
        <w:p w14:paraId="6E014E6D" w14:textId="5433E997" w:rsidR="00464383" w:rsidRDefault="00464383">
          <w:pPr>
            <w:pStyle w:val="TOC2"/>
            <w:tabs>
              <w:tab w:val="right" w:leader="dot" w:pos="9016"/>
            </w:tabs>
            <w:rPr>
              <w:rFonts w:eastAsiaTheme="minorEastAsia"/>
              <w:noProof/>
              <w:sz w:val="24"/>
              <w:szCs w:val="24"/>
              <w:lang w:eastAsia="en-GB"/>
            </w:rPr>
          </w:pPr>
          <w:hyperlink w:anchor="_Toc188091927" w:history="1">
            <w:r w:rsidRPr="00872AA7">
              <w:rPr>
                <w:rStyle w:val="Hyperlink"/>
                <w:noProof/>
              </w:rPr>
              <w:t>References</w:t>
            </w:r>
            <w:r>
              <w:rPr>
                <w:noProof/>
                <w:webHidden/>
              </w:rPr>
              <w:tab/>
            </w:r>
            <w:r>
              <w:rPr>
                <w:noProof/>
                <w:webHidden/>
              </w:rPr>
              <w:fldChar w:fldCharType="begin"/>
            </w:r>
            <w:r>
              <w:rPr>
                <w:noProof/>
                <w:webHidden/>
              </w:rPr>
              <w:instrText xml:space="preserve"> PAGEREF _Toc188091927 \h </w:instrText>
            </w:r>
            <w:r>
              <w:rPr>
                <w:noProof/>
                <w:webHidden/>
              </w:rPr>
            </w:r>
            <w:r>
              <w:rPr>
                <w:noProof/>
                <w:webHidden/>
              </w:rPr>
              <w:fldChar w:fldCharType="separate"/>
            </w:r>
            <w:r>
              <w:rPr>
                <w:noProof/>
                <w:webHidden/>
              </w:rPr>
              <w:t>9</w:t>
            </w:r>
            <w:r>
              <w:rPr>
                <w:noProof/>
                <w:webHidden/>
              </w:rPr>
              <w:fldChar w:fldCharType="end"/>
            </w:r>
          </w:hyperlink>
        </w:p>
        <w:p w14:paraId="163D208B" w14:textId="432A98FE" w:rsidR="00C3302B" w:rsidRPr="00315735" w:rsidRDefault="00C3302B">
          <w:r w:rsidRPr="00315735">
            <w:rPr>
              <w:b/>
              <w:bCs/>
            </w:rPr>
            <w:fldChar w:fldCharType="end"/>
          </w:r>
        </w:p>
      </w:sdtContent>
    </w:sdt>
    <w:p w14:paraId="7BF66C7C" w14:textId="77777777" w:rsidR="00683281" w:rsidRPr="00315735" w:rsidRDefault="00683281" w:rsidP="00EB670A">
      <w:pPr>
        <w:pStyle w:val="Heading1"/>
      </w:pPr>
    </w:p>
    <w:p w14:paraId="795AB339" w14:textId="77777777" w:rsidR="00683281" w:rsidRPr="00315735" w:rsidRDefault="00683281" w:rsidP="00EB670A">
      <w:pPr>
        <w:pStyle w:val="Heading1"/>
      </w:pPr>
    </w:p>
    <w:p w14:paraId="6CAEEDEA" w14:textId="77777777" w:rsidR="00683281" w:rsidRPr="00315735" w:rsidRDefault="00683281" w:rsidP="00EB670A">
      <w:pPr>
        <w:pStyle w:val="Heading1"/>
      </w:pPr>
    </w:p>
    <w:p w14:paraId="67DE73EA" w14:textId="77777777" w:rsidR="00683281" w:rsidRPr="00315735" w:rsidRDefault="00683281" w:rsidP="00EB670A">
      <w:pPr>
        <w:pStyle w:val="Heading1"/>
      </w:pPr>
    </w:p>
    <w:p w14:paraId="25129205" w14:textId="77777777" w:rsidR="00683281" w:rsidRDefault="00683281" w:rsidP="00EB670A">
      <w:pPr>
        <w:pStyle w:val="Heading1"/>
      </w:pPr>
    </w:p>
    <w:p w14:paraId="64DE01D0" w14:textId="77777777" w:rsidR="00F432B7" w:rsidRPr="00F432B7" w:rsidRDefault="00F432B7" w:rsidP="00F432B7"/>
    <w:p w14:paraId="5A53CBD5" w14:textId="77777777" w:rsidR="00683281" w:rsidRPr="00315735" w:rsidRDefault="00683281" w:rsidP="00683281"/>
    <w:p w14:paraId="7163D1C8" w14:textId="112DCCB2" w:rsidR="00C3302B" w:rsidRPr="00076673" w:rsidRDefault="00C3302B" w:rsidP="00EB670A">
      <w:pPr>
        <w:pStyle w:val="Heading1"/>
      </w:pPr>
      <w:bookmarkStart w:id="0" w:name="_Toc188091911"/>
      <w:r w:rsidRPr="00076673">
        <w:lastRenderedPageBreak/>
        <w:t>Executive Summary: Risk Assessment and Disaster Recovery Plan</w:t>
      </w:r>
      <w:bookmarkEnd w:id="0"/>
    </w:p>
    <w:p w14:paraId="58902F82" w14:textId="77777777" w:rsidR="00F432B7" w:rsidRDefault="00C3302B" w:rsidP="006A732A">
      <w:pPr>
        <w:pStyle w:val="Heading1"/>
        <w:spacing w:line="240" w:lineRule="auto"/>
      </w:pPr>
      <w:bookmarkStart w:id="1" w:name="_Toc188091912"/>
      <w:r w:rsidRPr="00076673">
        <w:t>1. Introduction</w:t>
      </w:r>
      <w:bookmarkEnd w:id="1"/>
    </w:p>
    <w:p w14:paraId="034402D2" w14:textId="77777777" w:rsidR="00222A7A" w:rsidRPr="00222A7A" w:rsidRDefault="00222A7A" w:rsidP="006A732A">
      <w:pPr>
        <w:spacing w:after="0" w:line="240" w:lineRule="auto"/>
      </w:pPr>
      <w:r w:rsidRPr="00222A7A">
        <w:t>Cathy’s company is undergoing a digital transformation to enhance operational capabilities and meet the demands of a growing international clientele. Key initiatives include:</w:t>
      </w:r>
    </w:p>
    <w:p w14:paraId="632CD3DB" w14:textId="77777777" w:rsidR="00222A7A" w:rsidRPr="00222A7A" w:rsidRDefault="00222A7A" w:rsidP="006A732A">
      <w:pPr>
        <w:numPr>
          <w:ilvl w:val="0"/>
          <w:numId w:val="21"/>
        </w:numPr>
        <w:spacing w:after="0" w:line="240" w:lineRule="auto"/>
      </w:pPr>
      <w:r w:rsidRPr="00222A7A">
        <w:rPr>
          <w:b/>
          <w:bCs/>
        </w:rPr>
        <w:t>Supply Chain Expansion</w:t>
      </w:r>
      <w:r w:rsidRPr="00222A7A">
        <w:t>: Integrating global markets and automated warehouse solutions.</w:t>
      </w:r>
    </w:p>
    <w:p w14:paraId="49C860C9" w14:textId="77777777" w:rsidR="00222A7A" w:rsidRPr="00222A7A" w:rsidRDefault="00222A7A" w:rsidP="006A732A">
      <w:pPr>
        <w:numPr>
          <w:ilvl w:val="0"/>
          <w:numId w:val="21"/>
        </w:numPr>
        <w:spacing w:after="0" w:line="240" w:lineRule="auto"/>
      </w:pPr>
      <w:r w:rsidRPr="00222A7A">
        <w:rPr>
          <w:b/>
          <w:bCs/>
        </w:rPr>
        <w:t>Efficiency Optimisation</w:t>
      </w:r>
      <w:r w:rsidRPr="00222A7A">
        <w:t>: Catering to high-profile clients, including HRH the King and Prince Albert II of Monaco.</w:t>
      </w:r>
    </w:p>
    <w:p w14:paraId="2735E2E7" w14:textId="77777777" w:rsidR="00222A7A" w:rsidRPr="00222A7A" w:rsidRDefault="00222A7A" w:rsidP="006A732A">
      <w:pPr>
        <w:spacing w:after="0" w:line="240" w:lineRule="auto"/>
      </w:pPr>
      <w:r w:rsidRPr="00222A7A">
        <w:t>The project leveraged:</w:t>
      </w:r>
    </w:p>
    <w:p w14:paraId="594E7043" w14:textId="77777777" w:rsidR="00222A7A" w:rsidRPr="00222A7A" w:rsidRDefault="00222A7A" w:rsidP="006A732A">
      <w:pPr>
        <w:numPr>
          <w:ilvl w:val="0"/>
          <w:numId w:val="22"/>
        </w:numPr>
        <w:spacing w:after="0" w:line="240" w:lineRule="auto"/>
      </w:pPr>
      <w:r w:rsidRPr="00222A7A">
        <w:rPr>
          <w:b/>
          <w:bCs/>
        </w:rPr>
        <w:t>Collaborative Efforts</w:t>
      </w:r>
      <w:r w:rsidRPr="00222A7A">
        <w:t>: Synthesising industry best practices and innovative disaster recovery frameworks.</w:t>
      </w:r>
    </w:p>
    <w:p w14:paraId="3135AAF5" w14:textId="77777777" w:rsidR="00222A7A" w:rsidRPr="00222A7A" w:rsidRDefault="00222A7A" w:rsidP="006A732A">
      <w:pPr>
        <w:numPr>
          <w:ilvl w:val="0"/>
          <w:numId w:val="22"/>
        </w:numPr>
        <w:spacing w:after="0" w:line="240" w:lineRule="auto"/>
      </w:pPr>
      <w:r w:rsidRPr="00222A7A">
        <w:rPr>
          <w:b/>
          <w:bCs/>
        </w:rPr>
        <w:t>Risk Identification</w:t>
      </w:r>
      <w:r w:rsidRPr="00222A7A">
        <w:t>: Addressing supply chain disruptions, cybersecurity threats, and quality control failures.</w:t>
      </w:r>
    </w:p>
    <w:p w14:paraId="72EC5311" w14:textId="77777777" w:rsidR="00222A7A" w:rsidRPr="00222A7A" w:rsidRDefault="00222A7A" w:rsidP="006A732A">
      <w:pPr>
        <w:numPr>
          <w:ilvl w:val="0"/>
          <w:numId w:val="22"/>
        </w:numPr>
        <w:spacing w:after="0" w:line="240" w:lineRule="auto"/>
      </w:pPr>
      <w:r w:rsidRPr="00222A7A">
        <w:rPr>
          <w:b/>
          <w:bCs/>
        </w:rPr>
        <w:t>Advanced Methodologies</w:t>
      </w:r>
      <w:r w:rsidRPr="00222A7A">
        <w:t>: Monte Carlo simulations for risk quantification and adherence to GDPR, ISO 27001, and NIST standards.</w:t>
      </w:r>
    </w:p>
    <w:p w14:paraId="18F9F385" w14:textId="0EC26273" w:rsidR="00222A7A" w:rsidRDefault="00222A7A" w:rsidP="006A732A">
      <w:pPr>
        <w:spacing w:after="0" w:line="240" w:lineRule="auto"/>
      </w:pPr>
      <w:r w:rsidRPr="00222A7A">
        <w:t>This executive summary focuses on scalability, cost-efficiency, and operational resilience to position Cathy’s company as a global market leader (Kumar, 2021; World Bank, 2023; Yamamoto, 2020).</w:t>
      </w:r>
    </w:p>
    <w:p w14:paraId="3EB4C28C" w14:textId="77777777" w:rsidR="00EB670A" w:rsidRDefault="00EB670A" w:rsidP="00222A7A">
      <w:pPr>
        <w:spacing w:after="0"/>
      </w:pPr>
    </w:p>
    <w:p w14:paraId="5ABE070E" w14:textId="71AC830B" w:rsidR="00EB670A" w:rsidRPr="00EB670A" w:rsidRDefault="00C3302B" w:rsidP="006A732A">
      <w:pPr>
        <w:pStyle w:val="Heading1"/>
        <w:spacing w:line="240" w:lineRule="auto"/>
      </w:pPr>
      <w:bookmarkStart w:id="2" w:name="_Toc188091913"/>
      <w:r w:rsidRPr="00315735">
        <w:t>2. Risk Analysis: Potential Risks to Quality and Supply Chain</w:t>
      </w:r>
      <w:bookmarkEnd w:id="2"/>
    </w:p>
    <w:p w14:paraId="1643D7BB" w14:textId="77777777" w:rsidR="00C3302B" w:rsidRPr="00315735" w:rsidRDefault="00C3302B" w:rsidP="006A732A">
      <w:pPr>
        <w:pStyle w:val="Heading2"/>
        <w:spacing w:before="0" w:line="240" w:lineRule="auto"/>
      </w:pPr>
      <w:bookmarkStart w:id="3" w:name="_Toc188091914"/>
      <w:r w:rsidRPr="00315735">
        <w:t>2.1 Identifying Key Risks</w:t>
      </w:r>
      <w:bookmarkEnd w:id="3"/>
    </w:p>
    <w:p w14:paraId="31102DB5" w14:textId="1AA03F0A" w:rsidR="00C94D09" w:rsidRPr="00C94D09" w:rsidRDefault="00C94D09" w:rsidP="00076673">
      <w:r w:rsidRPr="00076673">
        <w:rPr>
          <w:b/>
          <w:bCs/>
        </w:rPr>
        <w:t>Supply Chain Disruptions:</w:t>
      </w:r>
      <w:r w:rsidRPr="00C94D09">
        <w:t xml:space="preserve"> Geopolitical tensions, customs delays, and transportation bottlenecks can significantly impact delivery times and operational efficiency. For instance, unexpected political instability or trade disputes in key supplier countries can </w:t>
      </w:r>
      <w:r w:rsidR="006E660B">
        <w:t>delay</w:t>
      </w:r>
      <w:r w:rsidRPr="00C94D09">
        <w:t xml:space="preserve"> sourcing raw materials or finished goods. Additionally, reliance on just-in-time inventory systems exacerbates the impact of these disruptions, increasing the risk of stockouts during peak demand periods (World Bank, 2023).</w:t>
      </w:r>
    </w:p>
    <w:p w14:paraId="71B3A114" w14:textId="4D6EF3DB" w:rsidR="00C94D09" w:rsidRPr="00C94D09" w:rsidRDefault="00C94D09" w:rsidP="00076673">
      <w:r w:rsidRPr="00076673">
        <w:rPr>
          <w:b/>
          <w:bCs/>
        </w:rPr>
        <w:t xml:space="preserve">Quality Control Failures: </w:t>
      </w:r>
      <w:r w:rsidRPr="00C94D09">
        <w:t xml:space="preserve">Automation errors in warehouses may lead to product inconsistencies and reduced quality standards. Automated systems, while efficient, are prone to calibration issues and software glitches. </w:t>
      </w:r>
      <w:r w:rsidR="006E660B">
        <w:t xml:space="preserve">If undetected, these errors can result in defective products reaching customers, </w:t>
      </w:r>
      <w:r w:rsidRPr="00C94D09">
        <w:t xml:space="preserve">eroding </w:t>
      </w:r>
      <w:r w:rsidR="00120001" w:rsidRPr="00C94D09">
        <w:t>trust,</w:t>
      </w:r>
      <w:r w:rsidRPr="00C94D09">
        <w:t xml:space="preserve"> and tarnishing the brand’s reputation. Ensuring rigorous monitoring systems and periodic quality audits across automated facilities is essential to mitigate this risk (Yamamoto, 2020).</w:t>
      </w:r>
    </w:p>
    <w:p w14:paraId="676AE402" w14:textId="77777777" w:rsidR="006F6EA3" w:rsidRDefault="00C94D09" w:rsidP="00076673">
      <w:r w:rsidRPr="00076673">
        <w:rPr>
          <w:b/>
          <w:bCs/>
        </w:rPr>
        <w:t>Cybersecurity Threats:</w:t>
      </w:r>
      <w:r w:rsidRPr="00C94D09">
        <w:t xml:space="preserve"> The digitisation process increases exposure to data breaches, ransomware attacks, and supply chain cyber vulnerabilities. Cyberattacks targeting supplier networks or operational data can disrupt critical processes, including order fulfilment and customer service. Recent reports highlight that ransomware attacks on retail supply chains have risen 34% in the past year alone, emphasising the need for robust cybersecurity frameworks and regular threat assessments (ENISA, 2022).</w:t>
      </w:r>
    </w:p>
    <w:p w14:paraId="006570AE" w14:textId="6A2D5035" w:rsidR="00F27314" w:rsidRDefault="00C94D09" w:rsidP="00076673">
      <w:r w:rsidRPr="00076673">
        <w:rPr>
          <w:b/>
          <w:bCs/>
        </w:rPr>
        <w:t>Vendor Lock-In:</w:t>
      </w:r>
      <w:r w:rsidRPr="00C94D09">
        <w:t xml:space="preserve"> Over-reliance on single suppliers poses risks to flexibility and operational control. Dependency on a single vendor for critical operations, such as cloud services or key components, can lead to inflated costs and delays if the vendor experiences operational challenges. Diversifying the supplier base and negotiating flexible contract terms are vital strategies to mitigate this risk (Kumar, 2021).</w:t>
      </w:r>
    </w:p>
    <w:p w14:paraId="004AFB94" w14:textId="0C42F95F" w:rsidR="00C3302B" w:rsidRPr="00315735" w:rsidRDefault="00C3302B" w:rsidP="00076673">
      <w:pPr>
        <w:pStyle w:val="Heading2"/>
      </w:pPr>
      <w:bookmarkStart w:id="4" w:name="_Toc188091915"/>
      <w:r w:rsidRPr="00315735">
        <w:lastRenderedPageBreak/>
        <w:t>2.2 Quantitative Risk Modelling</w:t>
      </w:r>
      <w:bookmarkEnd w:id="4"/>
    </w:p>
    <w:p w14:paraId="7C874C86" w14:textId="6FDEB504" w:rsidR="00C3302B" w:rsidRPr="00315735" w:rsidRDefault="00CF03C3" w:rsidP="00076673">
      <w:r>
        <w:t xml:space="preserve">Quantitative risk analysis was conducted using Monte Carlo simulation, a statistical technique that evaluates potential risks by running numerous simulations to estimate the likelihood and impact of various scenarios. This approach is </w:t>
      </w:r>
      <w:r w:rsidR="00464383">
        <w:t>efficient</w:t>
      </w:r>
      <w:r>
        <w:t xml:space="preserve"> in complex environments like Cathy’s digitised, globalised supply chain, where uncertainties stem from multiple sources.</w:t>
      </w:r>
      <w:r w:rsidRPr="00315735">
        <w:t xml:space="preserve"> The</w:t>
      </w:r>
      <w:r w:rsidR="00C3302B" w:rsidRPr="00315735">
        <w:t xml:space="preserve"> following table outlines the risk factors identified:</w:t>
      </w:r>
    </w:p>
    <w:tbl>
      <w:tblPr>
        <w:tblStyle w:val="TableGrid"/>
        <w:tblW w:w="9067" w:type="dxa"/>
        <w:tblLook w:val="04A0" w:firstRow="1" w:lastRow="0" w:firstColumn="1" w:lastColumn="0" w:noHBand="0" w:noVBand="1"/>
      </w:tblPr>
      <w:tblGrid>
        <w:gridCol w:w="2160"/>
        <w:gridCol w:w="1521"/>
        <w:gridCol w:w="2799"/>
        <w:gridCol w:w="2587"/>
      </w:tblGrid>
      <w:tr w:rsidR="00C3302B" w:rsidRPr="00315735" w14:paraId="77FF98A0" w14:textId="77777777" w:rsidTr="00076673">
        <w:tc>
          <w:tcPr>
            <w:tcW w:w="2160" w:type="dxa"/>
          </w:tcPr>
          <w:p w14:paraId="6D8FB946" w14:textId="77777777" w:rsidR="00C3302B" w:rsidRPr="00757BAD" w:rsidRDefault="00C3302B" w:rsidP="00076673">
            <w:pPr>
              <w:jc w:val="left"/>
              <w:rPr>
                <w:b/>
                <w:bCs/>
                <w:sz w:val="20"/>
                <w:szCs w:val="20"/>
                <w:lang w:val="en-GB"/>
              </w:rPr>
            </w:pPr>
            <w:r w:rsidRPr="00757BAD">
              <w:rPr>
                <w:b/>
                <w:bCs/>
                <w:sz w:val="20"/>
                <w:szCs w:val="20"/>
                <w:lang w:val="en-GB"/>
              </w:rPr>
              <w:t>Risk Factor</w:t>
            </w:r>
          </w:p>
        </w:tc>
        <w:tc>
          <w:tcPr>
            <w:tcW w:w="1521" w:type="dxa"/>
          </w:tcPr>
          <w:p w14:paraId="3DC3915D" w14:textId="77777777" w:rsidR="00C3302B" w:rsidRPr="00757BAD" w:rsidRDefault="00C3302B" w:rsidP="00076673">
            <w:pPr>
              <w:jc w:val="left"/>
              <w:rPr>
                <w:b/>
                <w:bCs/>
                <w:sz w:val="20"/>
                <w:szCs w:val="20"/>
                <w:lang w:val="en-GB"/>
              </w:rPr>
            </w:pPr>
            <w:r w:rsidRPr="00757BAD">
              <w:rPr>
                <w:b/>
                <w:bCs/>
                <w:sz w:val="20"/>
                <w:szCs w:val="20"/>
                <w:lang w:val="en-GB"/>
              </w:rPr>
              <w:t>Probability (%)</w:t>
            </w:r>
          </w:p>
        </w:tc>
        <w:tc>
          <w:tcPr>
            <w:tcW w:w="2799" w:type="dxa"/>
          </w:tcPr>
          <w:p w14:paraId="12AC7C06" w14:textId="77777777" w:rsidR="00C3302B" w:rsidRPr="00757BAD" w:rsidRDefault="00C3302B" w:rsidP="00076673">
            <w:pPr>
              <w:jc w:val="left"/>
              <w:rPr>
                <w:b/>
                <w:bCs/>
                <w:sz w:val="20"/>
                <w:szCs w:val="20"/>
                <w:lang w:val="en-GB"/>
              </w:rPr>
            </w:pPr>
            <w:r w:rsidRPr="00757BAD">
              <w:rPr>
                <w:b/>
                <w:bCs/>
                <w:sz w:val="20"/>
                <w:szCs w:val="20"/>
                <w:lang w:val="en-GB"/>
              </w:rPr>
              <w:t>Impact on Product Quality (%)</w:t>
            </w:r>
          </w:p>
        </w:tc>
        <w:tc>
          <w:tcPr>
            <w:tcW w:w="2587" w:type="dxa"/>
          </w:tcPr>
          <w:p w14:paraId="7E1EA07B" w14:textId="77777777" w:rsidR="00C3302B" w:rsidRPr="00757BAD" w:rsidRDefault="00C3302B" w:rsidP="00076673">
            <w:pPr>
              <w:jc w:val="left"/>
              <w:rPr>
                <w:b/>
                <w:bCs/>
                <w:sz w:val="20"/>
                <w:szCs w:val="20"/>
                <w:lang w:val="en-GB"/>
              </w:rPr>
            </w:pPr>
            <w:r w:rsidRPr="00757BAD">
              <w:rPr>
                <w:b/>
                <w:bCs/>
                <w:sz w:val="20"/>
                <w:szCs w:val="20"/>
                <w:lang w:val="en-GB"/>
              </w:rPr>
              <w:t>Impact on Supply Chain (%)</w:t>
            </w:r>
          </w:p>
        </w:tc>
      </w:tr>
      <w:tr w:rsidR="00C3302B" w:rsidRPr="00315735" w14:paraId="31071291" w14:textId="77777777" w:rsidTr="00076673">
        <w:tc>
          <w:tcPr>
            <w:tcW w:w="2160" w:type="dxa"/>
          </w:tcPr>
          <w:p w14:paraId="238F1B67" w14:textId="77777777" w:rsidR="00C3302B" w:rsidRPr="00076673" w:rsidRDefault="00C3302B" w:rsidP="00076673">
            <w:pPr>
              <w:jc w:val="left"/>
              <w:rPr>
                <w:sz w:val="20"/>
                <w:szCs w:val="20"/>
                <w:lang w:val="en-GB"/>
              </w:rPr>
            </w:pPr>
            <w:r w:rsidRPr="00076673">
              <w:rPr>
                <w:sz w:val="20"/>
                <w:szCs w:val="20"/>
                <w:lang w:val="en-GB"/>
              </w:rPr>
              <w:t>Supply Chain Delays</w:t>
            </w:r>
          </w:p>
        </w:tc>
        <w:tc>
          <w:tcPr>
            <w:tcW w:w="1521" w:type="dxa"/>
          </w:tcPr>
          <w:p w14:paraId="441AF9D6" w14:textId="77777777" w:rsidR="00C3302B" w:rsidRPr="00076673" w:rsidRDefault="00C3302B" w:rsidP="00076673">
            <w:pPr>
              <w:jc w:val="left"/>
              <w:rPr>
                <w:sz w:val="20"/>
                <w:szCs w:val="20"/>
                <w:lang w:val="en-GB"/>
              </w:rPr>
            </w:pPr>
            <w:r w:rsidRPr="00076673">
              <w:rPr>
                <w:sz w:val="20"/>
                <w:szCs w:val="20"/>
                <w:lang w:val="en-GB"/>
              </w:rPr>
              <w:t>20</w:t>
            </w:r>
          </w:p>
        </w:tc>
        <w:tc>
          <w:tcPr>
            <w:tcW w:w="2799" w:type="dxa"/>
          </w:tcPr>
          <w:p w14:paraId="59EF6227" w14:textId="77777777" w:rsidR="00C3302B" w:rsidRPr="00076673" w:rsidRDefault="00C3302B" w:rsidP="00076673">
            <w:pPr>
              <w:jc w:val="left"/>
              <w:rPr>
                <w:sz w:val="20"/>
                <w:szCs w:val="20"/>
                <w:lang w:val="en-GB"/>
              </w:rPr>
            </w:pPr>
            <w:r w:rsidRPr="00076673">
              <w:rPr>
                <w:sz w:val="20"/>
                <w:szCs w:val="20"/>
                <w:lang w:val="en-GB"/>
              </w:rPr>
              <w:t>Moderate (15-25)</w:t>
            </w:r>
          </w:p>
        </w:tc>
        <w:tc>
          <w:tcPr>
            <w:tcW w:w="2587" w:type="dxa"/>
          </w:tcPr>
          <w:p w14:paraId="4F956316" w14:textId="77777777" w:rsidR="00C3302B" w:rsidRPr="00076673" w:rsidRDefault="00C3302B" w:rsidP="00076673">
            <w:pPr>
              <w:jc w:val="left"/>
              <w:rPr>
                <w:sz w:val="20"/>
                <w:szCs w:val="20"/>
                <w:lang w:val="en-GB"/>
              </w:rPr>
            </w:pPr>
            <w:r w:rsidRPr="00076673">
              <w:rPr>
                <w:sz w:val="20"/>
                <w:szCs w:val="20"/>
                <w:lang w:val="en-GB"/>
              </w:rPr>
              <w:t>High (30-35)</w:t>
            </w:r>
          </w:p>
        </w:tc>
      </w:tr>
      <w:tr w:rsidR="00C3302B" w:rsidRPr="00315735" w14:paraId="692A4403" w14:textId="77777777" w:rsidTr="00076673">
        <w:tc>
          <w:tcPr>
            <w:tcW w:w="2160" w:type="dxa"/>
          </w:tcPr>
          <w:p w14:paraId="77601AC4" w14:textId="77777777" w:rsidR="00C3302B" w:rsidRPr="00076673" w:rsidRDefault="00C3302B" w:rsidP="00076673">
            <w:pPr>
              <w:jc w:val="left"/>
              <w:rPr>
                <w:sz w:val="20"/>
                <w:szCs w:val="20"/>
                <w:lang w:val="en-GB"/>
              </w:rPr>
            </w:pPr>
            <w:r w:rsidRPr="00076673">
              <w:rPr>
                <w:sz w:val="20"/>
                <w:szCs w:val="20"/>
                <w:lang w:val="en-GB"/>
              </w:rPr>
              <w:t>Quality Control Failures</w:t>
            </w:r>
          </w:p>
        </w:tc>
        <w:tc>
          <w:tcPr>
            <w:tcW w:w="1521" w:type="dxa"/>
          </w:tcPr>
          <w:p w14:paraId="3CEFC617" w14:textId="77777777" w:rsidR="00C3302B" w:rsidRPr="00076673" w:rsidRDefault="00C3302B" w:rsidP="00076673">
            <w:pPr>
              <w:jc w:val="left"/>
              <w:rPr>
                <w:sz w:val="20"/>
                <w:szCs w:val="20"/>
                <w:lang w:val="en-GB"/>
              </w:rPr>
            </w:pPr>
            <w:r w:rsidRPr="00076673">
              <w:rPr>
                <w:sz w:val="20"/>
                <w:szCs w:val="20"/>
                <w:lang w:val="en-GB"/>
              </w:rPr>
              <w:t>15</w:t>
            </w:r>
          </w:p>
        </w:tc>
        <w:tc>
          <w:tcPr>
            <w:tcW w:w="2799" w:type="dxa"/>
          </w:tcPr>
          <w:p w14:paraId="558F47FB" w14:textId="77777777" w:rsidR="00C3302B" w:rsidRPr="00076673" w:rsidRDefault="00C3302B" w:rsidP="00076673">
            <w:pPr>
              <w:jc w:val="left"/>
              <w:rPr>
                <w:sz w:val="20"/>
                <w:szCs w:val="20"/>
                <w:lang w:val="en-GB"/>
              </w:rPr>
            </w:pPr>
            <w:r w:rsidRPr="00076673">
              <w:rPr>
                <w:sz w:val="20"/>
                <w:szCs w:val="20"/>
                <w:lang w:val="en-GB"/>
              </w:rPr>
              <w:t>High (25-35)</w:t>
            </w:r>
          </w:p>
        </w:tc>
        <w:tc>
          <w:tcPr>
            <w:tcW w:w="2587" w:type="dxa"/>
          </w:tcPr>
          <w:p w14:paraId="74C94A09" w14:textId="77777777" w:rsidR="00C3302B" w:rsidRPr="00076673" w:rsidRDefault="00C3302B" w:rsidP="00076673">
            <w:pPr>
              <w:jc w:val="left"/>
              <w:rPr>
                <w:sz w:val="20"/>
                <w:szCs w:val="20"/>
                <w:lang w:val="en-GB"/>
              </w:rPr>
            </w:pPr>
            <w:r w:rsidRPr="00076673">
              <w:rPr>
                <w:sz w:val="20"/>
                <w:szCs w:val="20"/>
                <w:lang w:val="en-GB"/>
              </w:rPr>
              <w:t>Low (5-10)</w:t>
            </w:r>
          </w:p>
        </w:tc>
      </w:tr>
      <w:tr w:rsidR="00C3302B" w:rsidRPr="00315735" w14:paraId="268D62AD" w14:textId="77777777" w:rsidTr="00076673">
        <w:tc>
          <w:tcPr>
            <w:tcW w:w="2160" w:type="dxa"/>
          </w:tcPr>
          <w:p w14:paraId="158013F7" w14:textId="77777777" w:rsidR="00C3302B" w:rsidRPr="00076673" w:rsidRDefault="00C3302B" w:rsidP="00076673">
            <w:pPr>
              <w:jc w:val="left"/>
              <w:rPr>
                <w:sz w:val="20"/>
                <w:szCs w:val="20"/>
                <w:lang w:val="en-GB"/>
              </w:rPr>
            </w:pPr>
            <w:r w:rsidRPr="00076673">
              <w:rPr>
                <w:sz w:val="20"/>
                <w:szCs w:val="20"/>
                <w:lang w:val="en-GB"/>
              </w:rPr>
              <w:t>Cybersecurity Breaches</w:t>
            </w:r>
          </w:p>
        </w:tc>
        <w:tc>
          <w:tcPr>
            <w:tcW w:w="1521" w:type="dxa"/>
          </w:tcPr>
          <w:p w14:paraId="6D8A9B48" w14:textId="77777777" w:rsidR="00C3302B" w:rsidRPr="00076673" w:rsidRDefault="00C3302B" w:rsidP="00076673">
            <w:pPr>
              <w:jc w:val="left"/>
              <w:rPr>
                <w:sz w:val="20"/>
                <w:szCs w:val="20"/>
                <w:lang w:val="en-GB"/>
              </w:rPr>
            </w:pPr>
            <w:r w:rsidRPr="00076673">
              <w:rPr>
                <w:sz w:val="20"/>
                <w:szCs w:val="20"/>
                <w:lang w:val="en-GB"/>
              </w:rPr>
              <w:t>10</w:t>
            </w:r>
          </w:p>
        </w:tc>
        <w:tc>
          <w:tcPr>
            <w:tcW w:w="2799" w:type="dxa"/>
          </w:tcPr>
          <w:p w14:paraId="79740DF7" w14:textId="77777777" w:rsidR="00C3302B" w:rsidRPr="00076673" w:rsidRDefault="00C3302B" w:rsidP="00076673">
            <w:pPr>
              <w:jc w:val="left"/>
              <w:rPr>
                <w:sz w:val="20"/>
                <w:szCs w:val="20"/>
                <w:lang w:val="en-GB"/>
              </w:rPr>
            </w:pPr>
            <w:r w:rsidRPr="00076673">
              <w:rPr>
                <w:sz w:val="20"/>
                <w:szCs w:val="20"/>
                <w:lang w:val="en-GB"/>
              </w:rPr>
              <w:t>Moderate (10-15)</w:t>
            </w:r>
          </w:p>
        </w:tc>
        <w:tc>
          <w:tcPr>
            <w:tcW w:w="2587" w:type="dxa"/>
          </w:tcPr>
          <w:p w14:paraId="7448C3D3" w14:textId="77777777" w:rsidR="00C3302B" w:rsidRPr="00076673" w:rsidRDefault="00C3302B" w:rsidP="00076673">
            <w:pPr>
              <w:jc w:val="left"/>
              <w:rPr>
                <w:sz w:val="20"/>
                <w:szCs w:val="20"/>
                <w:lang w:val="en-GB"/>
              </w:rPr>
            </w:pPr>
            <w:r w:rsidRPr="00076673">
              <w:rPr>
                <w:sz w:val="20"/>
                <w:szCs w:val="20"/>
                <w:lang w:val="en-GB"/>
              </w:rPr>
              <w:t>Moderate (15-20)</w:t>
            </w:r>
          </w:p>
        </w:tc>
      </w:tr>
    </w:tbl>
    <w:p w14:paraId="749AE10F" w14:textId="77777777" w:rsidR="00757BAD" w:rsidRDefault="00757BAD" w:rsidP="00757BAD"/>
    <w:p w14:paraId="26113A64" w14:textId="64CF025F" w:rsidR="00CF03C3" w:rsidRPr="00851A6E" w:rsidRDefault="00561F91" w:rsidP="00757BAD">
      <w:r w:rsidRPr="00561F91">
        <w:t>Monte Carlo simulations provide Cathy’s company with actionable insights, enabling prioritisation of mitigation strategies. The method also highlights the compounded risks when multiple factors coincide, such as delays exacerbated by cyberattacks, emphasising the need for a layered and adaptive risk management approach.</w:t>
      </w:r>
    </w:p>
    <w:p w14:paraId="190F456A" w14:textId="38D031BF" w:rsidR="00C3302B" w:rsidRPr="00315735" w:rsidRDefault="00C3302B" w:rsidP="006F6EA3">
      <w:pPr>
        <w:pStyle w:val="Heading2"/>
      </w:pPr>
      <w:bookmarkStart w:id="5" w:name="_Toc188091916"/>
      <w:r w:rsidRPr="00315735">
        <w:t>2.3 Graphical Representation of Risk Probabilities</w:t>
      </w:r>
      <w:bookmarkEnd w:id="5"/>
    </w:p>
    <w:p w14:paraId="67EFDD6A" w14:textId="4D78F299" w:rsidR="00847D31" w:rsidRDefault="00847D31" w:rsidP="00847D31">
      <w:pPr>
        <w:pStyle w:val="NormalWeb"/>
        <w:rPr>
          <w:rFonts w:asciiTheme="minorHAnsi" w:eastAsiaTheme="minorHAnsi" w:hAnsiTheme="minorHAnsi" w:cstheme="minorBidi"/>
          <w:kern w:val="2"/>
          <w:sz w:val="22"/>
          <w:szCs w:val="22"/>
          <w:lang w:eastAsia="en-US"/>
          <w14:ligatures w14:val="standardContextual"/>
        </w:rPr>
      </w:pPr>
      <w:r w:rsidRPr="00847D31">
        <w:rPr>
          <w:rFonts w:asciiTheme="minorHAnsi" w:eastAsiaTheme="minorHAnsi" w:hAnsiTheme="minorHAnsi" w:cstheme="minorBidi"/>
          <w:kern w:val="2"/>
          <w:sz w:val="22"/>
          <w:szCs w:val="22"/>
          <w:lang w:eastAsia="en-US"/>
          <w14:ligatures w14:val="standardContextual"/>
        </w:rPr>
        <w:t xml:space="preserve">The following bar chart </w:t>
      </w:r>
      <w:r w:rsidR="00851A6E">
        <w:rPr>
          <w:rFonts w:asciiTheme="minorHAnsi" w:eastAsiaTheme="minorHAnsi" w:hAnsiTheme="minorHAnsi" w:cstheme="minorBidi"/>
          <w:kern w:val="2"/>
          <w:sz w:val="22"/>
          <w:szCs w:val="22"/>
          <w:lang w:eastAsia="en-US"/>
          <w14:ligatures w14:val="standardContextual"/>
        </w:rPr>
        <w:t>visually represents</w:t>
      </w:r>
      <w:r w:rsidRPr="00847D31">
        <w:rPr>
          <w:rFonts w:asciiTheme="minorHAnsi" w:eastAsiaTheme="minorHAnsi" w:hAnsiTheme="minorHAnsi" w:cstheme="minorBidi"/>
          <w:kern w:val="2"/>
          <w:sz w:val="22"/>
          <w:szCs w:val="22"/>
          <w:lang w:eastAsia="en-US"/>
          <w14:ligatures w14:val="standardContextual"/>
        </w:rPr>
        <w:t xml:space="preserve"> the probabilities of each identified risk, offering valuable insights into their potential impact on operations. By illustrating the likelihood of risks such as supply chain delays, quality control failures, and cybersecurity breaches, the chart helps prioritise mitigation efforts. For example:</w:t>
      </w:r>
    </w:p>
    <w:p w14:paraId="424A3AE6" w14:textId="76D27DC5" w:rsidR="00847D31" w:rsidRPr="00847D31" w:rsidRDefault="00851A6E" w:rsidP="00847D31">
      <w:pPr>
        <w:pStyle w:val="NormalWeb"/>
        <w:rPr>
          <w:rFonts w:asciiTheme="minorHAnsi" w:eastAsiaTheme="minorHAnsi" w:hAnsiTheme="minorHAnsi" w:cstheme="minorBidi"/>
          <w:kern w:val="2"/>
          <w:sz w:val="22"/>
          <w:szCs w:val="22"/>
          <w:lang w:eastAsia="en-US"/>
          <w14:ligatures w14:val="standardContextual"/>
        </w:rPr>
      </w:pPr>
      <w:r w:rsidRPr="00315735">
        <w:rPr>
          <w:noProof/>
        </w:rPr>
        <w:drawing>
          <wp:inline distT="0" distB="0" distL="0" distR="0" wp14:anchorId="042FE7BB" wp14:editId="3CD99978">
            <wp:extent cx="4286250" cy="2678906"/>
            <wp:effectExtent l="0" t="0" r="0" b="7620"/>
            <wp:docPr id="4"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graph of different colored bar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8297" cy="2686435"/>
                    </a:xfrm>
                    <a:prstGeom prst="rect">
                      <a:avLst/>
                    </a:prstGeom>
                    <a:noFill/>
                    <a:ln>
                      <a:noFill/>
                    </a:ln>
                  </pic:spPr>
                </pic:pic>
              </a:graphicData>
            </a:graphic>
          </wp:inline>
        </w:drawing>
      </w:r>
    </w:p>
    <w:p w14:paraId="133FBCDB" w14:textId="1FCFABC4" w:rsidR="00847D31" w:rsidRPr="00847D31" w:rsidRDefault="00847D31" w:rsidP="00CD670A">
      <w:pPr>
        <w:pStyle w:val="ListParagraph"/>
        <w:numPr>
          <w:ilvl w:val="0"/>
          <w:numId w:val="5"/>
        </w:numPr>
      </w:pPr>
      <w:r w:rsidRPr="006F6EA3">
        <w:rPr>
          <w:b/>
          <w:bCs/>
        </w:rPr>
        <w:t>Supply Chain Delays:</w:t>
      </w:r>
      <w:r w:rsidRPr="00847D31">
        <w:t xml:space="preserve"> The chart highlights a 20% probability of delays, indicating the need for </w:t>
      </w:r>
      <w:r w:rsidR="006C3B10" w:rsidRPr="00847D31">
        <w:t>initiative-taking</w:t>
      </w:r>
      <w:r w:rsidRPr="00847D31">
        <w:t xml:space="preserve"> measures like diversifying suppliers and enhancing logistical flexibility.</w:t>
      </w:r>
    </w:p>
    <w:p w14:paraId="2DE69884" w14:textId="65D03926" w:rsidR="00847D31" w:rsidRPr="00847D31" w:rsidRDefault="00847D31" w:rsidP="00CD670A">
      <w:pPr>
        <w:pStyle w:val="ListParagraph"/>
        <w:numPr>
          <w:ilvl w:val="0"/>
          <w:numId w:val="5"/>
        </w:numPr>
      </w:pPr>
      <w:r w:rsidRPr="006F6EA3">
        <w:rPr>
          <w:b/>
          <w:bCs/>
        </w:rPr>
        <w:t>Quality Control Failures:</w:t>
      </w:r>
      <w:r w:rsidRPr="00847D31">
        <w:t xml:space="preserve"> A 15% probability reflects a significant risk to product quality, emphasising the importance of robust monitoring and regular calibration of automated systems.</w:t>
      </w:r>
    </w:p>
    <w:p w14:paraId="1791954F" w14:textId="5119E44E" w:rsidR="00C3302B" w:rsidRPr="00315735" w:rsidRDefault="00847D31" w:rsidP="00C3302B">
      <w:pPr>
        <w:pStyle w:val="ListParagraph"/>
        <w:numPr>
          <w:ilvl w:val="0"/>
          <w:numId w:val="5"/>
        </w:numPr>
      </w:pPr>
      <w:r w:rsidRPr="006F6EA3">
        <w:rPr>
          <w:b/>
          <w:bCs/>
        </w:rPr>
        <w:lastRenderedPageBreak/>
        <w:t>Cybersecurity Breaches:</w:t>
      </w:r>
      <w:r w:rsidRPr="00847D31">
        <w:t xml:space="preserve"> Although less likely at 10%, their moderate impact on product quality and supply chain underscores the importance of strong cybersecurity defences.</w:t>
      </w:r>
    </w:p>
    <w:p w14:paraId="4719B3F1" w14:textId="77777777" w:rsidR="00C3302B" w:rsidRPr="000B002B" w:rsidRDefault="00C3302B" w:rsidP="00EB670A">
      <w:pPr>
        <w:pStyle w:val="Heading1"/>
      </w:pPr>
      <w:bookmarkStart w:id="6" w:name="_Toc188091917"/>
      <w:r w:rsidRPr="000B002B">
        <w:t>3. Business Continuity and Disaster Recovery (DR) Strategy</w:t>
      </w:r>
      <w:bookmarkEnd w:id="6"/>
    </w:p>
    <w:p w14:paraId="56D8E69F" w14:textId="77777777" w:rsidR="00865506" w:rsidRDefault="00C3302B" w:rsidP="006F6EA3">
      <w:pPr>
        <w:jc w:val="left"/>
      </w:pPr>
      <w:r w:rsidRPr="00315735">
        <w:t>To mitigate these risks and maintain operational stability, Cathy’s company must implement a robust DR strategy with the following critical requirements:</w:t>
      </w:r>
    </w:p>
    <w:p w14:paraId="387BD802" w14:textId="77777777" w:rsidR="00865506" w:rsidRDefault="00C3302B" w:rsidP="00865506">
      <w:pPr>
        <w:pStyle w:val="ListParagraph"/>
        <w:numPr>
          <w:ilvl w:val="0"/>
          <w:numId w:val="6"/>
        </w:numPr>
        <w:jc w:val="left"/>
      </w:pPr>
      <w:r w:rsidRPr="00865506">
        <w:rPr>
          <w:b/>
          <w:bCs/>
        </w:rPr>
        <w:t>Availability:</w:t>
      </w:r>
      <w:r w:rsidRPr="006F6EA3">
        <w:t xml:space="preserve"> Ensure uninterrupted operations 24/7/365.</w:t>
      </w:r>
    </w:p>
    <w:p w14:paraId="35DD1526" w14:textId="77777777" w:rsidR="00865506" w:rsidRDefault="00C3302B" w:rsidP="00865506">
      <w:pPr>
        <w:pStyle w:val="ListParagraph"/>
        <w:numPr>
          <w:ilvl w:val="0"/>
          <w:numId w:val="6"/>
        </w:numPr>
        <w:jc w:val="left"/>
      </w:pPr>
      <w:r w:rsidRPr="00865506">
        <w:rPr>
          <w:b/>
          <w:bCs/>
        </w:rPr>
        <w:t>Recovery Time Objective (RTO):</w:t>
      </w:r>
      <w:r w:rsidRPr="006F6EA3">
        <w:t xml:space="preserve"> Implement a one-minute recovery window during disruptions.</w:t>
      </w:r>
    </w:p>
    <w:p w14:paraId="4018FFE4" w14:textId="4E9E9C40" w:rsidR="00C3302B" w:rsidRDefault="00C3302B" w:rsidP="00865506">
      <w:pPr>
        <w:pStyle w:val="ListParagraph"/>
        <w:numPr>
          <w:ilvl w:val="0"/>
          <w:numId w:val="6"/>
        </w:numPr>
        <w:jc w:val="left"/>
      </w:pPr>
      <w:r w:rsidRPr="00865506">
        <w:rPr>
          <w:b/>
          <w:bCs/>
        </w:rPr>
        <w:t>Recovery Point Objective (RPO):</w:t>
      </w:r>
      <w:r w:rsidRPr="006F6EA3">
        <w:t xml:space="preserve"> Guarantee that no more than one minute of data is lost.</w:t>
      </w:r>
    </w:p>
    <w:p w14:paraId="6B6ABBBE" w14:textId="6B14F7DB" w:rsidR="007F7D57" w:rsidRPr="00315735" w:rsidRDefault="000E6F05" w:rsidP="0072252D">
      <w:pPr>
        <w:jc w:val="left"/>
      </w:pPr>
      <w:r w:rsidRPr="000E6F05">
        <w:drawing>
          <wp:inline distT="0" distB="0" distL="0" distR="0" wp14:anchorId="3176557B" wp14:editId="3FD97560">
            <wp:extent cx="5731510" cy="3415665"/>
            <wp:effectExtent l="0" t="0" r="2540" b="0"/>
            <wp:docPr id="347348432" name="Picture 2" descr="A chart with different colored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48432" name="Picture 2" descr="A chart with different colored bar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415665"/>
                    </a:xfrm>
                    <a:prstGeom prst="rect">
                      <a:avLst/>
                    </a:prstGeom>
                    <a:noFill/>
                    <a:ln>
                      <a:noFill/>
                    </a:ln>
                  </pic:spPr>
                </pic:pic>
              </a:graphicData>
            </a:graphic>
          </wp:inline>
        </w:drawing>
      </w:r>
    </w:p>
    <w:p w14:paraId="1A1D916B" w14:textId="77777777" w:rsidR="00C3302B" w:rsidRPr="000B002B" w:rsidRDefault="00C3302B" w:rsidP="000B002B">
      <w:pPr>
        <w:pStyle w:val="Heading2"/>
      </w:pPr>
      <w:bookmarkStart w:id="7" w:name="_Toc188091918"/>
      <w:r w:rsidRPr="000B002B">
        <w:t>3.1 Disaster Recovery Planning</w:t>
      </w:r>
      <w:bookmarkEnd w:id="7"/>
    </w:p>
    <w:p w14:paraId="0D576BE8" w14:textId="77777777" w:rsidR="00C5495A" w:rsidRDefault="00C3302B" w:rsidP="00C5495A">
      <w:r w:rsidRPr="00865506">
        <w:t>A hybrid cloud-based DR solution is recommended to meet these requirements. This approach combines public and private cloud infrastructures, ensuring scalable and reliable operations. Key steps include:</w:t>
      </w:r>
    </w:p>
    <w:p w14:paraId="0C268445" w14:textId="77777777" w:rsidR="00C5495A" w:rsidRDefault="00C3302B" w:rsidP="00C5495A">
      <w:pPr>
        <w:pStyle w:val="ListParagraph"/>
        <w:numPr>
          <w:ilvl w:val="0"/>
          <w:numId w:val="8"/>
        </w:numPr>
      </w:pPr>
      <w:r w:rsidRPr="00C5495A">
        <w:rPr>
          <w:b/>
          <w:bCs/>
        </w:rPr>
        <w:t>Cloud Infrastructure Setup:</w:t>
      </w:r>
      <w:r w:rsidRPr="00315735">
        <w:t xml:space="preserve"> Partner with reputable providers like AWS or Microsoft Azure to ensure high availability and redundancy.</w:t>
      </w:r>
    </w:p>
    <w:p w14:paraId="29F6DBDA" w14:textId="77777777" w:rsidR="00C5495A" w:rsidRDefault="00C3302B" w:rsidP="00C5495A">
      <w:pPr>
        <w:pStyle w:val="ListParagraph"/>
        <w:numPr>
          <w:ilvl w:val="0"/>
          <w:numId w:val="8"/>
        </w:numPr>
      </w:pPr>
      <w:r w:rsidRPr="00C5495A">
        <w:rPr>
          <w:b/>
          <w:bCs/>
        </w:rPr>
        <w:t>Automated Backup Systems:</w:t>
      </w:r>
      <w:r w:rsidRPr="00315735">
        <w:t xml:space="preserve"> Deploy real-time data backup solutions to minimise data loss </w:t>
      </w:r>
      <w:r w:rsidR="00A448D4">
        <w:t>during</w:t>
      </w:r>
      <w:r w:rsidRPr="00315735">
        <w:t xml:space="preserve"> an outage.</w:t>
      </w:r>
    </w:p>
    <w:p w14:paraId="7B606333" w14:textId="16B146D3" w:rsidR="00C3302B" w:rsidRPr="00315735" w:rsidRDefault="00C3302B" w:rsidP="00C5495A">
      <w:pPr>
        <w:pStyle w:val="ListParagraph"/>
        <w:numPr>
          <w:ilvl w:val="0"/>
          <w:numId w:val="8"/>
        </w:numPr>
      </w:pPr>
      <w:r w:rsidRPr="00C5495A">
        <w:rPr>
          <w:b/>
          <w:bCs/>
        </w:rPr>
        <w:t>Failover Mechanisms:</w:t>
      </w:r>
      <w:r w:rsidRPr="00315735">
        <w:t xml:space="preserve"> Implement automated failover systems that seamlessly switch to backup servers during primary server disruptions.</w:t>
      </w:r>
    </w:p>
    <w:p w14:paraId="3BCA979C" w14:textId="77777777" w:rsidR="00C3302B" w:rsidRPr="000B002B" w:rsidRDefault="00C3302B" w:rsidP="000B002B">
      <w:pPr>
        <w:pStyle w:val="Heading2"/>
      </w:pPr>
      <w:bookmarkStart w:id="8" w:name="_Toc188091919"/>
      <w:r w:rsidRPr="000B002B">
        <w:lastRenderedPageBreak/>
        <w:t>3.2 DR Testing and Maintenance</w:t>
      </w:r>
      <w:bookmarkEnd w:id="8"/>
    </w:p>
    <w:p w14:paraId="560F9596" w14:textId="77777777" w:rsidR="00C5495A" w:rsidRDefault="00C3302B" w:rsidP="00C5495A">
      <w:r w:rsidRPr="00315735">
        <w:t xml:space="preserve">Regular testing of DR protocols is critical to identifying vulnerabilities and ensuring system </w:t>
      </w:r>
      <w:r w:rsidRPr="00C5495A">
        <w:t>readiness. Key measures include:</w:t>
      </w:r>
    </w:p>
    <w:p w14:paraId="48DF9A67" w14:textId="77777777" w:rsidR="00C5495A" w:rsidRDefault="00C3302B" w:rsidP="00C5495A">
      <w:pPr>
        <w:pStyle w:val="ListParagraph"/>
        <w:numPr>
          <w:ilvl w:val="0"/>
          <w:numId w:val="9"/>
        </w:numPr>
      </w:pPr>
      <w:r w:rsidRPr="00C5495A">
        <w:t>Conducting biannual DR drills to simulate potential disruptions and evaluate system response times.</w:t>
      </w:r>
    </w:p>
    <w:p w14:paraId="6404E551" w14:textId="77777777" w:rsidR="00C5495A" w:rsidRDefault="00C3302B" w:rsidP="00C5495A">
      <w:pPr>
        <w:pStyle w:val="ListParagraph"/>
        <w:numPr>
          <w:ilvl w:val="0"/>
          <w:numId w:val="9"/>
        </w:numPr>
      </w:pPr>
      <w:r w:rsidRPr="00C5495A">
        <w:t>Reviewing recovery objectives and timelines to align with evolving business needs.</w:t>
      </w:r>
    </w:p>
    <w:p w14:paraId="66270DB7" w14:textId="4F21F01A" w:rsidR="00C3302B" w:rsidRPr="00C5495A" w:rsidRDefault="00C3302B" w:rsidP="00C5495A">
      <w:pPr>
        <w:pStyle w:val="ListParagraph"/>
        <w:numPr>
          <w:ilvl w:val="0"/>
          <w:numId w:val="9"/>
        </w:numPr>
      </w:pPr>
      <w:r w:rsidRPr="00C5495A">
        <w:t>Establishing a feedback loop for continuous improvement of DR strategies.</w:t>
      </w:r>
    </w:p>
    <w:p w14:paraId="034621B7" w14:textId="77777777" w:rsidR="00C3302B" w:rsidRPr="000B002B" w:rsidRDefault="00C3302B" w:rsidP="000B002B">
      <w:pPr>
        <w:pStyle w:val="Heading2"/>
      </w:pPr>
      <w:bookmarkStart w:id="9" w:name="_Toc188091920"/>
      <w:r w:rsidRPr="000B002B">
        <w:t>3.3 Communication and Stakeholder Engagement</w:t>
      </w:r>
      <w:bookmarkEnd w:id="9"/>
    </w:p>
    <w:p w14:paraId="118CA9E2" w14:textId="77777777" w:rsidR="00C5495A" w:rsidRDefault="00C3302B" w:rsidP="00C5495A">
      <w:r w:rsidRPr="00315735">
        <w:t>A clear communication plan is essential to keep stakeholders informed during and after disruptions. This includes:</w:t>
      </w:r>
    </w:p>
    <w:p w14:paraId="7568E24D" w14:textId="1A339D31" w:rsidR="00C5495A" w:rsidRDefault="00C3302B" w:rsidP="00C5495A">
      <w:pPr>
        <w:pStyle w:val="ListParagraph"/>
        <w:numPr>
          <w:ilvl w:val="0"/>
          <w:numId w:val="11"/>
        </w:numPr>
      </w:pPr>
      <w:r w:rsidRPr="00315735">
        <w:t xml:space="preserve">Assigning </w:t>
      </w:r>
      <w:r w:rsidR="006C3B10" w:rsidRPr="00315735">
        <w:t>resolute</w:t>
      </w:r>
      <w:r w:rsidRPr="00315735">
        <w:t xml:space="preserve"> teams for internal and external communication.</w:t>
      </w:r>
    </w:p>
    <w:p w14:paraId="1D2164DD" w14:textId="77777777" w:rsidR="00C5495A" w:rsidRDefault="00C3302B" w:rsidP="00C5495A">
      <w:pPr>
        <w:pStyle w:val="ListParagraph"/>
        <w:numPr>
          <w:ilvl w:val="0"/>
          <w:numId w:val="11"/>
        </w:numPr>
      </w:pPr>
      <w:r w:rsidRPr="00315735">
        <w:t>Providing real-time updates to clients and partners to maintain transparency.</w:t>
      </w:r>
    </w:p>
    <w:p w14:paraId="3488231A" w14:textId="5103E2D2" w:rsidR="00C3302B" w:rsidRPr="00315735" w:rsidRDefault="00C3302B" w:rsidP="00C5495A">
      <w:pPr>
        <w:pStyle w:val="ListParagraph"/>
        <w:numPr>
          <w:ilvl w:val="0"/>
          <w:numId w:val="11"/>
        </w:numPr>
      </w:pPr>
      <w:r w:rsidRPr="00315735">
        <w:t>Training staff on DR protocols to ensure seamless execution during incidents.</w:t>
      </w:r>
    </w:p>
    <w:p w14:paraId="65B76A12" w14:textId="77777777" w:rsidR="00C3302B" w:rsidRPr="0078268C" w:rsidRDefault="00C3302B" w:rsidP="00833F91">
      <w:pPr>
        <w:pStyle w:val="Heading1"/>
        <w:spacing w:line="276" w:lineRule="auto"/>
      </w:pPr>
      <w:bookmarkStart w:id="10" w:name="_Toc188091921"/>
      <w:r w:rsidRPr="0078268C">
        <w:t>4. Legal and Ethical Considerations</w:t>
      </w:r>
      <w:bookmarkEnd w:id="10"/>
    </w:p>
    <w:p w14:paraId="486D2C46" w14:textId="55D8E9AE" w:rsidR="00C3302B" w:rsidRPr="00315735" w:rsidRDefault="00C3302B" w:rsidP="00833F91">
      <w:pPr>
        <w:spacing w:line="276" w:lineRule="auto"/>
      </w:pPr>
      <w:r w:rsidRPr="00315735">
        <w:t>The implementation of digitalisation must align with global data protection standards, including GDPR compliance</w:t>
      </w:r>
      <w:r w:rsidR="00D7306F">
        <w:t>,</w:t>
      </w:r>
      <w:r w:rsidRPr="00315735">
        <w:t xml:space="preserve"> while integrating ethical and sustainability considerations. This ensures compliance with regulatory requirements, enhances corporate social responsibility, and builds long-term stakeholder trust.</w:t>
      </w:r>
    </w:p>
    <w:p w14:paraId="1F485D50" w14:textId="77777777" w:rsidR="00C3302B" w:rsidRPr="00315735" w:rsidRDefault="00C3302B" w:rsidP="00C3302B">
      <w:pPr>
        <w:pStyle w:val="Heading3"/>
      </w:pPr>
      <w:bookmarkStart w:id="11" w:name="_Toc188091922"/>
      <w:r w:rsidRPr="00315735">
        <w:t>4.1 Data Privacy and Protection</w:t>
      </w:r>
      <w:bookmarkEnd w:id="11"/>
    </w:p>
    <w:p w14:paraId="36307E69" w14:textId="006D50CA" w:rsidR="00C3302B" w:rsidRPr="00315735" w:rsidRDefault="00C3302B" w:rsidP="0078268C">
      <w:r w:rsidRPr="00315735">
        <w:t xml:space="preserve">Protecting data is fundamental in an era of increased reliance on digital ecosystems. Non-compliance with regulations such as the GDPR could result in severe reputational and financial consequences, with penalties </w:t>
      </w:r>
      <w:r w:rsidR="00A448D4">
        <w:t xml:space="preserve">of </w:t>
      </w:r>
      <w:r w:rsidRPr="00315735">
        <w:t>up to €20 million or 4% of annual global turnover (Cornell University, 2017).</w:t>
      </w:r>
    </w:p>
    <w:p w14:paraId="7BABFAE6" w14:textId="77777777" w:rsidR="00EC02BE" w:rsidRDefault="00C3302B" w:rsidP="00EC02BE">
      <w:r w:rsidRPr="00EC02BE">
        <w:rPr>
          <w:b/>
          <w:bCs/>
        </w:rPr>
        <w:t>Approach:</w:t>
      </w:r>
    </w:p>
    <w:p w14:paraId="02D4212C" w14:textId="77777777" w:rsidR="00EC02BE" w:rsidRDefault="00C3302B" w:rsidP="00EC02BE">
      <w:pPr>
        <w:pStyle w:val="ListParagraph"/>
        <w:numPr>
          <w:ilvl w:val="0"/>
          <w:numId w:val="12"/>
        </w:numPr>
      </w:pPr>
      <w:r w:rsidRPr="00EC02BE">
        <w:rPr>
          <w:b/>
          <w:bCs/>
        </w:rPr>
        <w:t>Encryption and Authentication:</w:t>
      </w:r>
      <w:r w:rsidRPr="00315735">
        <w:t xml:space="preserve"> Implement robust encryption protocols to secure data in transit and at rest. Two-factor authentication and tokenisation mechanisms should be standard for sensitive systems.</w:t>
      </w:r>
    </w:p>
    <w:p w14:paraId="0AC21DCE" w14:textId="77777777" w:rsidR="00EC02BE" w:rsidRDefault="00C3302B" w:rsidP="00EC02BE">
      <w:pPr>
        <w:pStyle w:val="ListParagraph"/>
        <w:numPr>
          <w:ilvl w:val="0"/>
          <w:numId w:val="12"/>
        </w:numPr>
      </w:pPr>
      <w:r w:rsidRPr="00EC02BE">
        <w:rPr>
          <w:b/>
          <w:bCs/>
        </w:rPr>
        <w:t>Regular Audits:</w:t>
      </w:r>
      <w:r w:rsidRPr="00315735">
        <w:t xml:space="preserve"> Conduct frequent audits to evaluate data handling processes and identify vulnerabilities. Such evaluations ensure ongoing adherence to GDPR principles, including data minimisation and accountability.</w:t>
      </w:r>
    </w:p>
    <w:p w14:paraId="7D6E4C65" w14:textId="6C797673" w:rsidR="00C3302B" w:rsidRPr="00315735" w:rsidRDefault="00C3302B" w:rsidP="00EC02BE">
      <w:pPr>
        <w:pStyle w:val="ListParagraph"/>
        <w:numPr>
          <w:ilvl w:val="0"/>
          <w:numId w:val="12"/>
        </w:numPr>
      </w:pPr>
      <w:r w:rsidRPr="00EC02BE">
        <w:rPr>
          <w:b/>
          <w:bCs/>
        </w:rPr>
        <w:t>Vendor Accountability:</w:t>
      </w:r>
      <w:r w:rsidRPr="00315735">
        <w:t xml:space="preserve"> All third-party vendors must comply with GDPR through contractual agreements and regular compliance checks.</w:t>
      </w:r>
    </w:p>
    <w:p w14:paraId="0B75BF1F" w14:textId="1EC309D8" w:rsidR="00C3302B" w:rsidRPr="00315735" w:rsidRDefault="00C3302B" w:rsidP="00EC02BE">
      <w:pPr>
        <w:pStyle w:val="ListParagraph"/>
        <w:numPr>
          <w:ilvl w:val="0"/>
          <w:numId w:val="12"/>
        </w:numPr>
      </w:pPr>
      <w:r w:rsidRPr="00EC02BE">
        <w:rPr>
          <w:b/>
          <w:bCs/>
        </w:rPr>
        <w:t>Example:</w:t>
      </w:r>
      <w:r w:rsidRPr="00315735">
        <w:t xml:space="preserve"> The UK’s Information Commissioner’s Office (ICO) cites </w:t>
      </w:r>
      <w:r w:rsidR="00A448D4">
        <w:t>Tesco's strong data protection practices in safeguarding customer information during its</w:t>
      </w:r>
      <w:r w:rsidRPr="00315735">
        <w:t xml:space="preserve"> digital transformation initiatives (Cornell University, 2017).</w:t>
      </w:r>
    </w:p>
    <w:p w14:paraId="3F31C8A0" w14:textId="77777777" w:rsidR="00C3302B" w:rsidRPr="00315735" w:rsidRDefault="00C3302B" w:rsidP="00EC02BE">
      <w:pPr>
        <w:pStyle w:val="Heading2"/>
      </w:pPr>
      <w:bookmarkStart w:id="12" w:name="_Toc188091923"/>
      <w:r w:rsidRPr="00315735">
        <w:t>4.2 Ethical Use of Artificial Intelligence (AI)</w:t>
      </w:r>
      <w:bookmarkEnd w:id="12"/>
    </w:p>
    <w:p w14:paraId="73EA7D16" w14:textId="6E6C0FA2" w:rsidR="00C3302B" w:rsidRPr="00315735" w:rsidRDefault="00C3302B" w:rsidP="00EC02BE">
      <w:r w:rsidRPr="00315735">
        <w:t>With increasing reliance on AI for quality control, inventory management, and decision-making, ethical considerations must guide AI deployment to avoid biases and ensure fairness. AI misuse can lead to reputational risks and operational inefficiencies (Yamamoto, 2020).</w:t>
      </w:r>
    </w:p>
    <w:p w14:paraId="699ACBA4" w14:textId="77777777" w:rsidR="00EC02BE" w:rsidRPr="0025561D" w:rsidRDefault="00C3302B" w:rsidP="00195379">
      <w:pPr>
        <w:rPr>
          <w:b/>
          <w:bCs/>
        </w:rPr>
      </w:pPr>
      <w:r w:rsidRPr="0025561D">
        <w:rPr>
          <w:b/>
          <w:bCs/>
        </w:rPr>
        <w:lastRenderedPageBreak/>
        <w:t>Approach:</w:t>
      </w:r>
    </w:p>
    <w:p w14:paraId="48854737" w14:textId="70D3BB5D" w:rsidR="00195379" w:rsidRDefault="00C3302B" w:rsidP="00195379">
      <w:pPr>
        <w:pStyle w:val="ListParagraph"/>
        <w:numPr>
          <w:ilvl w:val="0"/>
          <w:numId w:val="14"/>
        </w:numPr>
      </w:pPr>
      <w:r w:rsidRPr="00195379">
        <w:rPr>
          <w:b/>
          <w:bCs/>
        </w:rPr>
        <w:t>Algorithm Audits:</w:t>
      </w:r>
      <w:r w:rsidRPr="00315735">
        <w:t xml:space="preserve"> Conduct periodic reviews of AI algorithms to identify potential biases</w:t>
      </w:r>
      <w:r w:rsidR="00A448D4">
        <w:t xml:space="preserve"> and ensure equitable and transparent decisions</w:t>
      </w:r>
      <w:r w:rsidRPr="00315735">
        <w:t>.</w:t>
      </w:r>
    </w:p>
    <w:p w14:paraId="6AE2ABAE" w14:textId="77777777" w:rsidR="00195379" w:rsidRDefault="00C3302B" w:rsidP="00195379">
      <w:pPr>
        <w:pStyle w:val="ListParagraph"/>
        <w:numPr>
          <w:ilvl w:val="0"/>
          <w:numId w:val="14"/>
        </w:numPr>
      </w:pPr>
      <w:r w:rsidRPr="00195379">
        <w:rPr>
          <w:b/>
          <w:bCs/>
        </w:rPr>
        <w:t>Explainable AI:</w:t>
      </w:r>
      <w:r w:rsidRPr="00315735">
        <w:t xml:space="preserve"> Adopt frameworks that allow users to understand and challenge AI-driven decisions. This is crucial for maintaining trust in automated systems.</w:t>
      </w:r>
    </w:p>
    <w:p w14:paraId="11C0130B" w14:textId="77777777" w:rsidR="00195379" w:rsidRDefault="00C3302B" w:rsidP="00195379">
      <w:pPr>
        <w:pStyle w:val="ListParagraph"/>
        <w:numPr>
          <w:ilvl w:val="0"/>
          <w:numId w:val="14"/>
        </w:numPr>
      </w:pPr>
      <w:r w:rsidRPr="00195379">
        <w:rPr>
          <w:b/>
          <w:bCs/>
        </w:rPr>
        <w:t>Employee Training:</w:t>
      </w:r>
      <w:r w:rsidRPr="00315735">
        <w:t xml:space="preserve"> Develop AI ethics training programmes to equip employees with the knowledge to monitor AI-driven operations responsibly.</w:t>
      </w:r>
    </w:p>
    <w:p w14:paraId="3CDE713E" w14:textId="2AC3DE6E" w:rsidR="00C3302B" w:rsidRPr="00315735" w:rsidRDefault="00C3302B" w:rsidP="00195379">
      <w:pPr>
        <w:pStyle w:val="ListParagraph"/>
        <w:numPr>
          <w:ilvl w:val="0"/>
          <w:numId w:val="14"/>
        </w:numPr>
      </w:pPr>
      <w:r w:rsidRPr="00195379">
        <w:rPr>
          <w:b/>
          <w:bCs/>
        </w:rPr>
        <w:t>Example:</w:t>
      </w:r>
      <w:r w:rsidRPr="00315735">
        <w:t xml:space="preserve"> Rolls-Royce </w:t>
      </w:r>
      <w:r w:rsidR="00A448D4">
        <w:t>responsibly uses AI</w:t>
      </w:r>
      <w:r w:rsidRPr="00315735">
        <w:t xml:space="preserve"> for predictive maintenance, ensuring transparency and fairness in all AI-driven decision-making processes (Yamamoto, 2020).</w:t>
      </w:r>
    </w:p>
    <w:p w14:paraId="3CAB3256" w14:textId="77777777" w:rsidR="00C3302B" w:rsidRPr="000B002B" w:rsidRDefault="00C3302B" w:rsidP="000B002B">
      <w:pPr>
        <w:pStyle w:val="Heading2"/>
      </w:pPr>
      <w:bookmarkStart w:id="13" w:name="_Toc188091924"/>
      <w:r w:rsidRPr="000B002B">
        <w:t>4.3 Environmental Sustainability</w:t>
      </w:r>
      <w:bookmarkEnd w:id="13"/>
    </w:p>
    <w:p w14:paraId="6475A154" w14:textId="2BEF397F" w:rsidR="004D70CA" w:rsidRPr="008D07D9" w:rsidRDefault="00C3302B" w:rsidP="004D70CA">
      <w:r w:rsidRPr="00315735">
        <w:t>The environmental impact of digitalisation, particularly from energy-intensive cloud operations and warehouses, must be mitigated to meet sustainability goals and align with CSR expectations.</w:t>
      </w:r>
    </w:p>
    <w:p w14:paraId="0205206C" w14:textId="62B56878" w:rsidR="004D70CA" w:rsidRPr="004D70CA" w:rsidRDefault="00C3302B" w:rsidP="004D70CA">
      <w:pPr>
        <w:rPr>
          <w:b/>
          <w:bCs/>
        </w:rPr>
      </w:pPr>
      <w:r w:rsidRPr="004D70CA">
        <w:rPr>
          <w:b/>
          <w:bCs/>
        </w:rPr>
        <w:t>Approach:</w:t>
      </w:r>
    </w:p>
    <w:p w14:paraId="738825A1" w14:textId="77777777" w:rsidR="004D70CA" w:rsidRPr="004D70CA" w:rsidRDefault="00C3302B" w:rsidP="00C80E96">
      <w:pPr>
        <w:pStyle w:val="ListParagraph"/>
        <w:numPr>
          <w:ilvl w:val="0"/>
          <w:numId w:val="16"/>
        </w:numPr>
        <w:rPr>
          <w:b/>
          <w:bCs/>
        </w:rPr>
      </w:pPr>
      <w:r w:rsidRPr="0058230E">
        <w:rPr>
          <w:b/>
          <w:bCs/>
        </w:rPr>
        <w:t>Renewable Energy Integration:</w:t>
      </w:r>
      <w:r w:rsidRPr="00315735">
        <w:t xml:space="preserve"> Transition to renewable energy sources for powering data centres and automated warehouses.</w:t>
      </w:r>
    </w:p>
    <w:p w14:paraId="65F8D008" w14:textId="26FE8665" w:rsidR="004D70CA" w:rsidRPr="004D70CA" w:rsidRDefault="00C3302B" w:rsidP="00C80E96">
      <w:pPr>
        <w:pStyle w:val="ListParagraph"/>
        <w:numPr>
          <w:ilvl w:val="0"/>
          <w:numId w:val="16"/>
        </w:numPr>
        <w:rPr>
          <w:b/>
          <w:bCs/>
        </w:rPr>
      </w:pPr>
      <w:r w:rsidRPr="0058230E">
        <w:rPr>
          <w:b/>
          <w:bCs/>
        </w:rPr>
        <w:t>Energy Efficiency Measures:</w:t>
      </w:r>
      <w:r w:rsidRPr="00315735">
        <w:t xml:space="preserve"> </w:t>
      </w:r>
      <w:r w:rsidR="00DC0742">
        <w:t>To reduce operational energy consumption, implement energy-saving technologies, including smart sensors and optimised cooling systems</w:t>
      </w:r>
      <w:r w:rsidRPr="00315735">
        <w:t>.</w:t>
      </w:r>
    </w:p>
    <w:p w14:paraId="0D46D9CA" w14:textId="77777777" w:rsidR="004D70CA" w:rsidRPr="004D70CA" w:rsidRDefault="00C3302B" w:rsidP="00C80E96">
      <w:pPr>
        <w:pStyle w:val="ListParagraph"/>
        <w:numPr>
          <w:ilvl w:val="0"/>
          <w:numId w:val="16"/>
        </w:numPr>
        <w:rPr>
          <w:b/>
          <w:bCs/>
        </w:rPr>
      </w:pPr>
      <w:r w:rsidRPr="006E7183">
        <w:rPr>
          <w:b/>
          <w:bCs/>
        </w:rPr>
        <w:t>Sustainable Logistics:</w:t>
      </w:r>
      <w:r w:rsidRPr="00315735">
        <w:t xml:space="preserve"> Use energy-efficient vehicles and optimise delivery routes to minimise emissions.</w:t>
      </w:r>
    </w:p>
    <w:p w14:paraId="67825A0A" w14:textId="77777777" w:rsidR="004D70CA" w:rsidRPr="004D70CA" w:rsidRDefault="00C3302B" w:rsidP="00C80E96">
      <w:pPr>
        <w:pStyle w:val="ListParagraph"/>
        <w:numPr>
          <w:ilvl w:val="0"/>
          <w:numId w:val="16"/>
        </w:numPr>
        <w:rPr>
          <w:b/>
          <w:bCs/>
        </w:rPr>
      </w:pPr>
      <w:r w:rsidRPr="006E7183">
        <w:rPr>
          <w:b/>
          <w:bCs/>
        </w:rPr>
        <w:t>Green Certifications:</w:t>
      </w:r>
      <w:r w:rsidRPr="00315735">
        <w:t xml:space="preserve"> Aim for certifications such as ISO 14001 to demonstrate a commitment to sustainability.</w:t>
      </w:r>
    </w:p>
    <w:p w14:paraId="7A9CED0D" w14:textId="766D88D0" w:rsidR="00C3302B" w:rsidRPr="00024F44" w:rsidRDefault="00C80E96" w:rsidP="00C80E96">
      <w:pPr>
        <w:pStyle w:val="ListParagraph"/>
        <w:numPr>
          <w:ilvl w:val="0"/>
          <w:numId w:val="16"/>
        </w:numPr>
        <w:rPr>
          <w:b/>
          <w:bCs/>
        </w:rPr>
      </w:pPr>
      <w:r w:rsidRPr="006E7183">
        <w:rPr>
          <w:b/>
          <w:bCs/>
        </w:rPr>
        <w:t>Example</w:t>
      </w:r>
      <w:r w:rsidR="00C3302B" w:rsidRPr="006E7183">
        <w:rPr>
          <w:b/>
          <w:bCs/>
        </w:rPr>
        <w:t>:</w:t>
      </w:r>
      <w:r w:rsidR="00C3302B" w:rsidRPr="00315735">
        <w:t xml:space="preserve"> BT Group’s investment in renewable energy for its operations </w:t>
      </w:r>
      <w:r w:rsidR="006E7183">
        <w:t>showcases its</w:t>
      </w:r>
      <w:r w:rsidR="00C3302B" w:rsidRPr="00315735">
        <w:t xml:space="preserve"> leadership in sustainable digitalisation, reducing its carbon footprint by 25% in two years (Zaoui &amp; Souissi, 2020).</w:t>
      </w:r>
    </w:p>
    <w:p w14:paraId="539C78D7" w14:textId="77777777" w:rsidR="00024F44" w:rsidRPr="004D70CA" w:rsidRDefault="00024F44" w:rsidP="00024F44">
      <w:pPr>
        <w:pStyle w:val="ListParagraph"/>
        <w:rPr>
          <w:b/>
          <w:bCs/>
        </w:rPr>
      </w:pPr>
    </w:p>
    <w:p w14:paraId="713EF66B" w14:textId="77777777" w:rsidR="00C3302B" w:rsidRPr="00315735" w:rsidRDefault="00C3302B" w:rsidP="004D70CA">
      <w:pPr>
        <w:pStyle w:val="Heading2"/>
      </w:pPr>
      <w:bookmarkStart w:id="14" w:name="_Toc188091925"/>
      <w:r w:rsidRPr="00315735">
        <w:t>4.4 Implementation Timeline</w:t>
      </w:r>
      <w:bookmarkEnd w:id="14"/>
    </w:p>
    <w:p w14:paraId="1E63E467" w14:textId="77777777" w:rsidR="009F0190" w:rsidRPr="009F0190" w:rsidRDefault="009F0190" w:rsidP="004D70CA">
      <w:r w:rsidRPr="009F0190">
        <w:t>The Gantt chart provides a timeline for Cathy’s Disaster Recovery (DR) plan, prioritising foundational tasks to optimise resources and minimise disruptions:</w:t>
      </w:r>
    </w:p>
    <w:p w14:paraId="793DFFCF" w14:textId="2B0DD351" w:rsidR="009F0190" w:rsidRPr="009F0190" w:rsidRDefault="009F0190" w:rsidP="009F0190">
      <w:pPr>
        <w:pStyle w:val="NormalWeb"/>
        <w:rPr>
          <w:rFonts w:asciiTheme="minorHAnsi" w:eastAsiaTheme="minorHAnsi" w:hAnsiTheme="minorHAnsi" w:cstheme="minorBidi"/>
          <w:kern w:val="2"/>
          <w:sz w:val="22"/>
          <w:szCs w:val="22"/>
          <w:lang w:eastAsia="en-US"/>
          <w14:ligatures w14:val="standardContextual"/>
        </w:rPr>
      </w:pPr>
      <w:r w:rsidRPr="00315735">
        <w:rPr>
          <w:noProof/>
        </w:rPr>
        <w:lastRenderedPageBreak/>
        <w:drawing>
          <wp:inline distT="0" distB="0" distL="0" distR="0" wp14:anchorId="4C7089BD" wp14:editId="6653706C">
            <wp:extent cx="5492152" cy="3295291"/>
            <wp:effectExtent l="0" t="0" r="0" b="635"/>
            <wp:docPr id="2" name="Picture 1" descr="A graph with different colored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aph with different colored squar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6601" cy="3309960"/>
                    </a:xfrm>
                    <a:prstGeom prst="rect">
                      <a:avLst/>
                    </a:prstGeom>
                    <a:noFill/>
                    <a:ln>
                      <a:noFill/>
                    </a:ln>
                  </pic:spPr>
                </pic:pic>
              </a:graphicData>
            </a:graphic>
          </wp:inline>
        </w:drawing>
      </w:r>
    </w:p>
    <w:p w14:paraId="4BAEB98A" w14:textId="77777777" w:rsidR="005D71C3" w:rsidRDefault="009F0190" w:rsidP="005D71C3">
      <w:pPr>
        <w:pStyle w:val="ListParagraph"/>
        <w:numPr>
          <w:ilvl w:val="0"/>
          <w:numId w:val="19"/>
        </w:numPr>
      </w:pPr>
      <w:r w:rsidRPr="005D71C3">
        <w:rPr>
          <w:b/>
          <w:bCs/>
        </w:rPr>
        <w:t xml:space="preserve">Set Up Cloud Infrastructure (Weeks 1–2): </w:t>
      </w:r>
      <w:r w:rsidRPr="009F0190">
        <w:t>Establish scalable cloud systems with providers like AWS or Microsoft Azure to enable real-time backups and seamless failover capabilities.</w:t>
      </w:r>
      <w:r w:rsidR="005D71C3">
        <w:t xml:space="preserve"> </w:t>
      </w:r>
    </w:p>
    <w:p w14:paraId="60811E12" w14:textId="0BD37EA8" w:rsidR="009F0190" w:rsidRDefault="009F0190" w:rsidP="005D71C3">
      <w:pPr>
        <w:pStyle w:val="ListParagraph"/>
      </w:pPr>
      <w:r w:rsidRPr="00F83955">
        <w:t>Example:</w:t>
      </w:r>
      <w:r w:rsidRPr="009F0190">
        <w:t xml:space="preserve"> NIST (2015) highlights cloud infrastructure as critical for operational continuity.</w:t>
      </w:r>
    </w:p>
    <w:p w14:paraId="062A0B43" w14:textId="77777777" w:rsidR="005D71C3" w:rsidRDefault="009F0190" w:rsidP="005D71C3">
      <w:pPr>
        <w:pStyle w:val="ListParagraph"/>
        <w:numPr>
          <w:ilvl w:val="0"/>
          <w:numId w:val="19"/>
        </w:numPr>
      </w:pPr>
      <w:r w:rsidRPr="005D71C3">
        <w:rPr>
          <w:b/>
          <w:bCs/>
        </w:rPr>
        <w:t>Configure Failover Systems (Weeks 3–4):</w:t>
      </w:r>
      <w:r w:rsidRPr="009F0190">
        <w:t xml:space="preserve"> Implement automated failover systems to ensure uninterrupted operations during server disruptions.</w:t>
      </w:r>
    </w:p>
    <w:p w14:paraId="13D1FA41" w14:textId="77777777" w:rsidR="005D71C3" w:rsidRDefault="009F0190" w:rsidP="005D71C3">
      <w:pPr>
        <w:pStyle w:val="ListParagraph"/>
      </w:pPr>
      <w:r w:rsidRPr="009F0190">
        <w:t xml:space="preserve">Example: Kumar (2021) notes </w:t>
      </w:r>
      <w:r w:rsidR="00414CD2">
        <w:t xml:space="preserve">that </w:t>
      </w:r>
      <w:r w:rsidRPr="009F0190">
        <w:t>automated failover mechanisms minimise downtime and ensure reliability.</w:t>
      </w:r>
    </w:p>
    <w:p w14:paraId="0AE0C7CB" w14:textId="77777777" w:rsidR="005D71C3" w:rsidRDefault="009F0190" w:rsidP="005D71C3">
      <w:pPr>
        <w:pStyle w:val="ListParagraph"/>
        <w:numPr>
          <w:ilvl w:val="0"/>
          <w:numId w:val="19"/>
        </w:numPr>
      </w:pPr>
      <w:r w:rsidRPr="004D70CA">
        <w:rPr>
          <w:b/>
          <w:bCs/>
        </w:rPr>
        <w:t xml:space="preserve">Conduct DR Testing (Weeks 5–6): </w:t>
      </w:r>
      <w:r w:rsidRPr="009F0190">
        <w:t>Simulate disruptions to validate the DR plan’s effectiveness, focusing on recovery time and data protection metrics.</w:t>
      </w:r>
    </w:p>
    <w:p w14:paraId="66CA93FD" w14:textId="331A1693" w:rsidR="009F0190" w:rsidRPr="005D71C3" w:rsidRDefault="009F0190" w:rsidP="005D71C3">
      <w:pPr>
        <w:pStyle w:val="ListParagraph"/>
      </w:pPr>
      <w:r w:rsidRPr="005D71C3">
        <w:t>Example: Forbes (2022) underscores the value of regular DR testing in reducing system vulnerabilities.</w:t>
      </w:r>
    </w:p>
    <w:p w14:paraId="4482BEC7" w14:textId="77777777" w:rsidR="001A68E2" w:rsidRDefault="009F0190" w:rsidP="005D71C3">
      <w:pPr>
        <w:pStyle w:val="ListParagraph"/>
        <w:numPr>
          <w:ilvl w:val="0"/>
          <w:numId w:val="19"/>
        </w:numPr>
      </w:pPr>
      <w:r w:rsidRPr="001A68E2">
        <w:rPr>
          <w:b/>
          <w:bCs/>
        </w:rPr>
        <w:t>Train Staff on DR Protocols (Weeks 7–8):</w:t>
      </w:r>
      <w:r w:rsidRPr="009F0190">
        <w:t xml:space="preserve"> Equip employees with the skills to execute DR plans effectively and maintain stakeholder communication.</w:t>
      </w:r>
    </w:p>
    <w:p w14:paraId="32052C69" w14:textId="22D0EF8D" w:rsidR="00C3302B" w:rsidRPr="005D71C3" w:rsidRDefault="009F0190" w:rsidP="001A68E2">
      <w:pPr>
        <w:pStyle w:val="ListParagraph"/>
      </w:pPr>
      <w:r w:rsidRPr="009F0190">
        <w:t>Example: Christopher (2016) highlights training as pivotal for reducing human error during emergencies.</w:t>
      </w:r>
    </w:p>
    <w:p w14:paraId="3AC6E5E0" w14:textId="77777777" w:rsidR="00F432B7" w:rsidRPr="004D70CA" w:rsidRDefault="003F7478" w:rsidP="005D71C3">
      <w:pPr>
        <w:rPr>
          <w:rFonts w:eastAsia="Times New Roman" w:cs="Times New Roman"/>
          <w:kern w:val="0"/>
          <w:lang w:eastAsia="en-GB"/>
          <w14:ligatures w14:val="none"/>
        </w:rPr>
      </w:pPr>
      <w:r w:rsidRPr="004D70CA">
        <w:rPr>
          <w:rFonts w:eastAsia="Times New Roman" w:cs="Times New Roman"/>
          <w:kern w:val="0"/>
          <w:lang w:eastAsia="en-GB"/>
          <w14:ligatures w14:val="none"/>
        </w:rPr>
        <w:t>This timeline prioritises critical infrastructure tasks, aligning with best practices for disaster recovery and ensuring operational resilience.</w:t>
      </w:r>
    </w:p>
    <w:p w14:paraId="2A03FD59" w14:textId="77777777" w:rsidR="00E911FA" w:rsidRDefault="00C3302B" w:rsidP="00F432B7">
      <w:r w:rsidRPr="00315735">
        <w:t xml:space="preserve">                        </w:t>
      </w:r>
    </w:p>
    <w:p w14:paraId="05E6FE16" w14:textId="77777777" w:rsidR="00E911FA" w:rsidRDefault="00E911FA" w:rsidP="00F432B7"/>
    <w:p w14:paraId="7E35D80E" w14:textId="77777777" w:rsidR="00E911FA" w:rsidRDefault="00E911FA" w:rsidP="00F432B7"/>
    <w:p w14:paraId="2D1160C1" w14:textId="77777777" w:rsidR="00E911FA" w:rsidRDefault="00E911FA" w:rsidP="00F432B7"/>
    <w:p w14:paraId="1ACC6C4C" w14:textId="72AE8AD7" w:rsidR="00C3302B" w:rsidRPr="00F432B7" w:rsidRDefault="00C3302B" w:rsidP="00F432B7">
      <w:pPr>
        <w:rPr>
          <w:rFonts w:ascii="Times New Roman" w:eastAsia="Times New Roman" w:hAnsi="Times New Roman" w:cs="Times New Roman"/>
          <w:kern w:val="0"/>
          <w:sz w:val="24"/>
          <w:szCs w:val="24"/>
          <w:lang w:eastAsia="en-GB"/>
          <w14:ligatures w14:val="none"/>
        </w:rPr>
      </w:pPr>
      <w:r w:rsidRPr="00315735">
        <w:t xml:space="preserve">             </w:t>
      </w:r>
    </w:p>
    <w:p w14:paraId="2F63619F" w14:textId="77777777" w:rsidR="00C3302B" w:rsidRPr="00315735" w:rsidRDefault="00C3302B" w:rsidP="00833F91">
      <w:pPr>
        <w:pStyle w:val="Heading1"/>
        <w:spacing w:line="276" w:lineRule="auto"/>
      </w:pPr>
      <w:bookmarkStart w:id="15" w:name="_Toc188091926"/>
      <w:r w:rsidRPr="00315735">
        <w:lastRenderedPageBreak/>
        <w:t>5. Conclusion</w:t>
      </w:r>
      <w:bookmarkEnd w:id="15"/>
    </w:p>
    <w:p w14:paraId="6B3DBB29" w14:textId="1046C6D6" w:rsidR="00FD46E5" w:rsidRPr="00FD46E5" w:rsidRDefault="00FD46E5" w:rsidP="00833F91">
      <w:pPr>
        <w:spacing w:line="276" w:lineRule="auto"/>
      </w:pPr>
      <w:r w:rsidRPr="00FD46E5">
        <w:t xml:space="preserve">Cathy’s company should remain agile in its digital transformation strategy, continuously evaluating technological advancements and regulatory changes. By adopting </w:t>
      </w:r>
      <w:r w:rsidR="006C3B10" w:rsidRPr="00FD46E5">
        <w:t>an initiative-taking</w:t>
      </w:r>
      <w:r w:rsidRPr="00FD46E5">
        <w:t xml:space="preserve"> approach to innovation and adapting to shifting regulatory landscapes, the organisation ensures resilience in a competitive market. Furthermore, investing in sustainability and ethical practices </w:t>
      </w:r>
      <w:r w:rsidR="00F1380F">
        <w:t>meets compliance requirements and</w:t>
      </w:r>
      <w:r w:rsidRPr="00FD46E5">
        <w:t xml:space="preserve"> builds </w:t>
      </w:r>
      <w:r w:rsidR="00D55093" w:rsidRPr="00FD46E5">
        <w:t>a solid foundation</w:t>
      </w:r>
      <w:r w:rsidRPr="00FD46E5">
        <w:t xml:space="preserve"> for stakeholder trust and long-term profitability.</w:t>
      </w:r>
    </w:p>
    <w:p w14:paraId="0F3B8C2F" w14:textId="741F638C" w:rsidR="00FD46E5" w:rsidRPr="00FD46E5" w:rsidRDefault="00FD46E5" w:rsidP="00833F91">
      <w:pPr>
        <w:spacing w:line="276" w:lineRule="auto"/>
      </w:pPr>
      <w:r w:rsidRPr="00FD46E5">
        <w:t>Organisations that align their strategies with global initiatives like the UN’s Sustainable Development Goals (SDGs) often achieve enhanced reputation and market positioning (Zaoui &amp; Souissi, 2020). By implementing robust DR strategies and adhering to regulatory standards such as GDPR, Cathy’s company can safeguard its operational integrity and deliver value to its stakeholders.</w:t>
      </w:r>
    </w:p>
    <w:p w14:paraId="7A54DFEE" w14:textId="1CD10A9D" w:rsidR="00FD46E5" w:rsidRDefault="00FD46E5" w:rsidP="00833F91">
      <w:pPr>
        <w:spacing w:line="276" w:lineRule="auto"/>
      </w:pPr>
      <w:r w:rsidRPr="00FD46E5">
        <w:t xml:space="preserve">Additionally, prioritising a culture of sustainability and ethical decision-making provides a competitive edge, ensuring the organisation’s relevance in an increasingly interconnected world. As technology </w:t>
      </w:r>
      <w:r w:rsidR="00F1380F">
        <w:t>evolves</w:t>
      </w:r>
      <w:r w:rsidRPr="00FD46E5">
        <w:t xml:space="preserve">, Cathy’s company should leverage advancements in AI, automation, and green technologies to enhance operational efficiency and customer satisfaction (PwC, 2018). By fostering innovation, mitigating risks, and embracing sustainable practices, the organisation is well-positioned to secure its leadership in the global market. By </w:t>
      </w:r>
      <w:r w:rsidR="00F1380F">
        <w:t>promoting</w:t>
      </w:r>
      <w:r w:rsidRPr="00FD46E5">
        <w:t xml:space="preserve"> a culture of innovation and sustainability, the organisation can </w:t>
      </w:r>
      <w:r w:rsidR="00F1380F">
        <w:t>mitigate risks and</w:t>
      </w:r>
      <w:r w:rsidRPr="00FD46E5">
        <w:t xml:space="preserve"> leverage opportunities to strengthen its position as a market leader (PwC, 2018).</w:t>
      </w:r>
    </w:p>
    <w:p w14:paraId="0A869815" w14:textId="77777777" w:rsidR="00F432B7" w:rsidRDefault="00F432B7" w:rsidP="00FD46E5">
      <w:pPr>
        <w:pStyle w:val="Heading2"/>
      </w:pPr>
    </w:p>
    <w:p w14:paraId="54A8E213" w14:textId="77777777" w:rsidR="00F432B7" w:rsidRDefault="00F432B7" w:rsidP="00FD46E5">
      <w:pPr>
        <w:pStyle w:val="Heading2"/>
      </w:pPr>
    </w:p>
    <w:p w14:paraId="09C50650" w14:textId="77777777" w:rsidR="00F432B7" w:rsidRDefault="00F432B7" w:rsidP="00FD46E5">
      <w:pPr>
        <w:pStyle w:val="Heading2"/>
      </w:pPr>
    </w:p>
    <w:p w14:paraId="36707BCA" w14:textId="77777777" w:rsidR="00F432B7" w:rsidRDefault="00F432B7" w:rsidP="00FD46E5">
      <w:pPr>
        <w:pStyle w:val="Heading2"/>
      </w:pPr>
    </w:p>
    <w:p w14:paraId="6FE921D3" w14:textId="77777777" w:rsidR="00F432B7" w:rsidRDefault="00F432B7" w:rsidP="00FD46E5">
      <w:pPr>
        <w:pStyle w:val="Heading2"/>
      </w:pPr>
    </w:p>
    <w:p w14:paraId="169BDC7B" w14:textId="77777777" w:rsidR="00F432B7" w:rsidRDefault="00F432B7" w:rsidP="00FD46E5">
      <w:pPr>
        <w:pStyle w:val="Heading2"/>
      </w:pPr>
    </w:p>
    <w:p w14:paraId="19FE08DB" w14:textId="77777777" w:rsidR="0072252D" w:rsidRDefault="0072252D" w:rsidP="0072252D"/>
    <w:p w14:paraId="2B7AA3DF" w14:textId="77777777" w:rsidR="0072252D" w:rsidRDefault="0072252D" w:rsidP="0072252D"/>
    <w:p w14:paraId="1FF51710" w14:textId="77777777" w:rsidR="0072252D" w:rsidRDefault="0072252D" w:rsidP="0072252D"/>
    <w:p w14:paraId="64B05322" w14:textId="77777777" w:rsidR="0072252D" w:rsidRDefault="0072252D" w:rsidP="0072252D"/>
    <w:p w14:paraId="44EC6B13" w14:textId="77777777" w:rsidR="0072252D" w:rsidRDefault="0072252D" w:rsidP="0072252D"/>
    <w:p w14:paraId="412FFFF9" w14:textId="77777777" w:rsidR="0072252D" w:rsidRDefault="0072252D" w:rsidP="0072252D"/>
    <w:p w14:paraId="4CB67755" w14:textId="77777777" w:rsidR="0072252D" w:rsidRDefault="0072252D" w:rsidP="0072252D"/>
    <w:p w14:paraId="7A39E156" w14:textId="77777777" w:rsidR="00F432B7" w:rsidRPr="00F432B7" w:rsidRDefault="00F432B7" w:rsidP="00F432B7"/>
    <w:p w14:paraId="5BEE45EF" w14:textId="59DE004B" w:rsidR="00C3302B" w:rsidRPr="00315735" w:rsidRDefault="00C3302B" w:rsidP="00FD46E5">
      <w:pPr>
        <w:pStyle w:val="Heading2"/>
      </w:pPr>
      <w:bookmarkStart w:id="16" w:name="_Toc188091927"/>
      <w:r w:rsidRPr="00315735">
        <w:lastRenderedPageBreak/>
        <w:t>References</w:t>
      </w:r>
      <w:bookmarkStart w:id="17" w:name="_Hlk186017638"/>
      <w:bookmarkEnd w:id="16"/>
    </w:p>
    <w:p w14:paraId="5EFDD25D" w14:textId="77777777" w:rsidR="00C3302B" w:rsidRPr="00315735" w:rsidRDefault="00C3302B" w:rsidP="005C4205">
      <w:pPr>
        <w:pStyle w:val="ListParagraph"/>
        <w:numPr>
          <w:ilvl w:val="0"/>
          <w:numId w:val="20"/>
        </w:numPr>
        <w:spacing w:after="200" w:line="276" w:lineRule="auto"/>
        <w:jc w:val="left"/>
      </w:pPr>
      <w:r w:rsidRPr="00315735">
        <w:t>Beckett, C. (2008) ‘Working with Female Offenders’, in: Green, S., Lancaster, E. &amp; Feasey, S. (eds) Addressing Offending Behaviour – Context, Practice and Values. Devon: Willan Publishing.</w:t>
      </w:r>
    </w:p>
    <w:p w14:paraId="4A7C333E" w14:textId="77777777" w:rsidR="00C3302B" w:rsidRPr="00315735" w:rsidRDefault="00C3302B" w:rsidP="005C4205">
      <w:pPr>
        <w:pStyle w:val="ListParagraph"/>
        <w:numPr>
          <w:ilvl w:val="0"/>
          <w:numId w:val="20"/>
        </w:numPr>
        <w:spacing w:after="200" w:line="276" w:lineRule="auto"/>
        <w:jc w:val="left"/>
      </w:pPr>
      <w:r w:rsidRPr="00315735">
        <w:t>Cornell University (2017) Cloudification. [Online]. Available at: https://it.cornell.edu/cornell-cloud [Accessed 20 December 2024].</w:t>
      </w:r>
    </w:p>
    <w:p w14:paraId="19C6BC39" w14:textId="77777777" w:rsidR="00C3302B" w:rsidRPr="00315735" w:rsidRDefault="00C3302B" w:rsidP="005C4205">
      <w:pPr>
        <w:pStyle w:val="ListParagraph"/>
        <w:numPr>
          <w:ilvl w:val="0"/>
          <w:numId w:val="20"/>
        </w:numPr>
        <w:spacing w:after="200" w:line="276" w:lineRule="auto"/>
        <w:jc w:val="left"/>
      </w:pPr>
      <w:r w:rsidRPr="00315735">
        <w:t>European Union Agency for Cybersecurity (2022) Cybersecurity Risk Assessment for Retail Businesses. [Online]. Available at: https://www.enisa.europa.eu [Accessed 20 December 2024].</w:t>
      </w:r>
    </w:p>
    <w:p w14:paraId="782FA35B" w14:textId="77777777" w:rsidR="00C3302B" w:rsidRPr="00315735" w:rsidRDefault="00C3302B" w:rsidP="005C4205">
      <w:pPr>
        <w:pStyle w:val="ListParagraph"/>
        <w:numPr>
          <w:ilvl w:val="0"/>
          <w:numId w:val="20"/>
        </w:numPr>
        <w:spacing w:after="200" w:line="276" w:lineRule="auto"/>
        <w:jc w:val="left"/>
      </w:pPr>
      <w:r w:rsidRPr="00315735">
        <w:t>Kumar, V. (2021) Vendor Lock-In in Cloud Environments. International Journal of Cloud Computing, 19(4), pp.250-270.</w:t>
      </w:r>
    </w:p>
    <w:p w14:paraId="569AD34B" w14:textId="77777777" w:rsidR="00C3302B" w:rsidRPr="0042229D" w:rsidRDefault="00C3302B" w:rsidP="005C4205">
      <w:pPr>
        <w:pStyle w:val="ListParagraph"/>
        <w:numPr>
          <w:ilvl w:val="0"/>
          <w:numId w:val="20"/>
        </w:numPr>
        <w:spacing w:after="200" w:line="276" w:lineRule="auto"/>
        <w:jc w:val="left"/>
        <w:rPr>
          <w:lang w:val="it-IT"/>
        </w:rPr>
      </w:pPr>
      <w:r w:rsidRPr="00315735">
        <w:t xml:space="preserve">Yamamoto, S. (2020) A Strategic Map for Digital Transformation. </w:t>
      </w:r>
      <w:r w:rsidRPr="0042229D">
        <w:rPr>
          <w:lang w:val="it-IT"/>
        </w:rPr>
        <w:t>Procedia Computer Science, 176, pp.1374-1381. DOI: 10.1016/j.procs.2020.09.147.</w:t>
      </w:r>
    </w:p>
    <w:p w14:paraId="0CA8BA31" w14:textId="77777777" w:rsidR="00C3302B" w:rsidRPr="00315735" w:rsidRDefault="00C3302B" w:rsidP="005C4205">
      <w:pPr>
        <w:pStyle w:val="ListParagraph"/>
        <w:numPr>
          <w:ilvl w:val="0"/>
          <w:numId w:val="20"/>
        </w:numPr>
        <w:spacing w:after="200" w:line="276" w:lineRule="auto"/>
        <w:jc w:val="left"/>
      </w:pPr>
      <w:r w:rsidRPr="00315735">
        <w:t>Zaoui, F. &amp; Souissi, N. (2020) Roadmap for Digital Transformation: A Literature Review. Procedia Computer Science, 175, pp.621-628. DOI: 10.1016/j.procs.2020.07.090.</w:t>
      </w:r>
    </w:p>
    <w:p w14:paraId="3FFBAA64" w14:textId="77777777" w:rsidR="00C3302B" w:rsidRPr="00315735" w:rsidRDefault="00C3302B" w:rsidP="005C4205">
      <w:pPr>
        <w:pStyle w:val="ListParagraph"/>
        <w:numPr>
          <w:ilvl w:val="0"/>
          <w:numId w:val="20"/>
        </w:numPr>
        <w:spacing w:after="200" w:line="276" w:lineRule="auto"/>
        <w:jc w:val="left"/>
      </w:pPr>
      <w:r w:rsidRPr="00315735">
        <w:t>Christopher, M. (2016) Logistics &amp; Supply Chain Management. 5th ed. Harlow: Pearson Education Limited.</w:t>
      </w:r>
    </w:p>
    <w:p w14:paraId="34C487D5" w14:textId="77777777" w:rsidR="00C3302B" w:rsidRPr="00315735" w:rsidRDefault="00C3302B" w:rsidP="005C4205">
      <w:pPr>
        <w:pStyle w:val="ListParagraph"/>
        <w:numPr>
          <w:ilvl w:val="0"/>
          <w:numId w:val="20"/>
        </w:numPr>
        <w:spacing w:after="200" w:line="276" w:lineRule="auto"/>
        <w:jc w:val="left"/>
      </w:pPr>
      <w:r w:rsidRPr="00315735">
        <w:t>World Bank (2023) Global Supply Chain Risk Report 2023. [Online]. Available at: https://www.worldbank.org [Accessed 20 December 2024].</w:t>
      </w:r>
    </w:p>
    <w:p w14:paraId="729BD77C" w14:textId="77777777" w:rsidR="00C3302B" w:rsidRPr="00315735" w:rsidRDefault="00C3302B" w:rsidP="005C4205">
      <w:pPr>
        <w:pStyle w:val="ListParagraph"/>
        <w:numPr>
          <w:ilvl w:val="0"/>
          <w:numId w:val="20"/>
        </w:numPr>
        <w:spacing w:after="200" w:line="276" w:lineRule="auto"/>
        <w:jc w:val="left"/>
      </w:pPr>
      <w:r w:rsidRPr="00315735">
        <w:t>Forbes (2022) Case Studies in Automated Warehouses: Risk Management in Digitalisation. [Online]. Available at: https://www.forbes.com [Accessed 20 December 2024].</w:t>
      </w:r>
    </w:p>
    <w:p w14:paraId="5FA69978" w14:textId="77777777" w:rsidR="00C3302B" w:rsidRPr="00315735" w:rsidRDefault="00C3302B" w:rsidP="005C4205">
      <w:pPr>
        <w:pStyle w:val="ListParagraph"/>
        <w:numPr>
          <w:ilvl w:val="0"/>
          <w:numId w:val="20"/>
        </w:numPr>
        <w:spacing w:after="200" w:line="276" w:lineRule="auto"/>
        <w:jc w:val="left"/>
      </w:pPr>
      <w:r w:rsidRPr="00315735">
        <w:t>Saunders, M., Lewis, P. &amp; Thornhill, A. (2016) Research Methods for Business Students. 7th ed. Essex: Pearson Education Limited.</w:t>
      </w:r>
    </w:p>
    <w:p w14:paraId="155A8051" w14:textId="77777777" w:rsidR="00C3302B" w:rsidRPr="00315735" w:rsidRDefault="00C3302B" w:rsidP="005C4205">
      <w:pPr>
        <w:pStyle w:val="ListParagraph"/>
        <w:numPr>
          <w:ilvl w:val="0"/>
          <w:numId w:val="20"/>
        </w:numPr>
        <w:spacing w:after="200" w:line="276" w:lineRule="auto"/>
        <w:jc w:val="left"/>
      </w:pPr>
      <w:r w:rsidRPr="00315735">
        <w:t>Ellram, L. M. (2013) ‘Offshoring, reshoring and the manufacturing location decision’, Journal of Supply Chain Management, 49(2), pp.3-5.</w:t>
      </w:r>
    </w:p>
    <w:p w14:paraId="4BF9503C" w14:textId="77777777" w:rsidR="00C3302B" w:rsidRPr="00315735" w:rsidRDefault="00C3302B" w:rsidP="005C4205">
      <w:pPr>
        <w:pStyle w:val="ListParagraph"/>
        <w:numPr>
          <w:ilvl w:val="0"/>
          <w:numId w:val="20"/>
        </w:numPr>
        <w:spacing w:after="200" w:line="276" w:lineRule="auto"/>
        <w:jc w:val="left"/>
      </w:pPr>
      <w:r w:rsidRPr="00315735">
        <w:t>Statista (2024) E-Commerce in the United Kingdom (UK) - statistics and facts. [Online]. Available at: https://www.statista.com [Accessed 6 November 2024].</w:t>
      </w:r>
    </w:p>
    <w:p w14:paraId="3687D91A" w14:textId="77777777" w:rsidR="00C3302B" w:rsidRPr="00315735" w:rsidRDefault="00C3302B" w:rsidP="005C4205">
      <w:pPr>
        <w:pStyle w:val="ListParagraph"/>
        <w:numPr>
          <w:ilvl w:val="0"/>
          <w:numId w:val="20"/>
        </w:numPr>
        <w:spacing w:after="200" w:line="276" w:lineRule="auto"/>
        <w:jc w:val="left"/>
      </w:pPr>
      <w:r w:rsidRPr="00315735">
        <w:t>PwC (2018) Attract and Retain Customers with Digital Platforms. [Online]. Available at: https://www.pwc.com/us/en [Accessed 1 December 2024].</w:t>
      </w:r>
    </w:p>
    <w:p w14:paraId="14A082FB" w14:textId="71BF804D" w:rsidR="00C3302B" w:rsidRPr="00315735" w:rsidRDefault="00C3302B" w:rsidP="005C4205">
      <w:pPr>
        <w:pStyle w:val="ListParagraph"/>
        <w:numPr>
          <w:ilvl w:val="0"/>
          <w:numId w:val="20"/>
        </w:numPr>
        <w:spacing w:after="200" w:line="276" w:lineRule="auto"/>
        <w:jc w:val="left"/>
      </w:pPr>
      <w:r w:rsidRPr="00315735">
        <w:t xml:space="preserve">Zhang, Z. et al. (2021) ‘Cybersecurity awareness training programs: a </w:t>
      </w:r>
      <w:r w:rsidR="002A1368">
        <w:t>cost-benefit</w:t>
      </w:r>
      <w:r w:rsidRPr="00315735">
        <w:t xml:space="preserve"> analysis framework’, Industrial Management &amp; Data Systems, DOI: 10.1108/IMDS-08-2020-0462.</w:t>
      </w:r>
    </w:p>
    <w:p w14:paraId="6CCD8410" w14:textId="77777777" w:rsidR="00C3302B" w:rsidRPr="00315735" w:rsidRDefault="00C3302B" w:rsidP="005C4205">
      <w:pPr>
        <w:pStyle w:val="ListParagraph"/>
        <w:numPr>
          <w:ilvl w:val="0"/>
          <w:numId w:val="20"/>
        </w:numPr>
        <w:spacing w:after="200" w:line="276" w:lineRule="auto"/>
        <w:jc w:val="left"/>
      </w:pPr>
      <w:r w:rsidRPr="00315735">
        <w:t>SANS Institute (2018) Security Awareness Planning Kit. [Online]. Available at: https://www.sans.org/tools/security-awareness-planning-toolkit [Accessed 1 December 2024].</w:t>
      </w:r>
    </w:p>
    <w:p w14:paraId="23505273" w14:textId="77777777" w:rsidR="00C3302B" w:rsidRPr="00315735" w:rsidRDefault="00C3302B" w:rsidP="005C4205">
      <w:pPr>
        <w:pStyle w:val="ListParagraph"/>
        <w:numPr>
          <w:ilvl w:val="0"/>
          <w:numId w:val="20"/>
        </w:numPr>
        <w:spacing w:after="200" w:line="276" w:lineRule="auto"/>
        <w:jc w:val="left"/>
      </w:pPr>
      <w:r w:rsidRPr="00315735">
        <w:t>NIST (2015) Guide to Data-Centric System Threat Modeling. [Online]. Available at: https://www.nist.gov [Accessed 5 December 2024].</w:t>
      </w:r>
    </w:p>
    <w:p w14:paraId="5B77CA56" w14:textId="77777777" w:rsidR="00C3302B" w:rsidRPr="00315735" w:rsidRDefault="00C3302B" w:rsidP="005C4205">
      <w:pPr>
        <w:pStyle w:val="ListParagraph"/>
        <w:numPr>
          <w:ilvl w:val="0"/>
          <w:numId w:val="20"/>
        </w:numPr>
        <w:spacing w:after="200" w:line="276" w:lineRule="auto"/>
        <w:jc w:val="left"/>
      </w:pPr>
      <w:r w:rsidRPr="00315735">
        <w:t>eMarketer (2020) Global Ecommerce Update 2020. [Online]. Available at: https://www.emarketer.com [Accessed 8 December 2024].</w:t>
      </w:r>
    </w:p>
    <w:bookmarkEnd w:id="17"/>
    <w:p w14:paraId="1D9A26CD" w14:textId="77777777" w:rsidR="00C3302B" w:rsidRPr="00315735" w:rsidRDefault="00C3302B" w:rsidP="00C3302B"/>
    <w:p w14:paraId="238758D3" w14:textId="77777777" w:rsidR="00887D32" w:rsidRDefault="00887D32"/>
    <w:sectPr w:rsidR="00887D32" w:rsidSect="00C3302B">
      <w:footerReference w:type="default" r:id="rId1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D41660" w14:textId="77777777" w:rsidR="00FF74B1" w:rsidRDefault="00FF74B1" w:rsidP="00CD174D">
      <w:pPr>
        <w:spacing w:after="0" w:line="240" w:lineRule="auto"/>
      </w:pPr>
      <w:r>
        <w:separator/>
      </w:r>
    </w:p>
  </w:endnote>
  <w:endnote w:type="continuationSeparator" w:id="0">
    <w:p w14:paraId="762B4AFA" w14:textId="77777777" w:rsidR="00FF74B1" w:rsidRDefault="00FF74B1" w:rsidP="00CD17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2919383"/>
      <w:docPartObj>
        <w:docPartGallery w:val="Page Numbers (Bottom of Page)"/>
        <w:docPartUnique/>
      </w:docPartObj>
    </w:sdtPr>
    <w:sdtEndPr>
      <w:rPr>
        <w:noProof/>
      </w:rPr>
    </w:sdtEndPr>
    <w:sdtContent>
      <w:p w14:paraId="3E4F5903" w14:textId="3E3584FF" w:rsidR="00CD174D" w:rsidRDefault="00CD174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52494F" w14:textId="77777777" w:rsidR="00CD174D" w:rsidRDefault="00CD17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9BEA4A" w14:textId="77777777" w:rsidR="00FF74B1" w:rsidRDefault="00FF74B1" w:rsidP="00CD174D">
      <w:pPr>
        <w:spacing w:after="0" w:line="240" w:lineRule="auto"/>
      </w:pPr>
      <w:r>
        <w:separator/>
      </w:r>
    </w:p>
  </w:footnote>
  <w:footnote w:type="continuationSeparator" w:id="0">
    <w:p w14:paraId="225EBE90" w14:textId="77777777" w:rsidR="00FF74B1" w:rsidRDefault="00FF74B1" w:rsidP="00CD17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D0B32"/>
    <w:multiLevelType w:val="hybridMultilevel"/>
    <w:tmpl w:val="7D886FB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0263071"/>
    <w:multiLevelType w:val="hybridMultilevel"/>
    <w:tmpl w:val="482C52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D149D0"/>
    <w:multiLevelType w:val="hybridMultilevel"/>
    <w:tmpl w:val="D102CA2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853357"/>
    <w:multiLevelType w:val="hybridMultilevel"/>
    <w:tmpl w:val="C48CC7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D02091"/>
    <w:multiLevelType w:val="hybridMultilevel"/>
    <w:tmpl w:val="8120327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2614D9"/>
    <w:multiLevelType w:val="hybridMultilevel"/>
    <w:tmpl w:val="EB6C193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FA140D"/>
    <w:multiLevelType w:val="hybridMultilevel"/>
    <w:tmpl w:val="CC988D5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9252F4"/>
    <w:multiLevelType w:val="hybridMultilevel"/>
    <w:tmpl w:val="4A9A77DA"/>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AC50EE6"/>
    <w:multiLevelType w:val="multilevel"/>
    <w:tmpl w:val="942C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7152A6"/>
    <w:multiLevelType w:val="hybridMultilevel"/>
    <w:tmpl w:val="EC8E97B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217C26"/>
    <w:multiLevelType w:val="hybridMultilevel"/>
    <w:tmpl w:val="06E6E97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652948"/>
    <w:multiLevelType w:val="hybridMultilevel"/>
    <w:tmpl w:val="ED2C43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DF75B0"/>
    <w:multiLevelType w:val="multilevel"/>
    <w:tmpl w:val="50C61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DC2BB6"/>
    <w:multiLevelType w:val="hybridMultilevel"/>
    <w:tmpl w:val="54FCACC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27164A"/>
    <w:multiLevelType w:val="hybridMultilevel"/>
    <w:tmpl w:val="95BE367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E18115D"/>
    <w:multiLevelType w:val="hybridMultilevel"/>
    <w:tmpl w:val="7B6679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F6392D"/>
    <w:multiLevelType w:val="hybridMultilevel"/>
    <w:tmpl w:val="8982BDC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80E3E99"/>
    <w:multiLevelType w:val="hybridMultilevel"/>
    <w:tmpl w:val="02860E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A051760"/>
    <w:multiLevelType w:val="multilevel"/>
    <w:tmpl w:val="DFAC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5C2337"/>
    <w:multiLevelType w:val="hybridMultilevel"/>
    <w:tmpl w:val="5BB0EB5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19B0E79"/>
    <w:multiLevelType w:val="hybridMultilevel"/>
    <w:tmpl w:val="F222A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ADE6457"/>
    <w:multiLevelType w:val="hybridMultilevel"/>
    <w:tmpl w:val="4C7A54A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2513577">
    <w:abstractNumId w:val="1"/>
  </w:num>
  <w:num w:numId="2" w16cid:durableId="791901611">
    <w:abstractNumId w:val="18"/>
  </w:num>
  <w:num w:numId="3" w16cid:durableId="2057242919">
    <w:abstractNumId w:val="11"/>
  </w:num>
  <w:num w:numId="4" w16cid:durableId="1422800241">
    <w:abstractNumId w:val="20"/>
  </w:num>
  <w:num w:numId="5" w16cid:durableId="260532014">
    <w:abstractNumId w:val="7"/>
  </w:num>
  <w:num w:numId="6" w16cid:durableId="1796874666">
    <w:abstractNumId w:val="4"/>
  </w:num>
  <w:num w:numId="7" w16cid:durableId="1950120953">
    <w:abstractNumId w:val="14"/>
  </w:num>
  <w:num w:numId="8" w16cid:durableId="391003480">
    <w:abstractNumId w:val="5"/>
  </w:num>
  <w:num w:numId="9" w16cid:durableId="1363093872">
    <w:abstractNumId w:val="16"/>
  </w:num>
  <w:num w:numId="10" w16cid:durableId="1253052443">
    <w:abstractNumId w:val="2"/>
  </w:num>
  <w:num w:numId="11" w16cid:durableId="265432741">
    <w:abstractNumId w:val="9"/>
  </w:num>
  <w:num w:numId="12" w16cid:durableId="601425862">
    <w:abstractNumId w:val="19"/>
  </w:num>
  <w:num w:numId="13" w16cid:durableId="276986223">
    <w:abstractNumId w:val="21"/>
  </w:num>
  <w:num w:numId="14" w16cid:durableId="1172524235">
    <w:abstractNumId w:val="13"/>
  </w:num>
  <w:num w:numId="15" w16cid:durableId="294410396">
    <w:abstractNumId w:val="6"/>
  </w:num>
  <w:num w:numId="16" w16cid:durableId="1567567278">
    <w:abstractNumId w:val="10"/>
  </w:num>
  <w:num w:numId="17" w16cid:durableId="951278106">
    <w:abstractNumId w:val="15"/>
  </w:num>
  <w:num w:numId="18" w16cid:durableId="890312485">
    <w:abstractNumId w:val="3"/>
  </w:num>
  <w:num w:numId="19" w16cid:durableId="955916095">
    <w:abstractNumId w:val="17"/>
  </w:num>
  <w:num w:numId="20" w16cid:durableId="911891947">
    <w:abstractNumId w:val="0"/>
  </w:num>
  <w:num w:numId="21" w16cid:durableId="1966547064">
    <w:abstractNumId w:val="8"/>
  </w:num>
  <w:num w:numId="22" w16cid:durableId="11778841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02B"/>
    <w:rsid w:val="00024F44"/>
    <w:rsid w:val="00076673"/>
    <w:rsid w:val="000B002B"/>
    <w:rsid w:val="000E6F05"/>
    <w:rsid w:val="00120001"/>
    <w:rsid w:val="0015677F"/>
    <w:rsid w:val="00194F41"/>
    <w:rsid w:val="00195379"/>
    <w:rsid w:val="001A68E2"/>
    <w:rsid w:val="0020643D"/>
    <w:rsid w:val="00222A7A"/>
    <w:rsid w:val="00246D35"/>
    <w:rsid w:val="0025561D"/>
    <w:rsid w:val="002A1368"/>
    <w:rsid w:val="00315735"/>
    <w:rsid w:val="003506A9"/>
    <w:rsid w:val="0037322F"/>
    <w:rsid w:val="003F7478"/>
    <w:rsid w:val="00414CD2"/>
    <w:rsid w:val="0042229D"/>
    <w:rsid w:val="00464383"/>
    <w:rsid w:val="0047027C"/>
    <w:rsid w:val="004D348C"/>
    <w:rsid w:val="004D70CA"/>
    <w:rsid w:val="005316CE"/>
    <w:rsid w:val="00561F91"/>
    <w:rsid w:val="00562A1E"/>
    <w:rsid w:val="0058230E"/>
    <w:rsid w:val="00582CA8"/>
    <w:rsid w:val="00586D91"/>
    <w:rsid w:val="005C4205"/>
    <w:rsid w:val="005D71C3"/>
    <w:rsid w:val="006327CF"/>
    <w:rsid w:val="00683281"/>
    <w:rsid w:val="006936D6"/>
    <w:rsid w:val="006A2861"/>
    <w:rsid w:val="006A732A"/>
    <w:rsid w:val="006B6627"/>
    <w:rsid w:val="006C3B10"/>
    <w:rsid w:val="006C4161"/>
    <w:rsid w:val="006E660B"/>
    <w:rsid w:val="006E7183"/>
    <w:rsid w:val="006F6EA3"/>
    <w:rsid w:val="00706950"/>
    <w:rsid w:val="00710796"/>
    <w:rsid w:val="0072252D"/>
    <w:rsid w:val="00757BAD"/>
    <w:rsid w:val="0078268C"/>
    <w:rsid w:val="007D7789"/>
    <w:rsid w:val="007F7D57"/>
    <w:rsid w:val="00833F91"/>
    <w:rsid w:val="00847D31"/>
    <w:rsid w:val="00851A6E"/>
    <w:rsid w:val="00865506"/>
    <w:rsid w:val="00887D32"/>
    <w:rsid w:val="008D07D9"/>
    <w:rsid w:val="00921FFA"/>
    <w:rsid w:val="00951A7F"/>
    <w:rsid w:val="0099128C"/>
    <w:rsid w:val="009B300E"/>
    <w:rsid w:val="009F0190"/>
    <w:rsid w:val="00A448D4"/>
    <w:rsid w:val="00A51435"/>
    <w:rsid w:val="00AB236A"/>
    <w:rsid w:val="00B12A48"/>
    <w:rsid w:val="00BD72D6"/>
    <w:rsid w:val="00BE3CD3"/>
    <w:rsid w:val="00C3302B"/>
    <w:rsid w:val="00C5495A"/>
    <w:rsid w:val="00C80E96"/>
    <w:rsid w:val="00C94D09"/>
    <w:rsid w:val="00CD174D"/>
    <w:rsid w:val="00CD670A"/>
    <w:rsid w:val="00CF03C3"/>
    <w:rsid w:val="00D55093"/>
    <w:rsid w:val="00D61DBC"/>
    <w:rsid w:val="00D66DBC"/>
    <w:rsid w:val="00D7306F"/>
    <w:rsid w:val="00DC0742"/>
    <w:rsid w:val="00DC2FFB"/>
    <w:rsid w:val="00E911FA"/>
    <w:rsid w:val="00EB670A"/>
    <w:rsid w:val="00EC02BE"/>
    <w:rsid w:val="00EC38A5"/>
    <w:rsid w:val="00EF398D"/>
    <w:rsid w:val="00F1380F"/>
    <w:rsid w:val="00F27314"/>
    <w:rsid w:val="00F432B7"/>
    <w:rsid w:val="00F50C76"/>
    <w:rsid w:val="00F772DF"/>
    <w:rsid w:val="00F8323E"/>
    <w:rsid w:val="00F83955"/>
    <w:rsid w:val="00FD46E5"/>
    <w:rsid w:val="00FF74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048AB1"/>
  <w15:chartTrackingRefBased/>
  <w15:docId w15:val="{77599027-690C-47D7-8814-E8D775DC6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673"/>
    <w:pPr>
      <w:jc w:val="both"/>
    </w:pPr>
  </w:style>
  <w:style w:type="paragraph" w:styleId="Heading1">
    <w:name w:val="heading 1"/>
    <w:basedOn w:val="Normal"/>
    <w:next w:val="Normal"/>
    <w:link w:val="Heading1Char"/>
    <w:autoRedefine/>
    <w:uiPriority w:val="9"/>
    <w:qFormat/>
    <w:rsid w:val="00EB670A"/>
    <w:pPr>
      <w:keepNext/>
      <w:keepLines/>
      <w:spacing w:after="0" w:line="600" w:lineRule="auto"/>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C330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330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30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30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30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30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30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30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670A"/>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C330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330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30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30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30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30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30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302B"/>
    <w:rPr>
      <w:rFonts w:eastAsiaTheme="majorEastAsia" w:cstheme="majorBidi"/>
      <w:color w:val="272727" w:themeColor="text1" w:themeTint="D8"/>
    </w:rPr>
  </w:style>
  <w:style w:type="paragraph" w:styleId="Title">
    <w:name w:val="Title"/>
    <w:basedOn w:val="Normal"/>
    <w:next w:val="Normal"/>
    <w:link w:val="TitleChar"/>
    <w:uiPriority w:val="10"/>
    <w:qFormat/>
    <w:rsid w:val="00C330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30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30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30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302B"/>
    <w:pPr>
      <w:spacing w:before="160"/>
      <w:jc w:val="center"/>
    </w:pPr>
    <w:rPr>
      <w:i/>
      <w:iCs/>
      <w:color w:val="404040" w:themeColor="text1" w:themeTint="BF"/>
    </w:rPr>
  </w:style>
  <w:style w:type="character" w:customStyle="1" w:styleId="QuoteChar">
    <w:name w:val="Quote Char"/>
    <w:basedOn w:val="DefaultParagraphFont"/>
    <w:link w:val="Quote"/>
    <w:uiPriority w:val="29"/>
    <w:rsid w:val="00C3302B"/>
    <w:rPr>
      <w:i/>
      <w:iCs/>
      <w:color w:val="404040" w:themeColor="text1" w:themeTint="BF"/>
    </w:rPr>
  </w:style>
  <w:style w:type="paragraph" w:styleId="ListParagraph">
    <w:name w:val="List Paragraph"/>
    <w:basedOn w:val="Normal"/>
    <w:uiPriority w:val="34"/>
    <w:qFormat/>
    <w:rsid w:val="00C3302B"/>
    <w:pPr>
      <w:ind w:left="720"/>
      <w:contextualSpacing/>
    </w:pPr>
  </w:style>
  <w:style w:type="character" w:styleId="IntenseEmphasis">
    <w:name w:val="Intense Emphasis"/>
    <w:basedOn w:val="DefaultParagraphFont"/>
    <w:uiPriority w:val="21"/>
    <w:qFormat/>
    <w:rsid w:val="00C3302B"/>
    <w:rPr>
      <w:i/>
      <w:iCs/>
      <w:color w:val="0F4761" w:themeColor="accent1" w:themeShade="BF"/>
    </w:rPr>
  </w:style>
  <w:style w:type="paragraph" w:styleId="IntenseQuote">
    <w:name w:val="Intense Quote"/>
    <w:basedOn w:val="Normal"/>
    <w:next w:val="Normal"/>
    <w:link w:val="IntenseQuoteChar"/>
    <w:uiPriority w:val="30"/>
    <w:qFormat/>
    <w:rsid w:val="00C330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302B"/>
    <w:rPr>
      <w:i/>
      <w:iCs/>
      <w:color w:val="0F4761" w:themeColor="accent1" w:themeShade="BF"/>
    </w:rPr>
  </w:style>
  <w:style w:type="character" w:styleId="IntenseReference">
    <w:name w:val="Intense Reference"/>
    <w:basedOn w:val="DefaultParagraphFont"/>
    <w:uiPriority w:val="32"/>
    <w:qFormat/>
    <w:rsid w:val="00C3302B"/>
    <w:rPr>
      <w:b/>
      <w:bCs/>
      <w:smallCaps/>
      <w:color w:val="0F4761" w:themeColor="accent1" w:themeShade="BF"/>
      <w:spacing w:val="5"/>
    </w:rPr>
  </w:style>
  <w:style w:type="paragraph" w:styleId="NoSpacing">
    <w:name w:val="No Spacing"/>
    <w:link w:val="NoSpacingChar"/>
    <w:uiPriority w:val="1"/>
    <w:qFormat/>
    <w:rsid w:val="00C3302B"/>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C3302B"/>
    <w:rPr>
      <w:rFonts w:eastAsiaTheme="minorEastAsia"/>
      <w:kern w:val="0"/>
      <w:lang w:val="en-US"/>
      <w14:ligatures w14:val="none"/>
    </w:rPr>
  </w:style>
  <w:style w:type="paragraph" w:styleId="TOCHeading">
    <w:name w:val="TOC Heading"/>
    <w:basedOn w:val="Heading1"/>
    <w:next w:val="Normal"/>
    <w:uiPriority w:val="39"/>
    <w:unhideWhenUsed/>
    <w:qFormat/>
    <w:rsid w:val="00C3302B"/>
    <w:pPr>
      <w:spacing w:before="240"/>
      <w:outlineLvl w:val="9"/>
    </w:pPr>
    <w:rPr>
      <w:kern w:val="0"/>
      <w:lang w:val="en-US"/>
      <w14:ligatures w14:val="none"/>
    </w:rPr>
  </w:style>
  <w:style w:type="table" w:styleId="TableGrid">
    <w:name w:val="Table Grid"/>
    <w:basedOn w:val="TableNormal"/>
    <w:uiPriority w:val="59"/>
    <w:rsid w:val="00C3302B"/>
    <w:pPr>
      <w:spacing w:after="0" w:line="240" w:lineRule="auto"/>
    </w:pPr>
    <w:rPr>
      <w:rFonts w:eastAsiaTheme="minorEastAsia"/>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302B"/>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TOC1">
    <w:name w:val="toc 1"/>
    <w:basedOn w:val="Normal"/>
    <w:next w:val="Normal"/>
    <w:autoRedefine/>
    <w:uiPriority w:val="39"/>
    <w:unhideWhenUsed/>
    <w:rsid w:val="00F50C76"/>
    <w:pPr>
      <w:spacing w:after="100"/>
    </w:pPr>
  </w:style>
  <w:style w:type="paragraph" w:styleId="TOC2">
    <w:name w:val="toc 2"/>
    <w:basedOn w:val="Normal"/>
    <w:next w:val="Normal"/>
    <w:autoRedefine/>
    <w:uiPriority w:val="39"/>
    <w:unhideWhenUsed/>
    <w:rsid w:val="00F50C76"/>
    <w:pPr>
      <w:spacing w:after="100"/>
      <w:ind w:left="220"/>
    </w:pPr>
  </w:style>
  <w:style w:type="paragraph" w:styleId="TOC3">
    <w:name w:val="toc 3"/>
    <w:basedOn w:val="Normal"/>
    <w:next w:val="Normal"/>
    <w:autoRedefine/>
    <w:uiPriority w:val="39"/>
    <w:unhideWhenUsed/>
    <w:rsid w:val="00F50C76"/>
    <w:pPr>
      <w:spacing w:after="100"/>
      <w:ind w:left="440"/>
    </w:pPr>
  </w:style>
  <w:style w:type="character" w:styleId="Hyperlink">
    <w:name w:val="Hyperlink"/>
    <w:basedOn w:val="DefaultParagraphFont"/>
    <w:uiPriority w:val="99"/>
    <w:unhideWhenUsed/>
    <w:rsid w:val="00F50C76"/>
    <w:rPr>
      <w:color w:val="467886" w:themeColor="hyperlink"/>
      <w:u w:val="single"/>
    </w:rPr>
  </w:style>
  <w:style w:type="character" w:styleId="Strong">
    <w:name w:val="Strong"/>
    <w:basedOn w:val="DefaultParagraphFont"/>
    <w:uiPriority w:val="22"/>
    <w:qFormat/>
    <w:rsid w:val="00561F91"/>
    <w:rPr>
      <w:b/>
      <w:bCs/>
    </w:rPr>
  </w:style>
  <w:style w:type="paragraph" w:styleId="Header">
    <w:name w:val="header"/>
    <w:basedOn w:val="Normal"/>
    <w:link w:val="HeaderChar"/>
    <w:uiPriority w:val="99"/>
    <w:unhideWhenUsed/>
    <w:rsid w:val="00CD17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174D"/>
  </w:style>
  <w:style w:type="paragraph" w:styleId="Footer">
    <w:name w:val="footer"/>
    <w:basedOn w:val="Normal"/>
    <w:link w:val="FooterChar"/>
    <w:uiPriority w:val="99"/>
    <w:unhideWhenUsed/>
    <w:rsid w:val="00CD17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17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363237">
      <w:bodyDiv w:val="1"/>
      <w:marLeft w:val="0"/>
      <w:marRight w:val="0"/>
      <w:marTop w:val="0"/>
      <w:marBottom w:val="0"/>
      <w:divBdr>
        <w:top w:val="none" w:sz="0" w:space="0" w:color="auto"/>
        <w:left w:val="none" w:sz="0" w:space="0" w:color="auto"/>
        <w:bottom w:val="none" w:sz="0" w:space="0" w:color="auto"/>
        <w:right w:val="none" w:sz="0" w:space="0" w:color="auto"/>
      </w:divBdr>
    </w:div>
    <w:div w:id="1062558961">
      <w:bodyDiv w:val="1"/>
      <w:marLeft w:val="0"/>
      <w:marRight w:val="0"/>
      <w:marTop w:val="0"/>
      <w:marBottom w:val="0"/>
      <w:divBdr>
        <w:top w:val="none" w:sz="0" w:space="0" w:color="auto"/>
        <w:left w:val="none" w:sz="0" w:space="0" w:color="auto"/>
        <w:bottom w:val="none" w:sz="0" w:space="0" w:color="auto"/>
        <w:right w:val="none" w:sz="0" w:space="0" w:color="auto"/>
      </w:divBdr>
    </w:div>
    <w:div w:id="1148205423">
      <w:bodyDiv w:val="1"/>
      <w:marLeft w:val="0"/>
      <w:marRight w:val="0"/>
      <w:marTop w:val="0"/>
      <w:marBottom w:val="0"/>
      <w:divBdr>
        <w:top w:val="none" w:sz="0" w:space="0" w:color="auto"/>
        <w:left w:val="none" w:sz="0" w:space="0" w:color="auto"/>
        <w:bottom w:val="none" w:sz="0" w:space="0" w:color="auto"/>
        <w:right w:val="none" w:sz="0" w:space="0" w:color="auto"/>
      </w:divBdr>
    </w:div>
    <w:div w:id="1410611988">
      <w:bodyDiv w:val="1"/>
      <w:marLeft w:val="0"/>
      <w:marRight w:val="0"/>
      <w:marTop w:val="0"/>
      <w:marBottom w:val="0"/>
      <w:divBdr>
        <w:top w:val="none" w:sz="0" w:space="0" w:color="auto"/>
        <w:left w:val="none" w:sz="0" w:space="0" w:color="auto"/>
        <w:bottom w:val="none" w:sz="0" w:space="0" w:color="auto"/>
        <w:right w:val="none" w:sz="0" w:space="0" w:color="auto"/>
      </w:divBdr>
    </w:div>
    <w:div w:id="1603343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73E32F-9408-42B5-9889-E3695556B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10</Pages>
  <Words>2296</Words>
  <Characters>15155</Characters>
  <Application>Microsoft Office Word</Application>
  <DocSecurity>0</DocSecurity>
  <Lines>329</Lines>
  <Paragraphs>164</Paragraphs>
  <ScaleCrop>false</ScaleCrop>
  <HeadingPairs>
    <vt:vector size="2" baseType="variant">
      <vt:variant>
        <vt:lpstr>Title</vt:lpstr>
      </vt:variant>
      <vt:variant>
        <vt:i4>1</vt:i4>
      </vt:variant>
    </vt:vector>
  </HeadingPairs>
  <TitlesOfParts>
    <vt:vector size="1" baseType="lpstr">
      <vt:lpstr>Individual Project: Executive Summary</vt:lpstr>
    </vt:vector>
  </TitlesOfParts>
  <Company/>
  <LinksUpToDate>false</LinksUpToDate>
  <CharactersWithSpaces>17287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Project: Executive Summary</dc:title>
  <dc:subject>Risk Assessment and Disaster Recovery Plan</dc:subject>
  <dc:creator>Milad Chowdhury</dc:creator>
  <cp:keywords/>
  <dc:description/>
  <cp:lastModifiedBy>M C</cp:lastModifiedBy>
  <cp:revision>90</cp:revision>
  <dcterms:created xsi:type="dcterms:W3CDTF">2024-12-25T11:12:00Z</dcterms:created>
  <dcterms:modified xsi:type="dcterms:W3CDTF">2025-01-18T11:25:00Z</dcterms:modified>
  <cp:category>Security and Risk Management October 2024</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66c97f0b-58fd-47b0-8a7d-648f357b948c</vt:lpwstr>
  </property>
</Properties>
</file>