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95894698"/>
        <w:docPartObj>
          <w:docPartGallery w:val="Cover Pages"/>
          <w:docPartUnique/>
        </w:docPartObj>
      </w:sdtPr>
      <w:sdtEndPr>
        <w:rPr>
          <w:b/>
          <w:bCs/>
        </w:rPr>
      </w:sdtEndPr>
      <w:sdtContent>
        <w:p w14:paraId="44C087D6" w14:textId="799F6D61" w:rsidR="009328E6" w:rsidRDefault="009328E6">
          <w:r>
            <w:rPr>
              <w:noProof/>
            </w:rPr>
            <mc:AlternateContent>
              <mc:Choice Requires="wps">
                <w:drawing>
                  <wp:anchor distT="0" distB="0" distL="114300" distR="114300" simplePos="0" relativeHeight="251659264" behindDoc="1" locked="0" layoutInCell="1" allowOverlap="0" wp14:anchorId="2927ED5E" wp14:editId="7BC9F3B4">
                    <wp:simplePos x="0" y="0"/>
                    <wp:positionH relativeFrom="page">
                      <wp:align>center</wp:align>
                    </wp:positionH>
                    <wp:positionV relativeFrom="page">
                      <wp:align>center</wp:align>
                    </wp:positionV>
                    <wp:extent cx="6858000" cy="9144000"/>
                    <wp:effectExtent l="0" t="0" r="0" b="0"/>
                    <wp:wrapNone/>
                    <wp:docPr id="8" name="Text Box 4"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328E6" w14:paraId="313F9D16" w14:textId="77777777">
                                  <w:trPr>
                                    <w:trHeight w:hRule="exact" w:val="9360"/>
                                  </w:trPr>
                                  <w:tc>
                                    <w:tcPr>
                                      <w:tcW w:w="5000" w:type="pct"/>
                                    </w:tcPr>
                                    <w:p w14:paraId="035A10B5" w14:textId="77777777" w:rsidR="009328E6" w:rsidRDefault="009328E6">
                                      <w:r>
                                        <w:rPr>
                                          <w:noProof/>
                                        </w:rPr>
                                        <w:drawing>
                                          <wp:inline distT="0" distB="0" distL="0" distR="0" wp14:anchorId="3C52150D" wp14:editId="33FE7AFA">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328E6" w14:paraId="4320D333" w14:textId="77777777">
                                  <w:trPr>
                                    <w:trHeight w:hRule="exact" w:val="4320"/>
                                  </w:trPr>
                                  <w:tc>
                                    <w:tcPr>
                                      <w:tcW w:w="5000" w:type="pct"/>
                                      <w:shd w:val="clear" w:color="auto" w:fill="4472C4" w:themeFill="accent1"/>
                                      <w:vAlign w:val="center"/>
                                    </w:tcPr>
                                    <w:p w14:paraId="707A2AB5" w14:textId="5BA409E1" w:rsidR="009328E6" w:rsidRDefault="009328E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48"/>
                                            <w:szCs w:val="48"/>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328E6">
                                            <w:rPr>
                                              <w:rFonts w:asciiTheme="majorHAnsi" w:hAnsiTheme="majorHAnsi"/>
                                              <w:color w:val="FFFFFF" w:themeColor="background1"/>
                                              <w:sz w:val="48"/>
                                              <w:szCs w:val="48"/>
                                            </w:rPr>
                                            <w:t>Critical Analysis of Three Human Factors in Cyber Security for a Local Start-Up</w:t>
                                          </w:r>
                                        </w:sdtContent>
                                      </w:sdt>
                                    </w:p>
                                    <w:p w14:paraId="19C55A2B" w14:textId="45203A1C" w:rsidR="009328E6" w:rsidRDefault="009328E6">
                                      <w:pPr>
                                        <w:pStyle w:val="NoSpacing"/>
                                        <w:spacing w:before="240"/>
                                        <w:ind w:left="720" w:right="720"/>
                                        <w:rPr>
                                          <w:color w:val="FFFFFF" w:themeColor="background1"/>
                                          <w:sz w:val="32"/>
                                          <w:szCs w:val="32"/>
                                        </w:rPr>
                                      </w:pPr>
                                    </w:p>
                                  </w:tc>
                                </w:tr>
                                <w:tr w:rsidR="009328E6" w14:paraId="149251A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328E6" w14:paraId="13A339EC"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D53327A" w14:textId="131742FB" w:rsidR="009328E6" w:rsidRDefault="009328E6">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3-28T00:00:00Z">
                                                <w:dateFormat w:val="M/d/yy"/>
                                                <w:lid w:val="en-US"/>
                                                <w:storeMappedDataAs w:val="dateTime"/>
                                                <w:calendar w:val="gregorian"/>
                                              </w:date>
                                            </w:sdtPr>
                                            <w:sdtContent>
                                              <w:p w14:paraId="5BC46230" w14:textId="317046FC" w:rsidR="009328E6" w:rsidRDefault="009328E6">
                                                <w:pPr>
                                                  <w:pStyle w:val="NoSpacing"/>
                                                  <w:ind w:left="144" w:right="144"/>
                                                  <w:jc w:val="center"/>
                                                  <w:rPr>
                                                    <w:color w:val="FFFFFF" w:themeColor="background1"/>
                                                  </w:rPr>
                                                </w:pPr>
                                                <w:r>
                                                  <w:rPr>
                                                    <w:color w:val="FFFFFF" w:themeColor="background1"/>
                                                  </w:rPr>
                                                  <w:t>3/28/25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7F7AC8C" w14:textId="7355E26B" w:rsidR="009328E6" w:rsidRDefault="009328E6">
                                                <w:pPr>
                                                  <w:pStyle w:val="NoSpacing"/>
                                                  <w:ind w:left="144" w:right="720"/>
                                                  <w:jc w:val="right"/>
                                                  <w:rPr>
                                                    <w:color w:val="FFFFFF" w:themeColor="background1"/>
                                                  </w:rPr>
                                                </w:pPr>
                                                <w:r w:rsidRPr="009328E6">
                                                  <w:rPr>
                                                    <w:color w:val="FFFFFF" w:themeColor="background1"/>
                                                  </w:rPr>
                                                  <w:t xml:space="preserve">The Human Factor </w:t>
                                                </w:r>
                                                <w:r>
                                                  <w:rPr>
                                                    <w:color w:val="FFFFFF" w:themeColor="background1"/>
                                                  </w:rPr>
                                                  <w:t xml:space="preserve">- </w:t>
                                                </w:r>
                                                <w:r w:rsidRPr="009328E6">
                                                  <w:rPr>
                                                    <w:color w:val="FFFFFF" w:themeColor="background1"/>
                                                  </w:rPr>
                                                  <w:t>March 2025</w:t>
                                                </w:r>
                                              </w:p>
                                            </w:tc>
                                          </w:sdtContent>
                                        </w:sdt>
                                      </w:tr>
                                    </w:tbl>
                                    <w:p w14:paraId="77F1DC03" w14:textId="77777777" w:rsidR="009328E6" w:rsidRDefault="009328E6"/>
                                  </w:tc>
                                </w:tr>
                              </w:tbl>
                              <w:p w14:paraId="4C536988" w14:textId="77777777" w:rsidR="009328E6" w:rsidRDefault="009328E6"/>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2927ED5E" id="_x0000_t202" coordsize="21600,21600" o:spt="202" path="m,l,21600r21600,l21600,xe">
                    <v:stroke joinstyle="miter"/>
                    <v:path gradientshapeok="t" o:connecttype="rect"/>
                  </v:shapetype>
                  <v:shape id="Text Box 4" o:spid="_x0000_s1026" type="#_x0000_t202" alt="Cover page layout" style="position:absolute;left:0;text-align:left;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9328E6" w14:paraId="313F9D16" w14:textId="77777777">
                            <w:trPr>
                              <w:trHeight w:hRule="exact" w:val="9360"/>
                            </w:trPr>
                            <w:tc>
                              <w:tcPr>
                                <w:tcW w:w="5000" w:type="pct"/>
                              </w:tcPr>
                              <w:p w14:paraId="035A10B5" w14:textId="77777777" w:rsidR="009328E6" w:rsidRDefault="009328E6">
                                <w:r>
                                  <w:rPr>
                                    <w:noProof/>
                                  </w:rPr>
                                  <w:drawing>
                                    <wp:inline distT="0" distB="0" distL="0" distR="0" wp14:anchorId="3C52150D" wp14:editId="33FE7AFA">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9328E6" w14:paraId="4320D333" w14:textId="77777777">
                            <w:trPr>
                              <w:trHeight w:hRule="exact" w:val="4320"/>
                            </w:trPr>
                            <w:tc>
                              <w:tcPr>
                                <w:tcW w:w="5000" w:type="pct"/>
                                <w:shd w:val="clear" w:color="auto" w:fill="4472C4" w:themeFill="accent1"/>
                                <w:vAlign w:val="center"/>
                              </w:tcPr>
                              <w:p w14:paraId="707A2AB5" w14:textId="5BA409E1" w:rsidR="009328E6" w:rsidRDefault="009328E6">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48"/>
                                      <w:szCs w:val="48"/>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Pr="009328E6">
                                      <w:rPr>
                                        <w:rFonts w:asciiTheme="majorHAnsi" w:hAnsiTheme="majorHAnsi"/>
                                        <w:color w:val="FFFFFF" w:themeColor="background1"/>
                                        <w:sz w:val="48"/>
                                        <w:szCs w:val="48"/>
                                      </w:rPr>
                                      <w:t>Critical Analysis of Three Human Factors in Cyber Security for a Local Start-Up</w:t>
                                    </w:r>
                                  </w:sdtContent>
                                </w:sdt>
                              </w:p>
                              <w:p w14:paraId="19C55A2B" w14:textId="45203A1C" w:rsidR="009328E6" w:rsidRDefault="009328E6">
                                <w:pPr>
                                  <w:pStyle w:val="NoSpacing"/>
                                  <w:spacing w:before="240"/>
                                  <w:ind w:left="720" w:right="720"/>
                                  <w:rPr>
                                    <w:color w:val="FFFFFF" w:themeColor="background1"/>
                                    <w:sz w:val="32"/>
                                    <w:szCs w:val="32"/>
                                  </w:rPr>
                                </w:pPr>
                              </w:p>
                            </w:tc>
                          </w:tr>
                          <w:tr w:rsidR="009328E6" w14:paraId="149251A8"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9328E6" w14:paraId="13A339EC" w14:textId="77777777">
                                  <w:trPr>
                                    <w:trHeight w:hRule="exact" w:val="720"/>
                                  </w:trPr>
                                  <w:sdt>
                                    <w:sdtPr>
                                      <w:rPr>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590" w:type="dxa"/>
                                          <w:vAlign w:val="center"/>
                                        </w:tcPr>
                                        <w:p w14:paraId="5D53327A" w14:textId="131742FB" w:rsidR="009328E6" w:rsidRDefault="009328E6">
                                          <w:pPr>
                                            <w:pStyle w:val="NoSpacing"/>
                                            <w:ind w:left="144" w:right="144"/>
                                            <w:jc w:val="center"/>
                                            <w:rPr>
                                              <w:color w:val="FFFFFF" w:themeColor="background1"/>
                                            </w:rPr>
                                          </w:pPr>
                                          <w:r>
                                            <w:rPr>
                                              <w:color w:val="FFFFFF" w:themeColor="background1"/>
                                            </w:rPr>
                                            <w:t>Milad Chowdhury</w:t>
                                          </w:r>
                                        </w:p>
                                      </w:tc>
                                    </w:sdtContent>
                                  </w:sdt>
                                  <w:tc>
                                    <w:tcPr>
                                      <w:tcW w:w="3591" w:type="dxa"/>
                                      <w:vAlign w:val="center"/>
                                    </w:tcPr>
                                    <w:sdt>
                                      <w:sdtPr>
                                        <w:rPr>
                                          <w:color w:val="FFFFFF" w:themeColor="background1"/>
                                        </w:rPr>
                                        <w:alias w:val="Date"/>
                                        <w:tag w:val=""/>
                                        <w:id w:val="-1047523169"/>
                                        <w:dataBinding w:prefixMappings="xmlns:ns0='http://schemas.microsoft.com/office/2006/coverPageProps' " w:xpath="/ns0:CoverPageProperties[1]/ns0:PublishDate[1]" w:storeItemID="{55AF091B-3C7A-41E3-B477-F2FDAA23CFDA}"/>
                                        <w:date w:fullDate="2025-03-28T00:00:00Z">
                                          <w:dateFormat w:val="M/d/yy"/>
                                          <w:lid w:val="en-US"/>
                                          <w:storeMappedDataAs w:val="dateTime"/>
                                          <w:calendar w:val="gregorian"/>
                                        </w:date>
                                      </w:sdtPr>
                                      <w:sdtContent>
                                        <w:p w14:paraId="5BC46230" w14:textId="317046FC" w:rsidR="009328E6" w:rsidRDefault="009328E6">
                                          <w:pPr>
                                            <w:pStyle w:val="NoSpacing"/>
                                            <w:ind w:left="144" w:right="144"/>
                                            <w:jc w:val="center"/>
                                            <w:rPr>
                                              <w:color w:val="FFFFFF" w:themeColor="background1"/>
                                            </w:rPr>
                                          </w:pPr>
                                          <w:r>
                                            <w:rPr>
                                              <w:color w:val="FFFFFF" w:themeColor="background1"/>
                                            </w:rPr>
                                            <w:t>3/28/25</w:t>
                                          </w:r>
                                        </w:p>
                                      </w:sdtContent>
                                    </w:sdt>
                                  </w:tc>
                                  <w:sdt>
                                    <w:sdtPr>
                                      <w:rPr>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14:paraId="17F7AC8C" w14:textId="7355E26B" w:rsidR="009328E6" w:rsidRDefault="009328E6">
                                          <w:pPr>
                                            <w:pStyle w:val="NoSpacing"/>
                                            <w:ind w:left="144" w:right="720"/>
                                            <w:jc w:val="right"/>
                                            <w:rPr>
                                              <w:color w:val="FFFFFF" w:themeColor="background1"/>
                                            </w:rPr>
                                          </w:pPr>
                                          <w:r w:rsidRPr="009328E6">
                                            <w:rPr>
                                              <w:color w:val="FFFFFF" w:themeColor="background1"/>
                                            </w:rPr>
                                            <w:t xml:space="preserve">The Human Factor </w:t>
                                          </w:r>
                                          <w:r>
                                            <w:rPr>
                                              <w:color w:val="FFFFFF" w:themeColor="background1"/>
                                            </w:rPr>
                                            <w:t xml:space="preserve">- </w:t>
                                          </w:r>
                                          <w:r w:rsidRPr="009328E6">
                                            <w:rPr>
                                              <w:color w:val="FFFFFF" w:themeColor="background1"/>
                                            </w:rPr>
                                            <w:t>March 2025</w:t>
                                          </w:r>
                                        </w:p>
                                      </w:tc>
                                    </w:sdtContent>
                                  </w:sdt>
                                </w:tr>
                              </w:tbl>
                              <w:p w14:paraId="77F1DC03" w14:textId="77777777" w:rsidR="009328E6" w:rsidRDefault="009328E6"/>
                            </w:tc>
                          </w:tr>
                        </w:tbl>
                        <w:p w14:paraId="4C536988" w14:textId="77777777" w:rsidR="009328E6" w:rsidRDefault="009328E6"/>
                      </w:txbxContent>
                    </v:textbox>
                    <w10:wrap anchorx="page" anchory="page"/>
                  </v:shape>
                </w:pict>
              </mc:Fallback>
            </mc:AlternateContent>
          </w:r>
        </w:p>
        <w:p w14:paraId="3D8E15EB" w14:textId="0D974850" w:rsidR="009328E6" w:rsidRDefault="009328E6">
          <w:pPr>
            <w:rPr>
              <w:b/>
              <w:bCs/>
            </w:rPr>
          </w:pPr>
          <w:r>
            <w:rPr>
              <w:b/>
              <w:bCs/>
            </w:rPr>
            <w:br w:type="page"/>
          </w:r>
        </w:p>
      </w:sdtContent>
    </w:sdt>
    <w:sdt>
      <w:sdtPr>
        <w:id w:val="1184859047"/>
        <w:docPartObj>
          <w:docPartGallery w:val="Table of Contents"/>
          <w:docPartUnique/>
        </w:docPartObj>
      </w:sdtPr>
      <w:sdtEndPr>
        <w:rPr>
          <w:rFonts w:asciiTheme="minorHAnsi" w:eastAsiaTheme="minorHAnsi" w:hAnsiTheme="minorHAnsi" w:cstheme="minorBidi"/>
          <w:b/>
          <w:bCs/>
          <w:noProof/>
          <w:color w:val="auto"/>
          <w:kern w:val="2"/>
          <w:sz w:val="22"/>
          <w:szCs w:val="22"/>
          <w:lang w:val="en-GB"/>
          <w14:ligatures w14:val="standardContextual"/>
        </w:rPr>
      </w:sdtEndPr>
      <w:sdtContent>
        <w:p w14:paraId="0C16DD43" w14:textId="149E9891" w:rsidR="009328E6" w:rsidRDefault="009328E6">
          <w:pPr>
            <w:pStyle w:val="TOCHeading"/>
          </w:pPr>
          <w:r>
            <w:t>Contents</w:t>
          </w:r>
        </w:p>
        <w:p w14:paraId="14E88DBA" w14:textId="6E4E18CE" w:rsidR="005B464C" w:rsidRDefault="009328E6">
          <w:pPr>
            <w:pStyle w:val="TOC2"/>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94051253" w:history="1">
            <w:r w:rsidR="005B464C" w:rsidRPr="00266A73">
              <w:rPr>
                <w:rStyle w:val="Hyperlink"/>
                <w:noProof/>
              </w:rPr>
              <w:t>Introduction</w:t>
            </w:r>
            <w:r w:rsidR="005B464C">
              <w:rPr>
                <w:noProof/>
                <w:webHidden/>
              </w:rPr>
              <w:tab/>
            </w:r>
            <w:r w:rsidR="005B464C">
              <w:rPr>
                <w:noProof/>
                <w:webHidden/>
              </w:rPr>
              <w:fldChar w:fldCharType="begin"/>
            </w:r>
            <w:r w:rsidR="005B464C">
              <w:rPr>
                <w:noProof/>
                <w:webHidden/>
              </w:rPr>
              <w:instrText xml:space="preserve"> PAGEREF _Toc194051253 \h </w:instrText>
            </w:r>
            <w:r w:rsidR="005B464C">
              <w:rPr>
                <w:noProof/>
                <w:webHidden/>
              </w:rPr>
            </w:r>
            <w:r w:rsidR="005B464C">
              <w:rPr>
                <w:noProof/>
                <w:webHidden/>
              </w:rPr>
              <w:fldChar w:fldCharType="separate"/>
            </w:r>
            <w:r w:rsidR="005B464C">
              <w:rPr>
                <w:noProof/>
                <w:webHidden/>
              </w:rPr>
              <w:t>2</w:t>
            </w:r>
            <w:r w:rsidR="005B464C">
              <w:rPr>
                <w:noProof/>
                <w:webHidden/>
              </w:rPr>
              <w:fldChar w:fldCharType="end"/>
            </w:r>
          </w:hyperlink>
        </w:p>
        <w:p w14:paraId="3891D5A3" w14:textId="596EC12A" w:rsidR="005B464C" w:rsidRDefault="005B464C">
          <w:pPr>
            <w:pStyle w:val="TOC2"/>
            <w:tabs>
              <w:tab w:val="right" w:leader="dot" w:pos="9016"/>
            </w:tabs>
            <w:rPr>
              <w:rFonts w:eastAsiaTheme="minorEastAsia"/>
              <w:noProof/>
              <w:sz w:val="24"/>
              <w:szCs w:val="24"/>
              <w:lang w:eastAsia="en-GB"/>
            </w:rPr>
          </w:pPr>
          <w:hyperlink w:anchor="_Toc194051254" w:history="1">
            <w:r w:rsidRPr="00266A73">
              <w:rPr>
                <w:rStyle w:val="Hyperlink"/>
                <w:noProof/>
              </w:rPr>
              <w:t>1. Social Engineering Susceptibility</w:t>
            </w:r>
            <w:r>
              <w:rPr>
                <w:noProof/>
                <w:webHidden/>
              </w:rPr>
              <w:tab/>
            </w:r>
            <w:r>
              <w:rPr>
                <w:noProof/>
                <w:webHidden/>
              </w:rPr>
              <w:fldChar w:fldCharType="begin"/>
            </w:r>
            <w:r>
              <w:rPr>
                <w:noProof/>
                <w:webHidden/>
              </w:rPr>
              <w:instrText xml:space="preserve"> PAGEREF _Toc194051254 \h </w:instrText>
            </w:r>
            <w:r>
              <w:rPr>
                <w:noProof/>
                <w:webHidden/>
              </w:rPr>
            </w:r>
            <w:r>
              <w:rPr>
                <w:noProof/>
                <w:webHidden/>
              </w:rPr>
              <w:fldChar w:fldCharType="separate"/>
            </w:r>
            <w:r>
              <w:rPr>
                <w:noProof/>
                <w:webHidden/>
              </w:rPr>
              <w:t>2</w:t>
            </w:r>
            <w:r>
              <w:rPr>
                <w:noProof/>
                <w:webHidden/>
              </w:rPr>
              <w:fldChar w:fldCharType="end"/>
            </w:r>
          </w:hyperlink>
        </w:p>
        <w:p w14:paraId="4DBDA97A" w14:textId="614C13B8" w:rsidR="005B464C" w:rsidRDefault="005B464C">
          <w:pPr>
            <w:pStyle w:val="TOC2"/>
            <w:tabs>
              <w:tab w:val="right" w:leader="dot" w:pos="9016"/>
            </w:tabs>
            <w:rPr>
              <w:rFonts w:eastAsiaTheme="minorEastAsia"/>
              <w:noProof/>
              <w:sz w:val="24"/>
              <w:szCs w:val="24"/>
              <w:lang w:eastAsia="en-GB"/>
            </w:rPr>
          </w:pPr>
          <w:hyperlink w:anchor="_Toc194051255" w:history="1">
            <w:r w:rsidRPr="00266A73">
              <w:rPr>
                <w:rStyle w:val="Hyperlink"/>
                <w:noProof/>
              </w:rPr>
              <w:t>2. Insider Threats</w:t>
            </w:r>
            <w:r>
              <w:rPr>
                <w:noProof/>
                <w:webHidden/>
              </w:rPr>
              <w:tab/>
            </w:r>
            <w:r>
              <w:rPr>
                <w:noProof/>
                <w:webHidden/>
              </w:rPr>
              <w:fldChar w:fldCharType="begin"/>
            </w:r>
            <w:r>
              <w:rPr>
                <w:noProof/>
                <w:webHidden/>
              </w:rPr>
              <w:instrText xml:space="preserve"> PAGEREF _Toc194051255 \h </w:instrText>
            </w:r>
            <w:r>
              <w:rPr>
                <w:noProof/>
                <w:webHidden/>
              </w:rPr>
            </w:r>
            <w:r>
              <w:rPr>
                <w:noProof/>
                <w:webHidden/>
              </w:rPr>
              <w:fldChar w:fldCharType="separate"/>
            </w:r>
            <w:r>
              <w:rPr>
                <w:noProof/>
                <w:webHidden/>
              </w:rPr>
              <w:t>2</w:t>
            </w:r>
            <w:r>
              <w:rPr>
                <w:noProof/>
                <w:webHidden/>
              </w:rPr>
              <w:fldChar w:fldCharType="end"/>
            </w:r>
          </w:hyperlink>
        </w:p>
        <w:p w14:paraId="001B904E" w14:textId="7A25FC55" w:rsidR="005B464C" w:rsidRDefault="005B464C">
          <w:pPr>
            <w:pStyle w:val="TOC2"/>
            <w:tabs>
              <w:tab w:val="right" w:leader="dot" w:pos="9016"/>
            </w:tabs>
            <w:rPr>
              <w:rFonts w:eastAsiaTheme="minorEastAsia"/>
              <w:noProof/>
              <w:sz w:val="24"/>
              <w:szCs w:val="24"/>
              <w:lang w:eastAsia="en-GB"/>
            </w:rPr>
          </w:pPr>
          <w:hyperlink w:anchor="_Toc194051256" w:history="1">
            <w:r w:rsidRPr="00266A73">
              <w:rPr>
                <w:rStyle w:val="Hyperlink"/>
                <w:noProof/>
              </w:rPr>
              <w:t>3. Security Awareness and Training</w:t>
            </w:r>
            <w:r>
              <w:rPr>
                <w:noProof/>
                <w:webHidden/>
              </w:rPr>
              <w:tab/>
            </w:r>
            <w:r>
              <w:rPr>
                <w:noProof/>
                <w:webHidden/>
              </w:rPr>
              <w:fldChar w:fldCharType="begin"/>
            </w:r>
            <w:r>
              <w:rPr>
                <w:noProof/>
                <w:webHidden/>
              </w:rPr>
              <w:instrText xml:space="preserve"> PAGEREF _Toc194051256 \h </w:instrText>
            </w:r>
            <w:r>
              <w:rPr>
                <w:noProof/>
                <w:webHidden/>
              </w:rPr>
            </w:r>
            <w:r>
              <w:rPr>
                <w:noProof/>
                <w:webHidden/>
              </w:rPr>
              <w:fldChar w:fldCharType="separate"/>
            </w:r>
            <w:r>
              <w:rPr>
                <w:noProof/>
                <w:webHidden/>
              </w:rPr>
              <w:t>3</w:t>
            </w:r>
            <w:r>
              <w:rPr>
                <w:noProof/>
                <w:webHidden/>
              </w:rPr>
              <w:fldChar w:fldCharType="end"/>
            </w:r>
          </w:hyperlink>
        </w:p>
        <w:p w14:paraId="3C7BB1CA" w14:textId="5108826C" w:rsidR="005B464C" w:rsidRDefault="005B464C">
          <w:pPr>
            <w:pStyle w:val="TOC2"/>
            <w:tabs>
              <w:tab w:val="right" w:leader="dot" w:pos="9016"/>
            </w:tabs>
            <w:rPr>
              <w:rFonts w:eastAsiaTheme="minorEastAsia"/>
              <w:noProof/>
              <w:sz w:val="24"/>
              <w:szCs w:val="24"/>
              <w:lang w:eastAsia="en-GB"/>
            </w:rPr>
          </w:pPr>
          <w:hyperlink w:anchor="_Toc194051257" w:history="1">
            <w:r w:rsidRPr="00266A73">
              <w:rPr>
                <w:rStyle w:val="Hyperlink"/>
                <w:noProof/>
              </w:rPr>
              <w:t>Conclusion</w:t>
            </w:r>
            <w:r>
              <w:rPr>
                <w:noProof/>
                <w:webHidden/>
              </w:rPr>
              <w:tab/>
            </w:r>
            <w:r>
              <w:rPr>
                <w:noProof/>
                <w:webHidden/>
              </w:rPr>
              <w:fldChar w:fldCharType="begin"/>
            </w:r>
            <w:r>
              <w:rPr>
                <w:noProof/>
                <w:webHidden/>
              </w:rPr>
              <w:instrText xml:space="preserve"> PAGEREF _Toc194051257 \h </w:instrText>
            </w:r>
            <w:r>
              <w:rPr>
                <w:noProof/>
                <w:webHidden/>
              </w:rPr>
            </w:r>
            <w:r>
              <w:rPr>
                <w:noProof/>
                <w:webHidden/>
              </w:rPr>
              <w:fldChar w:fldCharType="separate"/>
            </w:r>
            <w:r>
              <w:rPr>
                <w:noProof/>
                <w:webHidden/>
              </w:rPr>
              <w:t>3</w:t>
            </w:r>
            <w:r>
              <w:rPr>
                <w:noProof/>
                <w:webHidden/>
              </w:rPr>
              <w:fldChar w:fldCharType="end"/>
            </w:r>
          </w:hyperlink>
        </w:p>
        <w:p w14:paraId="706067BA" w14:textId="62FB60B2" w:rsidR="005B464C" w:rsidRDefault="005B464C">
          <w:pPr>
            <w:pStyle w:val="TOC2"/>
            <w:tabs>
              <w:tab w:val="right" w:leader="dot" w:pos="9016"/>
            </w:tabs>
            <w:rPr>
              <w:rFonts w:eastAsiaTheme="minorEastAsia"/>
              <w:noProof/>
              <w:sz w:val="24"/>
              <w:szCs w:val="24"/>
              <w:lang w:eastAsia="en-GB"/>
            </w:rPr>
          </w:pPr>
          <w:hyperlink w:anchor="_Toc194051258" w:history="1">
            <w:r w:rsidRPr="00266A73">
              <w:rPr>
                <w:rStyle w:val="Hyperlink"/>
                <w:noProof/>
              </w:rPr>
              <w:t>References</w:t>
            </w:r>
            <w:r>
              <w:rPr>
                <w:noProof/>
                <w:webHidden/>
              </w:rPr>
              <w:tab/>
            </w:r>
            <w:r>
              <w:rPr>
                <w:noProof/>
                <w:webHidden/>
              </w:rPr>
              <w:fldChar w:fldCharType="begin"/>
            </w:r>
            <w:r>
              <w:rPr>
                <w:noProof/>
                <w:webHidden/>
              </w:rPr>
              <w:instrText xml:space="preserve"> PAGEREF _Toc194051258 \h </w:instrText>
            </w:r>
            <w:r>
              <w:rPr>
                <w:noProof/>
                <w:webHidden/>
              </w:rPr>
            </w:r>
            <w:r>
              <w:rPr>
                <w:noProof/>
                <w:webHidden/>
              </w:rPr>
              <w:fldChar w:fldCharType="separate"/>
            </w:r>
            <w:r>
              <w:rPr>
                <w:noProof/>
                <w:webHidden/>
              </w:rPr>
              <w:t>4</w:t>
            </w:r>
            <w:r>
              <w:rPr>
                <w:noProof/>
                <w:webHidden/>
              </w:rPr>
              <w:fldChar w:fldCharType="end"/>
            </w:r>
          </w:hyperlink>
        </w:p>
        <w:p w14:paraId="64330444" w14:textId="3D782E86" w:rsidR="009328E6" w:rsidRDefault="009328E6">
          <w:r>
            <w:rPr>
              <w:b/>
              <w:bCs/>
              <w:noProof/>
            </w:rPr>
            <w:fldChar w:fldCharType="end"/>
          </w:r>
        </w:p>
      </w:sdtContent>
    </w:sdt>
    <w:p w14:paraId="29A27951" w14:textId="77777777" w:rsidR="004F03A0" w:rsidRDefault="004F03A0" w:rsidP="009328E6">
      <w:pPr>
        <w:pStyle w:val="Heading2"/>
      </w:pPr>
    </w:p>
    <w:p w14:paraId="13E9A904" w14:textId="77777777" w:rsidR="004F03A0" w:rsidRDefault="004F03A0" w:rsidP="009328E6">
      <w:pPr>
        <w:pStyle w:val="Heading2"/>
      </w:pPr>
    </w:p>
    <w:p w14:paraId="24A73C34" w14:textId="77777777" w:rsidR="004F03A0" w:rsidRDefault="004F03A0" w:rsidP="009328E6">
      <w:pPr>
        <w:pStyle w:val="Heading2"/>
      </w:pPr>
    </w:p>
    <w:p w14:paraId="0044F988" w14:textId="77777777" w:rsidR="004F03A0" w:rsidRDefault="004F03A0" w:rsidP="009328E6">
      <w:pPr>
        <w:pStyle w:val="Heading2"/>
      </w:pPr>
    </w:p>
    <w:p w14:paraId="450298FC" w14:textId="77777777" w:rsidR="004F03A0" w:rsidRDefault="004F03A0" w:rsidP="009328E6">
      <w:pPr>
        <w:pStyle w:val="Heading2"/>
      </w:pPr>
    </w:p>
    <w:p w14:paraId="0397AB6A" w14:textId="77777777" w:rsidR="004F03A0" w:rsidRDefault="004F03A0" w:rsidP="009328E6">
      <w:pPr>
        <w:pStyle w:val="Heading2"/>
      </w:pPr>
    </w:p>
    <w:p w14:paraId="115D8C5D" w14:textId="77777777" w:rsidR="004F03A0" w:rsidRDefault="004F03A0" w:rsidP="009328E6">
      <w:pPr>
        <w:pStyle w:val="Heading2"/>
      </w:pPr>
    </w:p>
    <w:p w14:paraId="0E240642" w14:textId="77777777" w:rsidR="004F03A0" w:rsidRDefault="004F03A0" w:rsidP="009328E6">
      <w:pPr>
        <w:pStyle w:val="Heading2"/>
      </w:pPr>
    </w:p>
    <w:p w14:paraId="7979848D" w14:textId="77777777" w:rsidR="004F03A0" w:rsidRDefault="004F03A0" w:rsidP="009328E6">
      <w:pPr>
        <w:pStyle w:val="Heading2"/>
      </w:pPr>
    </w:p>
    <w:p w14:paraId="18F85759" w14:textId="77777777" w:rsidR="004F03A0" w:rsidRDefault="004F03A0" w:rsidP="009328E6">
      <w:pPr>
        <w:pStyle w:val="Heading2"/>
      </w:pPr>
    </w:p>
    <w:p w14:paraId="30CEE11A" w14:textId="77777777" w:rsidR="004F03A0" w:rsidRDefault="004F03A0" w:rsidP="009328E6">
      <w:pPr>
        <w:pStyle w:val="Heading2"/>
      </w:pPr>
    </w:p>
    <w:p w14:paraId="55FF5D23" w14:textId="77777777" w:rsidR="004F03A0" w:rsidRDefault="004F03A0" w:rsidP="009328E6">
      <w:pPr>
        <w:pStyle w:val="Heading2"/>
      </w:pPr>
    </w:p>
    <w:p w14:paraId="1053F76D" w14:textId="77777777" w:rsidR="004F03A0" w:rsidRDefault="004F03A0" w:rsidP="009328E6">
      <w:pPr>
        <w:pStyle w:val="Heading2"/>
      </w:pPr>
    </w:p>
    <w:p w14:paraId="5BF7C18C" w14:textId="77777777" w:rsidR="004F03A0" w:rsidRDefault="004F03A0" w:rsidP="009328E6">
      <w:pPr>
        <w:pStyle w:val="Heading2"/>
      </w:pPr>
    </w:p>
    <w:p w14:paraId="1C90C1B2" w14:textId="77777777" w:rsidR="004F03A0" w:rsidRDefault="004F03A0" w:rsidP="009328E6">
      <w:pPr>
        <w:pStyle w:val="Heading2"/>
      </w:pPr>
    </w:p>
    <w:p w14:paraId="1F53D6C2" w14:textId="77777777" w:rsidR="004F03A0" w:rsidRDefault="004F03A0" w:rsidP="009328E6">
      <w:pPr>
        <w:pStyle w:val="Heading2"/>
      </w:pPr>
    </w:p>
    <w:p w14:paraId="5410FD73" w14:textId="77777777" w:rsidR="004F03A0" w:rsidRDefault="004F03A0" w:rsidP="009328E6">
      <w:pPr>
        <w:pStyle w:val="Heading2"/>
      </w:pPr>
    </w:p>
    <w:p w14:paraId="3DC8289E" w14:textId="77777777" w:rsidR="004F03A0" w:rsidRDefault="004F03A0" w:rsidP="004F03A0"/>
    <w:p w14:paraId="051F914C" w14:textId="77777777" w:rsidR="004F03A0" w:rsidRDefault="004F03A0" w:rsidP="004F03A0"/>
    <w:p w14:paraId="0B9434B3" w14:textId="77777777" w:rsidR="004F03A0" w:rsidRDefault="004F03A0" w:rsidP="004F03A0"/>
    <w:p w14:paraId="23B36D74" w14:textId="77777777" w:rsidR="004F03A0" w:rsidRPr="004F03A0" w:rsidRDefault="004F03A0" w:rsidP="004F03A0"/>
    <w:p w14:paraId="2B231321" w14:textId="6E62818D" w:rsidR="009328E6" w:rsidRPr="009328E6" w:rsidRDefault="009328E6" w:rsidP="009328E6">
      <w:pPr>
        <w:pStyle w:val="Heading2"/>
      </w:pPr>
      <w:bookmarkStart w:id="0" w:name="_Toc194051253"/>
      <w:r w:rsidRPr="009328E6">
        <w:lastRenderedPageBreak/>
        <w:t>Introduction</w:t>
      </w:r>
      <w:bookmarkEnd w:id="0"/>
    </w:p>
    <w:p w14:paraId="7BA1B213" w14:textId="2A9C5CC6" w:rsidR="009328E6" w:rsidRPr="009328E6" w:rsidRDefault="009328E6" w:rsidP="009328E6">
      <w:r w:rsidRPr="009328E6">
        <w:t xml:space="preserve">Human behaviour is central to cybersecurity. While technology offers robust defences, it is often the actions of individuals that introduce the </w:t>
      </w:r>
      <w:r>
        <w:t>most significant</w:t>
      </w:r>
      <w:r w:rsidRPr="009328E6">
        <w:t xml:space="preserve"> risks. For start-ups, the situation is intensified by resource constraints, informal structures, and fast growth. This essay critically examines three major human factors</w:t>
      </w:r>
      <w:r>
        <w:t xml:space="preserve">: </w:t>
      </w:r>
      <w:r w:rsidRPr="009328E6">
        <w:t>social engineering susceptibility, insider threats, and security awareness and training</w:t>
      </w:r>
      <w:r>
        <w:t xml:space="preserve">, </w:t>
      </w:r>
      <w:r w:rsidRPr="009328E6">
        <w:t xml:space="preserve">focusing on their implications for start-ups. </w:t>
      </w:r>
      <w:r>
        <w:t>The assessment brief intentionally excludes solutions</w:t>
      </w:r>
      <w:r w:rsidRPr="009328E6">
        <w:t>.</w:t>
      </w:r>
    </w:p>
    <w:p w14:paraId="53DD18A7" w14:textId="77777777" w:rsidR="009328E6" w:rsidRDefault="009328E6" w:rsidP="009328E6">
      <w:pPr>
        <w:rPr>
          <w:b/>
          <w:bCs/>
        </w:rPr>
      </w:pPr>
    </w:p>
    <w:p w14:paraId="0A3C566D" w14:textId="37E47EB1" w:rsidR="009328E6" w:rsidRPr="009328E6" w:rsidRDefault="009328E6" w:rsidP="009328E6">
      <w:pPr>
        <w:pStyle w:val="Heading2"/>
      </w:pPr>
      <w:bookmarkStart w:id="1" w:name="_Toc194051254"/>
      <w:r w:rsidRPr="009328E6">
        <w:t>1. Social Engineering Susceptibility</w:t>
      </w:r>
      <w:bookmarkEnd w:id="1"/>
    </w:p>
    <w:p w14:paraId="47CC37B7" w14:textId="045AB0F7" w:rsidR="009328E6" w:rsidRPr="009328E6" w:rsidRDefault="009328E6" w:rsidP="009328E6">
      <w:r w:rsidRPr="009328E6">
        <w:t xml:space="preserve">Social engineering manipulates human psychology to bypass technical controls. It includes tactics such as phishing, pretexting, and baiting (Hadnagy, 2018). In a start-up context, where trust and informality are </w:t>
      </w:r>
      <w:r w:rsidR="004F03A0">
        <w:t>typical</w:t>
      </w:r>
      <w:r w:rsidRPr="009328E6">
        <w:t>, employees are particularly vulnerable to deception.</w:t>
      </w:r>
    </w:p>
    <w:p w14:paraId="00823017" w14:textId="4C6BA9EC" w:rsidR="009328E6" w:rsidRPr="009328E6" w:rsidRDefault="009328E6" w:rsidP="009328E6">
      <w:r w:rsidRPr="009328E6">
        <w:t xml:space="preserve">The </w:t>
      </w:r>
      <w:r w:rsidRPr="009328E6">
        <w:rPr>
          <w:i/>
          <w:iCs/>
        </w:rPr>
        <w:t>UK Cyber Security Breaches Survey 2019</w:t>
      </w:r>
      <w:r w:rsidRPr="009328E6">
        <w:t xml:space="preserve"> found that </w:t>
      </w:r>
      <w:r w:rsidRPr="009328E6">
        <w:rPr>
          <w:b/>
          <w:bCs/>
        </w:rPr>
        <w:t>80% of attacks on UK businesses involved phishing</w:t>
      </w:r>
      <w:r w:rsidRPr="009328E6">
        <w:t xml:space="preserve">, highlighting how pervasive such threats are (UK DCMS, 2019). Start-ups are prime targets due to minimal investment in preventative tools and </w:t>
      </w:r>
      <w:r>
        <w:t>lack</w:t>
      </w:r>
      <w:r w:rsidRPr="009328E6">
        <w:t xml:space="preserve"> of structured training. Employees often lack awareness of verification protocols and may unknowingly disclose sensitive information.</w:t>
      </w:r>
    </w:p>
    <w:p w14:paraId="1D7B9635" w14:textId="375899EE" w:rsidR="009328E6" w:rsidRPr="009328E6" w:rsidRDefault="00590D51" w:rsidP="009328E6">
      <w:r>
        <w:t xml:space="preserve">Hughes-Lartey et al. (2021) also </w:t>
      </w:r>
      <w:r w:rsidR="004F03A0">
        <w:t>noted that</w:t>
      </w:r>
      <w:r w:rsidR="009328E6" w:rsidRPr="009328E6">
        <w:t xml:space="preserve"> organisations deploying IoT devices without robust human oversight increase the attack surface. Employees may fail to change default passwords or connect insecure devices, inadvertently allowing access to internal systems. For start-ups, such breaches can result in operational downtime, data theft, and reputational damage—potentially threatening their market entry or survival.</w:t>
      </w:r>
    </w:p>
    <w:p w14:paraId="6738F69F" w14:textId="77777777" w:rsidR="009328E6" w:rsidRDefault="009328E6" w:rsidP="009328E6">
      <w:pPr>
        <w:rPr>
          <w:b/>
          <w:bCs/>
        </w:rPr>
      </w:pPr>
    </w:p>
    <w:p w14:paraId="53C68F11" w14:textId="15CCA740" w:rsidR="009328E6" w:rsidRPr="009328E6" w:rsidRDefault="009328E6" w:rsidP="009328E6">
      <w:pPr>
        <w:pStyle w:val="Heading2"/>
      </w:pPr>
      <w:bookmarkStart w:id="2" w:name="_Toc194051255"/>
      <w:r w:rsidRPr="009328E6">
        <w:t>2. Insider Threats</w:t>
      </w:r>
      <w:bookmarkEnd w:id="2"/>
    </w:p>
    <w:p w14:paraId="036B5DED" w14:textId="1EBA985E" w:rsidR="009328E6" w:rsidRPr="009328E6" w:rsidRDefault="009328E6" w:rsidP="009328E6">
      <w:r w:rsidRPr="009328E6">
        <w:t>Insider threats stem from individuals within an organisation who</w:t>
      </w:r>
      <w:r w:rsidR="004F03A0">
        <w:t xml:space="preserve"> deliberately or accidentally</w:t>
      </w:r>
      <w:r w:rsidRPr="009328E6">
        <w:t xml:space="preserve"> compromise security. Malicious insiders may steal data for profit or sabotage systems, while negligent insiders contribute to breaches through carelessness (CERT Insider Threat Team, 2013).</w:t>
      </w:r>
    </w:p>
    <w:p w14:paraId="48FF07B1" w14:textId="4A1B3E09" w:rsidR="009328E6" w:rsidRPr="009328E6" w:rsidRDefault="009328E6" w:rsidP="009328E6">
      <w:r w:rsidRPr="009328E6">
        <w:t>Start-ups often operate with overlapping responsibilities and informal access controls. Employees frequently have wide-ranging permissions, which increases the risk of misuse. Moustafa, Bello and Maurushat (2021) argue that this lack of segmentation heightens exposure to internal risks. For example, a marketing employee with unnecessary access to customer databases could leak sensitive data intentionally or through poor data handling practices.</w:t>
      </w:r>
    </w:p>
    <w:p w14:paraId="7AD6ECC9" w14:textId="60BD14BD" w:rsidR="009328E6" w:rsidRPr="009328E6" w:rsidRDefault="009328E6" w:rsidP="009328E6">
      <w:r w:rsidRPr="009328E6">
        <w:t xml:space="preserve">According to CERT (2013), </w:t>
      </w:r>
      <w:r w:rsidRPr="009328E6">
        <w:rPr>
          <w:b/>
          <w:bCs/>
        </w:rPr>
        <w:t>around 50% of insider incidents are unintentional</w:t>
      </w:r>
      <w:r w:rsidRPr="009328E6">
        <w:t>, driven by human error such as misconfigurations or lost devices. Start-ups typically lack comprehensive onboarding and offboarding procedures, so former employees may retain access, posing additional risks. Without monitoring tools or behavioural baselines, insider actions—</w:t>
      </w:r>
      <w:r w:rsidR="004F03A0">
        <w:t>incredibly</w:t>
      </w:r>
      <w:r w:rsidRPr="009328E6">
        <w:t xml:space="preserve"> negligent ones—often go undetected until damage is done.</w:t>
      </w:r>
    </w:p>
    <w:p w14:paraId="2246D2E8" w14:textId="77777777" w:rsidR="009328E6" w:rsidRPr="009328E6" w:rsidRDefault="009328E6" w:rsidP="009328E6">
      <w:r w:rsidRPr="009328E6">
        <w:t>Greitzer et al. (2019) further argue that insider risk is more than just a technical issue—it is behavioural. Rapid changes in start-up environments make it difficult to establish ‘normal’ patterns, which complicates the detection of anomalies. The consequences include financial loss, intellectual property theft, and regulatory non-compliance.</w:t>
      </w:r>
    </w:p>
    <w:p w14:paraId="3A9C7CD4" w14:textId="77777777" w:rsidR="009328E6" w:rsidRDefault="009328E6" w:rsidP="009328E6">
      <w:pPr>
        <w:rPr>
          <w:b/>
          <w:bCs/>
        </w:rPr>
      </w:pPr>
    </w:p>
    <w:p w14:paraId="6B4ED7C3" w14:textId="1D3FFB68" w:rsidR="009328E6" w:rsidRPr="009328E6" w:rsidRDefault="009328E6" w:rsidP="009328E6">
      <w:pPr>
        <w:pStyle w:val="Heading2"/>
      </w:pPr>
      <w:bookmarkStart w:id="3" w:name="_Toc194051256"/>
      <w:r w:rsidRPr="009328E6">
        <w:lastRenderedPageBreak/>
        <w:t>3. Security Awareness and Training</w:t>
      </w:r>
      <w:bookmarkEnd w:id="3"/>
    </w:p>
    <w:p w14:paraId="4AB84535" w14:textId="079E9D22" w:rsidR="009328E6" w:rsidRPr="009328E6" w:rsidRDefault="009328E6" w:rsidP="009328E6">
      <w:r w:rsidRPr="009328E6">
        <w:t>Cybersecurity training is essential yet often overlooked in start-ups. With competing priorities, such as product development and funding, training may be deprioritised or absent altogether. This leaves employees unaware of risks or how to respond to them.</w:t>
      </w:r>
    </w:p>
    <w:p w14:paraId="1A43D55A" w14:textId="2D7C3B2C" w:rsidR="009328E6" w:rsidRPr="009328E6" w:rsidRDefault="009328E6" w:rsidP="009328E6">
      <w:r w:rsidRPr="009328E6">
        <w:t xml:space="preserve">Legrand (2022) notes that while people are often labelled the “weakest link,” they can be a critical defence when </w:t>
      </w:r>
      <w:r w:rsidR="004F03A0">
        <w:t>adequately</w:t>
      </w:r>
      <w:r w:rsidRPr="009328E6">
        <w:t xml:space="preserve"> informed. However, Schatz, Bashroush and Wall (2021) found that organisations without regular training are significantly more vulnerable to breaches from simple errors, like clicking on malicious links or failing to recognise fake login pages.</w:t>
      </w:r>
    </w:p>
    <w:p w14:paraId="375CA208" w14:textId="5B7CEB72" w:rsidR="009328E6" w:rsidRPr="009328E6" w:rsidRDefault="009328E6" w:rsidP="009328E6">
      <w:r w:rsidRPr="009328E6">
        <w:t xml:space="preserve">Johnson (2021) explains that security protocols must be aligned with user needs. If systems are too complex or inconvenient, users may circumvent them—for instance, by reusing passwords or saving credentials in browsers. This is particularly relevant in start-ups, where speed and </w:t>
      </w:r>
      <w:r>
        <w:t>ease of use</w:t>
      </w:r>
      <w:r w:rsidRPr="009328E6">
        <w:t xml:space="preserve"> often take priority over secure practices.</w:t>
      </w:r>
    </w:p>
    <w:p w14:paraId="77C0D98E" w14:textId="71F0F39C" w:rsidR="009328E6" w:rsidRPr="009328E6" w:rsidRDefault="009328E6" w:rsidP="009328E6">
      <w:r>
        <w:t>Employees are prone to cognitive overload in high-stress or multitasking environments</w:t>
      </w:r>
      <w:r w:rsidRPr="009328E6">
        <w:t xml:space="preserve">. </w:t>
      </w:r>
      <w:r w:rsidR="004F03A0">
        <w:t>Hughes-Lartey et al. (2021) demonstrate that</w:t>
      </w:r>
      <w:r w:rsidRPr="009328E6">
        <w:t xml:space="preserve"> such environments increase the likelihood of human oversight, such as failing to spot phishing emails or mismanaging data access. These individual lapses can collectively weaken the entire organisation’s security posture.</w:t>
      </w:r>
    </w:p>
    <w:p w14:paraId="3C6715D2" w14:textId="35B24474" w:rsidR="009328E6" w:rsidRPr="009328E6" w:rsidRDefault="009328E6" w:rsidP="009328E6">
      <w:r w:rsidRPr="009328E6">
        <w:t xml:space="preserve">The broader implication is cultural. Without </w:t>
      </w:r>
      <w:r>
        <w:t>leadership's emphasis on security, employees may not perceive it as a shared responsibility. Over time, this can embed poor habits into the organisational culture—habits</w:t>
      </w:r>
      <w:r w:rsidRPr="009328E6">
        <w:t xml:space="preserve"> that become more difficult to correct as the company grows.</w:t>
      </w:r>
    </w:p>
    <w:p w14:paraId="3F4504F6" w14:textId="77777777" w:rsidR="009328E6" w:rsidRDefault="009328E6" w:rsidP="009328E6">
      <w:pPr>
        <w:rPr>
          <w:b/>
          <w:bCs/>
        </w:rPr>
      </w:pPr>
    </w:p>
    <w:p w14:paraId="40329163" w14:textId="4CAA6081" w:rsidR="009328E6" w:rsidRPr="009328E6" w:rsidRDefault="009328E6" w:rsidP="009328E6">
      <w:pPr>
        <w:pStyle w:val="Heading2"/>
      </w:pPr>
      <w:bookmarkStart w:id="4" w:name="_Toc194051257"/>
      <w:r w:rsidRPr="009328E6">
        <w:t>Conclusion</w:t>
      </w:r>
      <w:bookmarkEnd w:id="4"/>
    </w:p>
    <w:p w14:paraId="1B8B59CA" w14:textId="3C0697BE" w:rsidR="009328E6" w:rsidRPr="009328E6" w:rsidRDefault="000951E7" w:rsidP="009328E6">
      <w:r w:rsidRPr="000951E7">
        <w:t>This essay has critically analysed three key human factors affecting cybersecurity in local start-ups: susceptibility to social engineering, insider threats, and security awareness gaps. These factors significantly influence risk exposure, especially in fast-moving, resource-limited environments. By understanding the behavioural roots and systemic implications of these vulnerabilities, start-ups can begin assessing their readiness and resilience</w:t>
      </w:r>
      <w:r>
        <w:t xml:space="preserve"> </w:t>
      </w:r>
      <w:r w:rsidRPr="000951E7">
        <w:t>while recognising that addressing solutions lies beyond the scope of this analysis. A comprehensive view of human behaviour in cybersecurity is essential to reducing future incidents and building long-term organisational security. Moreover, acknowledging the interplay between human decision-making, organisational culture, and technical infrastructure is crucial for anticipating emerging risks. As start-ups evolve, a failure to consider these dynamics may institutionalise poor security practices. Therefore, integrating human factors into strategic planning is not optional but foundational for sustainable and secure growth in a complex threat landscape.</w:t>
      </w:r>
    </w:p>
    <w:p w14:paraId="45EAFDBC" w14:textId="77777777" w:rsidR="009328E6" w:rsidRDefault="009328E6" w:rsidP="009328E6">
      <w:pPr>
        <w:rPr>
          <w:b/>
          <w:bCs/>
        </w:rPr>
      </w:pPr>
    </w:p>
    <w:p w14:paraId="374BEAB0" w14:textId="77777777" w:rsidR="009328E6" w:rsidRDefault="009328E6" w:rsidP="009328E6">
      <w:pPr>
        <w:rPr>
          <w:b/>
          <w:bCs/>
        </w:rPr>
      </w:pPr>
    </w:p>
    <w:p w14:paraId="54321603" w14:textId="77777777" w:rsidR="009328E6" w:rsidRDefault="009328E6" w:rsidP="009328E6">
      <w:pPr>
        <w:rPr>
          <w:b/>
          <w:bCs/>
        </w:rPr>
      </w:pPr>
    </w:p>
    <w:p w14:paraId="6873D768" w14:textId="77777777" w:rsidR="009328E6" w:rsidRDefault="009328E6" w:rsidP="009328E6">
      <w:pPr>
        <w:rPr>
          <w:b/>
          <w:bCs/>
        </w:rPr>
      </w:pPr>
    </w:p>
    <w:p w14:paraId="20F1ECCB" w14:textId="77777777" w:rsidR="009328E6" w:rsidRDefault="009328E6" w:rsidP="009328E6">
      <w:pPr>
        <w:rPr>
          <w:b/>
          <w:bCs/>
        </w:rPr>
      </w:pPr>
    </w:p>
    <w:p w14:paraId="7278B279" w14:textId="77777777" w:rsidR="009328E6" w:rsidRDefault="009328E6" w:rsidP="009328E6">
      <w:pPr>
        <w:rPr>
          <w:b/>
          <w:bCs/>
        </w:rPr>
      </w:pPr>
    </w:p>
    <w:p w14:paraId="5D09A4BF" w14:textId="77777777" w:rsidR="009328E6" w:rsidRDefault="009328E6" w:rsidP="009328E6">
      <w:pPr>
        <w:rPr>
          <w:b/>
          <w:bCs/>
        </w:rPr>
      </w:pPr>
    </w:p>
    <w:p w14:paraId="1D5D5474" w14:textId="1B63C1AC" w:rsidR="009328E6" w:rsidRPr="009328E6" w:rsidRDefault="009328E6" w:rsidP="009328E6">
      <w:pPr>
        <w:pStyle w:val="Heading2"/>
      </w:pPr>
      <w:bookmarkStart w:id="5" w:name="_Toc194051258"/>
      <w:r w:rsidRPr="009328E6">
        <w:lastRenderedPageBreak/>
        <w:t>References</w:t>
      </w:r>
      <w:bookmarkEnd w:id="5"/>
    </w:p>
    <w:p w14:paraId="207DAF7F" w14:textId="77777777" w:rsidR="009328E6" w:rsidRPr="009328E6" w:rsidRDefault="009328E6" w:rsidP="009328E6">
      <w:r w:rsidRPr="009328E6">
        <w:t xml:space="preserve">CERT Insider Threat Team. (2013) </w:t>
      </w:r>
      <w:r w:rsidRPr="009328E6">
        <w:rPr>
          <w:i/>
          <w:iCs/>
        </w:rPr>
        <w:t>Unintentional Insider Threats: A Foundational Study</w:t>
      </w:r>
      <w:r w:rsidRPr="009328E6">
        <w:t>. Social Engineering Institute.</w:t>
      </w:r>
    </w:p>
    <w:p w14:paraId="10C26E4F" w14:textId="77777777" w:rsidR="009328E6" w:rsidRPr="009328E6" w:rsidRDefault="009328E6" w:rsidP="009328E6">
      <w:r w:rsidRPr="009328E6">
        <w:t xml:space="preserve">Greitzer, F. L., Strozer, J. R., Cohen, S. A., Moore, A. P. and Mundie, D. (2019) ‘Insider threat indicators: Lessons learned from analysis of malicious and non-malicious insiders’, </w:t>
      </w:r>
      <w:r w:rsidRPr="009328E6">
        <w:rPr>
          <w:i/>
          <w:iCs/>
        </w:rPr>
        <w:t>Cybersecurity: A Systems Approach</w:t>
      </w:r>
      <w:r w:rsidRPr="009328E6">
        <w:t>, 29(3), pp. 45–60.</w:t>
      </w:r>
    </w:p>
    <w:p w14:paraId="0E0E9801" w14:textId="216E9606" w:rsidR="009328E6" w:rsidRPr="009328E6" w:rsidRDefault="009328E6" w:rsidP="009328E6">
      <w:r w:rsidRPr="009328E6">
        <w:t>Hadnagy, C. (2018)</w:t>
      </w:r>
      <w:r w:rsidR="004F03A0">
        <w:t>.</w:t>
      </w:r>
      <w:r w:rsidRPr="009328E6">
        <w:t xml:space="preserve"> </w:t>
      </w:r>
      <w:r w:rsidRPr="009328E6">
        <w:rPr>
          <w:i/>
          <w:iCs/>
        </w:rPr>
        <w:t>Social Engineering: The Science of Human Hacking</w:t>
      </w:r>
      <w:r w:rsidRPr="009328E6">
        <w:t>. John Wiley &amp; Sons.</w:t>
      </w:r>
    </w:p>
    <w:p w14:paraId="60EA26E4" w14:textId="7F65B111" w:rsidR="009328E6" w:rsidRPr="009328E6" w:rsidRDefault="009328E6" w:rsidP="009328E6">
      <w:r w:rsidRPr="009328E6">
        <w:t xml:space="preserve">Hughes-Lartey, K. et al. (2021) ‘Human factor, a critical weak point in the information security of an </w:t>
      </w:r>
      <w:r w:rsidR="004F03A0">
        <w:t>organisation's</w:t>
      </w:r>
      <w:r w:rsidRPr="009328E6">
        <w:t xml:space="preserve"> Internet of things’, </w:t>
      </w:r>
      <w:r w:rsidRPr="009328E6">
        <w:rPr>
          <w:i/>
          <w:iCs/>
        </w:rPr>
        <w:t>Heliyon</w:t>
      </w:r>
      <w:r w:rsidRPr="009328E6">
        <w:t>, 7(3).</w:t>
      </w:r>
    </w:p>
    <w:p w14:paraId="11E2F271" w14:textId="77777777" w:rsidR="009328E6" w:rsidRPr="009328E6" w:rsidRDefault="009328E6" w:rsidP="009328E6">
      <w:r w:rsidRPr="009328E6">
        <w:t xml:space="preserve">Johnson, J. (2021) </w:t>
      </w:r>
      <w:r w:rsidRPr="009328E6">
        <w:rPr>
          <w:i/>
          <w:iCs/>
        </w:rPr>
        <w:t>Designing with the Mind in Mind: Simple Guide to Understanding User Interface Design Guidelines</w:t>
      </w:r>
      <w:r w:rsidRPr="009328E6">
        <w:t>, 3rd edn. Waltham, MA: Morgan Kaufmann.</w:t>
      </w:r>
    </w:p>
    <w:p w14:paraId="4A7B84F5" w14:textId="77777777" w:rsidR="009328E6" w:rsidRPr="009328E6" w:rsidRDefault="009328E6" w:rsidP="009328E6">
      <w:r w:rsidRPr="009328E6">
        <w:t xml:space="preserve">Legrand, J. (2022) ‘Humans and Cybersecurity—The Weakest Link or the Best Defense?’, </w:t>
      </w:r>
      <w:r w:rsidRPr="009328E6">
        <w:rPr>
          <w:i/>
          <w:iCs/>
        </w:rPr>
        <w:t>ICASA</w:t>
      </w:r>
      <w:r w:rsidRPr="009328E6">
        <w:t>.</w:t>
      </w:r>
    </w:p>
    <w:p w14:paraId="7FA895C6" w14:textId="3D9F8C42" w:rsidR="009328E6" w:rsidRPr="009328E6" w:rsidRDefault="009328E6" w:rsidP="009328E6">
      <w:r w:rsidRPr="009328E6">
        <w:t xml:space="preserve">Moustafa, A.A., Bello, A. and Maurushat, A. (2021) ‘The role of user behaviour in improving </w:t>
      </w:r>
      <w:r w:rsidR="004F03A0">
        <w:t>cybersecurity</w:t>
      </w:r>
      <w:r w:rsidRPr="009328E6">
        <w:t xml:space="preserve"> management’, </w:t>
      </w:r>
      <w:r w:rsidRPr="009328E6">
        <w:rPr>
          <w:i/>
          <w:iCs/>
        </w:rPr>
        <w:t>Frontiers in Psychology</w:t>
      </w:r>
      <w:r w:rsidRPr="009328E6">
        <w:t>, 12.</w:t>
      </w:r>
    </w:p>
    <w:p w14:paraId="0186C6EB" w14:textId="77777777" w:rsidR="009328E6" w:rsidRPr="009328E6" w:rsidRDefault="009328E6" w:rsidP="009328E6">
      <w:r w:rsidRPr="009328E6">
        <w:t xml:space="preserve">Schatz, D., Bashroush, R. and Wall, J. (2021) ‘The impact of security training on cybersecurity awareness and behaviour: An empirical study’, </w:t>
      </w:r>
      <w:r w:rsidRPr="009328E6">
        <w:rPr>
          <w:i/>
          <w:iCs/>
        </w:rPr>
        <w:t>Computers &amp; Security</w:t>
      </w:r>
      <w:r w:rsidRPr="009328E6">
        <w:t>, 102(3), 1–17.</w:t>
      </w:r>
    </w:p>
    <w:p w14:paraId="2A89CDC2" w14:textId="77777777" w:rsidR="009328E6" w:rsidRPr="009328E6" w:rsidRDefault="009328E6" w:rsidP="009328E6">
      <w:r w:rsidRPr="009328E6">
        <w:t xml:space="preserve">UK Department for Digital, Culture, Media and Sport. (2019) </w:t>
      </w:r>
      <w:r w:rsidRPr="009328E6">
        <w:rPr>
          <w:i/>
          <w:iCs/>
        </w:rPr>
        <w:t>Cyber Security Breaches Survey 2019: Statistical Release</w:t>
      </w:r>
      <w:r w:rsidRPr="009328E6">
        <w:t>.</w:t>
      </w:r>
    </w:p>
    <w:p w14:paraId="26800285" w14:textId="77777777" w:rsidR="00261508" w:rsidRDefault="00261508"/>
    <w:sectPr w:rsidR="00261508" w:rsidSect="009328E6">
      <w:footerReference w:type="default" r:id="rId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6F8EE8" w14:textId="77777777" w:rsidR="007E427F" w:rsidRDefault="007E427F" w:rsidP="009328E6">
      <w:pPr>
        <w:spacing w:after="0" w:line="240" w:lineRule="auto"/>
      </w:pPr>
      <w:r>
        <w:separator/>
      </w:r>
    </w:p>
  </w:endnote>
  <w:endnote w:type="continuationSeparator" w:id="0">
    <w:p w14:paraId="5F50CABA" w14:textId="77777777" w:rsidR="007E427F" w:rsidRDefault="007E427F" w:rsidP="00932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3173245"/>
      <w:docPartObj>
        <w:docPartGallery w:val="Page Numbers (Bottom of Page)"/>
        <w:docPartUnique/>
      </w:docPartObj>
    </w:sdtPr>
    <w:sdtEndPr>
      <w:rPr>
        <w:color w:val="7F7F7F" w:themeColor="background1" w:themeShade="7F"/>
        <w:spacing w:val="60"/>
      </w:rPr>
    </w:sdtEndPr>
    <w:sdtContent>
      <w:p w14:paraId="0E2F4E95" w14:textId="6DC6DC47" w:rsidR="009328E6" w:rsidRDefault="009328E6">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3383B2A" w14:textId="77777777" w:rsidR="009328E6" w:rsidRDefault="009328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4C42A4" w14:textId="77777777" w:rsidR="007E427F" w:rsidRDefault="007E427F" w:rsidP="009328E6">
      <w:pPr>
        <w:spacing w:after="0" w:line="240" w:lineRule="auto"/>
      </w:pPr>
      <w:r>
        <w:separator/>
      </w:r>
    </w:p>
  </w:footnote>
  <w:footnote w:type="continuationSeparator" w:id="0">
    <w:p w14:paraId="664A0A66" w14:textId="77777777" w:rsidR="007E427F" w:rsidRDefault="007E427F" w:rsidP="009328E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28E6"/>
    <w:rsid w:val="000951E7"/>
    <w:rsid w:val="00261508"/>
    <w:rsid w:val="003522D2"/>
    <w:rsid w:val="004F03A0"/>
    <w:rsid w:val="0052623E"/>
    <w:rsid w:val="00590D51"/>
    <w:rsid w:val="005B464C"/>
    <w:rsid w:val="006E7884"/>
    <w:rsid w:val="007331B8"/>
    <w:rsid w:val="007E427F"/>
    <w:rsid w:val="009328E6"/>
    <w:rsid w:val="00C57B9E"/>
    <w:rsid w:val="00C94C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909B42"/>
  <w15:chartTrackingRefBased/>
  <w15:docId w15:val="{E08D67D6-576E-4760-9C7B-B182B874C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8E6"/>
    <w:pPr>
      <w:jc w:val="both"/>
    </w:pPr>
  </w:style>
  <w:style w:type="paragraph" w:styleId="Heading1">
    <w:name w:val="heading 1"/>
    <w:basedOn w:val="Normal"/>
    <w:next w:val="Normal"/>
    <w:link w:val="Heading1Char"/>
    <w:uiPriority w:val="9"/>
    <w:qFormat/>
    <w:rsid w:val="009328E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aliases w:val="Title 1"/>
    <w:basedOn w:val="Normal"/>
    <w:next w:val="Normal"/>
    <w:link w:val="Heading2Char"/>
    <w:autoRedefine/>
    <w:uiPriority w:val="9"/>
    <w:unhideWhenUsed/>
    <w:qFormat/>
    <w:rsid w:val="009328E6"/>
    <w:pPr>
      <w:keepNext/>
      <w:keepLines/>
      <w:spacing w:before="160" w:after="80"/>
      <w:outlineLvl w:val="1"/>
    </w:pPr>
    <w:rPr>
      <w:rFonts w:ascii="Calibri" w:eastAsiaTheme="majorEastAsia" w:hAnsi="Calibri" w:cstheme="majorBidi"/>
      <w:b/>
      <w:sz w:val="24"/>
      <w:szCs w:val="32"/>
    </w:rPr>
  </w:style>
  <w:style w:type="paragraph" w:styleId="Heading3">
    <w:name w:val="heading 3"/>
    <w:basedOn w:val="Normal"/>
    <w:next w:val="Normal"/>
    <w:link w:val="Heading3Char"/>
    <w:uiPriority w:val="9"/>
    <w:semiHidden/>
    <w:unhideWhenUsed/>
    <w:qFormat/>
    <w:rsid w:val="009328E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328E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328E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328E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28E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28E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28E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aliases w:val="Title 1 Char"/>
    <w:basedOn w:val="DefaultParagraphFont"/>
    <w:link w:val="Heading2"/>
    <w:uiPriority w:val="9"/>
    <w:rsid w:val="009328E6"/>
    <w:rPr>
      <w:rFonts w:ascii="Calibri" w:eastAsiaTheme="majorEastAsia" w:hAnsi="Calibri" w:cstheme="majorBidi"/>
      <w:b/>
      <w:sz w:val="24"/>
      <w:szCs w:val="32"/>
    </w:rPr>
  </w:style>
  <w:style w:type="character" w:customStyle="1" w:styleId="Heading1Char">
    <w:name w:val="Heading 1 Char"/>
    <w:basedOn w:val="DefaultParagraphFont"/>
    <w:link w:val="Heading1"/>
    <w:uiPriority w:val="9"/>
    <w:rsid w:val="009328E6"/>
    <w:rPr>
      <w:rFonts w:asciiTheme="majorHAnsi" w:eastAsiaTheme="majorEastAsia" w:hAnsiTheme="majorHAnsi" w:cstheme="majorBidi"/>
      <w:color w:val="2F5496" w:themeColor="accent1" w:themeShade="BF"/>
      <w:sz w:val="40"/>
      <w:szCs w:val="40"/>
    </w:rPr>
  </w:style>
  <w:style w:type="character" w:customStyle="1" w:styleId="Heading3Char">
    <w:name w:val="Heading 3 Char"/>
    <w:basedOn w:val="DefaultParagraphFont"/>
    <w:link w:val="Heading3"/>
    <w:uiPriority w:val="9"/>
    <w:semiHidden/>
    <w:rsid w:val="009328E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328E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328E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328E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28E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28E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28E6"/>
    <w:rPr>
      <w:rFonts w:eastAsiaTheme="majorEastAsia" w:cstheme="majorBidi"/>
      <w:color w:val="272727" w:themeColor="text1" w:themeTint="D8"/>
    </w:rPr>
  </w:style>
  <w:style w:type="paragraph" w:styleId="Title">
    <w:name w:val="Title"/>
    <w:basedOn w:val="Normal"/>
    <w:next w:val="Normal"/>
    <w:link w:val="TitleChar"/>
    <w:uiPriority w:val="10"/>
    <w:qFormat/>
    <w:rsid w:val="009328E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28E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28E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328E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28E6"/>
    <w:pPr>
      <w:spacing w:before="160"/>
      <w:jc w:val="center"/>
    </w:pPr>
    <w:rPr>
      <w:i/>
      <w:iCs/>
      <w:color w:val="404040" w:themeColor="text1" w:themeTint="BF"/>
    </w:rPr>
  </w:style>
  <w:style w:type="character" w:customStyle="1" w:styleId="QuoteChar">
    <w:name w:val="Quote Char"/>
    <w:basedOn w:val="DefaultParagraphFont"/>
    <w:link w:val="Quote"/>
    <w:uiPriority w:val="29"/>
    <w:rsid w:val="009328E6"/>
    <w:rPr>
      <w:i/>
      <w:iCs/>
      <w:color w:val="404040" w:themeColor="text1" w:themeTint="BF"/>
    </w:rPr>
  </w:style>
  <w:style w:type="paragraph" w:styleId="ListParagraph">
    <w:name w:val="List Paragraph"/>
    <w:basedOn w:val="Normal"/>
    <w:uiPriority w:val="34"/>
    <w:qFormat/>
    <w:rsid w:val="009328E6"/>
    <w:pPr>
      <w:ind w:left="720"/>
      <w:contextualSpacing/>
    </w:pPr>
  </w:style>
  <w:style w:type="character" w:styleId="IntenseEmphasis">
    <w:name w:val="Intense Emphasis"/>
    <w:basedOn w:val="DefaultParagraphFont"/>
    <w:uiPriority w:val="21"/>
    <w:qFormat/>
    <w:rsid w:val="009328E6"/>
    <w:rPr>
      <w:i/>
      <w:iCs/>
      <w:color w:val="2F5496" w:themeColor="accent1" w:themeShade="BF"/>
    </w:rPr>
  </w:style>
  <w:style w:type="paragraph" w:styleId="IntenseQuote">
    <w:name w:val="Intense Quote"/>
    <w:basedOn w:val="Normal"/>
    <w:next w:val="Normal"/>
    <w:link w:val="IntenseQuoteChar"/>
    <w:uiPriority w:val="30"/>
    <w:qFormat/>
    <w:rsid w:val="009328E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328E6"/>
    <w:rPr>
      <w:i/>
      <w:iCs/>
      <w:color w:val="2F5496" w:themeColor="accent1" w:themeShade="BF"/>
    </w:rPr>
  </w:style>
  <w:style w:type="character" w:styleId="IntenseReference">
    <w:name w:val="Intense Reference"/>
    <w:basedOn w:val="DefaultParagraphFont"/>
    <w:uiPriority w:val="32"/>
    <w:qFormat/>
    <w:rsid w:val="009328E6"/>
    <w:rPr>
      <w:b/>
      <w:bCs/>
      <w:smallCaps/>
      <w:color w:val="2F5496" w:themeColor="accent1" w:themeShade="BF"/>
      <w:spacing w:val="5"/>
    </w:rPr>
  </w:style>
  <w:style w:type="paragraph" w:styleId="NoSpacing">
    <w:name w:val="No Spacing"/>
    <w:uiPriority w:val="1"/>
    <w:qFormat/>
    <w:rsid w:val="009328E6"/>
    <w:pPr>
      <w:spacing w:after="0" w:line="240" w:lineRule="auto"/>
    </w:pPr>
    <w:rPr>
      <w:color w:val="44546A" w:themeColor="text2"/>
      <w:kern w:val="0"/>
      <w:sz w:val="20"/>
      <w:szCs w:val="20"/>
      <w:lang w:val="en-US"/>
      <w14:ligatures w14:val="none"/>
    </w:rPr>
  </w:style>
  <w:style w:type="paragraph" w:styleId="TOCHeading">
    <w:name w:val="TOC Heading"/>
    <w:basedOn w:val="Heading1"/>
    <w:next w:val="Normal"/>
    <w:uiPriority w:val="39"/>
    <w:unhideWhenUsed/>
    <w:qFormat/>
    <w:rsid w:val="009328E6"/>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9328E6"/>
    <w:pPr>
      <w:spacing w:after="100"/>
      <w:ind w:left="220"/>
    </w:pPr>
  </w:style>
  <w:style w:type="character" w:styleId="Hyperlink">
    <w:name w:val="Hyperlink"/>
    <w:basedOn w:val="DefaultParagraphFont"/>
    <w:uiPriority w:val="99"/>
    <w:unhideWhenUsed/>
    <w:rsid w:val="009328E6"/>
    <w:rPr>
      <w:color w:val="0563C1" w:themeColor="hyperlink"/>
      <w:u w:val="single"/>
    </w:rPr>
  </w:style>
  <w:style w:type="paragraph" w:styleId="Header">
    <w:name w:val="header"/>
    <w:basedOn w:val="Normal"/>
    <w:link w:val="HeaderChar"/>
    <w:uiPriority w:val="99"/>
    <w:unhideWhenUsed/>
    <w:rsid w:val="009328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328E6"/>
  </w:style>
  <w:style w:type="paragraph" w:styleId="Footer">
    <w:name w:val="footer"/>
    <w:basedOn w:val="Normal"/>
    <w:link w:val="FooterChar"/>
    <w:uiPriority w:val="99"/>
    <w:unhideWhenUsed/>
    <w:rsid w:val="009328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28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27398">
      <w:bodyDiv w:val="1"/>
      <w:marLeft w:val="0"/>
      <w:marRight w:val="0"/>
      <w:marTop w:val="0"/>
      <w:marBottom w:val="0"/>
      <w:divBdr>
        <w:top w:val="none" w:sz="0" w:space="0" w:color="auto"/>
        <w:left w:val="none" w:sz="0" w:space="0" w:color="auto"/>
        <w:bottom w:val="none" w:sz="0" w:space="0" w:color="auto"/>
        <w:right w:val="none" w:sz="0" w:space="0" w:color="auto"/>
      </w:divBdr>
    </w:div>
    <w:div w:id="1346903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765D3F-8DFD-4F38-9EA1-A0D612A85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5</Pages>
  <Words>1010</Words>
  <Characters>6360</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Critical Analysis of Three Human Factors in Cyber Security for a Local Start-Up</dc:title>
  <dc:subject/>
  <dc:creator>Milad Chowdhury</dc:creator>
  <cp:keywords/>
  <dc:description/>
  <cp:lastModifiedBy>M C</cp:lastModifiedBy>
  <cp:revision>7</cp:revision>
  <dcterms:created xsi:type="dcterms:W3CDTF">2025-03-28T10:28:00Z</dcterms:created>
  <dcterms:modified xsi:type="dcterms:W3CDTF">2025-03-28T10:47:00Z</dcterms:modified>
  <cp:category>The Human Factor - March 2025</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21481010-98dc-459c-99a9-0589ec655416</vt:lpwstr>
  </property>
</Properties>
</file>