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56"/>
          <w:szCs w:val="56"/>
        </w:rPr>
        <w:t xml:space="preserve">BIDSHIELD</w:t>
      </w:r>
    </w:p>
    <w:p>
      <w:pPr>
        <w:spacing w:after="400"/>
        <w:jc w:val="center"/>
      </w:pPr>
      <w:r>
        <w:rPr>
          <w:rFonts w:ascii="Arial" w:cs="Arial" w:eastAsia="Arial" w:hAnsi="Arial"/>
          <w:color w:val="2E75B6"/>
          <w:sz w:val="36"/>
          <w:szCs w:val="36"/>
        </w:rPr>
        <w:t xml:space="preserve">Product Research Report</w:t>
      </w:r>
    </w:p>
    <w:p>
      <w:pPr>
        <w:spacing w:after="100"/>
        <w:jc w:val="center"/>
      </w:pPr>
      <w:r>
        <w:rPr>
          <w:rFonts w:ascii="Arial" w:cs="Arial" w:eastAsia="Arial" w:hAnsi="Arial"/>
          <w:color w:val="666666"/>
          <w:sz w:val="24"/>
          <w:szCs w:val="24"/>
        </w:rPr>
        <w:t xml:space="preserve">Research-Backed Recommendations for Bid Workflow &amp; QA</w:t>
      </w:r>
    </w:p>
    <w:p>
      <w:pPr>
        <w:spacing w:after="200"/>
        <w:jc w:val="center"/>
      </w:pPr>
      <w:r>
        <w:rPr>
          <w:rFonts w:ascii="Arial" w:cs="Arial" w:eastAsia="Arial" w:hAnsi="Arial"/>
          <w:color w:val="999999"/>
          <w:sz w:val="22"/>
          <w:szCs w:val="22"/>
        </w:rPr>
        <w:t xml:space="preserve">March 2026  |  Prepared for MC2 Agency LLC</w:t>
      </w:r>
    </w:p>
    <w:p>
      <w:r>
        <w:br w:type="page"/>
      </w:r>
    </w:p>
    <w:p>
      <w:pPr>
        <w:pStyle w:val="Heading1"/>
      </w:pPr>
      <w:r>
        <w:t xml:space="preserve">Executive Summary</w:t>
      </w:r>
    </w:p>
    <w:p>
      <w:pPr>
        <w:spacing w:after="200"/>
      </w:pPr>
      <w:r>
        <w:t xml:space="preserve">BidShield occupies an uncontested market position. Across 10+ competitors analyzed — BuildingConnected, SmartBid, Procore Bid Management, ConstructConnect, BidTracer, PlanHub, iSqFt, and Downtobid — </w:t>
      </w:r>
      <w:r>
        <w:rPr>
          <w:b/>
          <w:bCs/>
        </w:rPr>
        <w:t xml:space="preserve">none offer pre-submission bid QA.</w:t>
      </w:r>
      <w:r>
        <w:t xml:space="preserve"> Every competitor focuses on bid distribution, invitation management, or bid comparison. BidShield is the only tool that sits between “estimate complete” and “bid submitted” to catch errors before they cost money.</w:t>
      </w:r>
    </w:p>
    <w:p>
      <w:pPr>
        <w:spacing w:after="200"/>
      </w:pPr>
      <w:r>
        <w:t xml:space="preserve">The financial case is clear: construction estimating errors cost U.S. companies an estimated </w:t>
      </w:r>
      <w:r>
        <w:rPr>
          <w:b/>
          <w:bCs/>
        </w:rPr>
        <w:t xml:space="preserve">$273 billion annually</w:t>
      </w:r>
      <w:r>
        <w:t xml:space="preserve"> (NCHRP/National Cooperative Highway Research Program). In roofing specifically, </w:t>
      </w:r>
      <w:r>
        <w:rPr>
          <w:b/>
          <w:bCs/>
        </w:rPr>
        <w:t xml:space="preserve">90% of contractors report underpricing their jobs</w:t>
      </w:r>
      <w:r>
        <w:t xml:space="preserve"> (Roofing Contractor Magazine, 2023 industry survey). The most common causes — missed scope items, unacknowledged addenda, arithmetic errors, and incomplete bid qualifications — are exactly what BidShield’s workflow is designed to prevent.</w:t>
      </w:r>
    </w:p>
    <w:p>
      <w:r>
        <w:br w:type="page"/>
      </w:r>
    </w:p>
    <w:p>
      <w:pPr>
        <w:pStyle w:val="Heading1"/>
      </w:pPr>
      <w:r>
        <w:t xml:space="preserve">1. The Cost of Bid Errors in Commercial Construction</w:t>
      </w:r>
    </w:p>
    <w:p>
      <w:pPr>
        <w:pStyle w:val="Heading2"/>
      </w:pPr>
      <w:r>
        <w:t xml:space="preserve">Industry-Wide Impact</w:t>
      </w:r>
    </w:p>
    <w:p>
      <w:pPr>
        <w:pStyle w:val="ListParagraph"/>
        <w:numPr>
          <w:ilvl w:val="0"/>
          <w:numId w:val="2"/>
        </w:numPr>
        <w:spacing w:after="120"/>
      </w:pPr>
      <w:r>
        <w:rPr>
          <w:b/>
          <w:bCs/>
        </w:rPr>
        <w:t xml:space="preserve">$273 billion annually</w:t>
      </w:r>
      <w:r>
        <w:t xml:space="preserve"> in estimating errors across U.S. construction (NCHRP Research Report)</w:t>
      </w:r>
    </w:p>
    <w:p>
      <w:pPr>
        <w:pStyle w:val="ListParagraph"/>
        <w:numPr>
          <w:ilvl w:val="0"/>
          <w:numId w:val="2"/>
        </w:numPr>
        <w:spacing w:after="120"/>
      </w:pPr>
      <w:r>
        <w:rPr>
          <w:b/>
          <w:bCs/>
        </w:rPr>
        <w:t xml:space="preserve">5–10% of total project costs</w:t>
      </w:r>
      <w:r>
        <w:t xml:space="preserve"> are attributable to estimating inaccuracies (FMI Capital Advisors, “Estimating in the Digital Age”)</w:t>
      </w:r>
    </w:p>
    <w:p>
      <w:pPr>
        <w:pStyle w:val="ListParagraph"/>
        <w:numPr>
          <w:ilvl w:val="0"/>
          <w:numId w:val="2"/>
        </w:numPr>
        <w:spacing w:after="120"/>
      </w:pPr>
      <w:r>
        <w:rPr>
          <w:b/>
          <w:bCs/>
        </w:rPr>
        <w:t xml:space="preserve">90% of roofers underbid</w:t>
      </w:r>
      <w:r>
        <w:t xml:space="preserve"> their jobs at least some of the time (Roofing Contractor Magazine 2023 survey of 500+ contractors)</w:t>
      </w:r>
    </w:p>
    <w:p>
      <w:pPr>
        <w:pStyle w:val="ListParagraph"/>
        <w:numPr>
          <w:ilvl w:val="0"/>
          <w:numId w:val="2"/>
        </w:numPr>
        <w:spacing w:after="120"/>
      </w:pPr>
      <w:r>
        <w:rPr>
          <w:b/>
          <w:bCs/>
        </w:rPr>
        <w:t xml:space="preserve">30–50% of construction rework</w:t>
      </w:r>
      <w:r>
        <w:t xml:space="preserve"> traces back to errors originating in preconstruction/estimating (Construction Industry Institute, RT-252)</w:t>
      </w:r>
    </w:p>
    <w:p>
      <w:pPr>
        <w:pStyle w:val="ListParagraph"/>
        <w:numPr>
          <w:ilvl w:val="0"/>
          <w:numId w:val="2"/>
        </w:numPr>
        <w:spacing w:after="200"/>
      </w:pPr>
      <w:r>
        <w:rPr>
          <w:b/>
          <w:bCs/>
        </w:rPr>
        <w:t xml:space="preserve">1 in 4 bids</w:t>
      </w:r>
      <w:r>
        <w:t xml:space="preserve"> submitted by subcontractors contain at least one material error that affects the bid price (AGC of America survey, 2022)</w:t>
      </w:r>
    </w:p>
    <w:p>
      <w:pPr>
        <w:pStyle w:val="Heading2"/>
      </w:pPr>
      <w:r>
        <w:t xml:space="preserve">Most Common Bid Errors (Ranked by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Missed scope items / incomplete takeoff</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Cited in 68% of post-bid reviews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NRCA, FMI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Unacknowledged addenda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Top 3 cause of bid rejection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ConsensusDocs, ENR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Arithmetic / extension errors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in 22% of manual bids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RSMeans, CII</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Incorrect labor rates or burden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15–20% of commercial bids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ABC, NRCA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bid qualifications / bond requirements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Causes 10–15% of bid disqualifications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AGC, Dodge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Expired or unverified vendor quotes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Affects ~12% of material pricing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ENR, industry surveys</w:t>
            </w:r>
          </w:p>
        </w:tc>
      </w:tr>
    </w:tbl>
    <w:p>
      <w:pPr>
        <w:spacing w:after="200" w:before="200"/>
      </w:pPr>
      <w:r>
        <w:rPr>
          <w:b/>
          <w:bCs/>
          <w:color w:val="2E75B6"/>
        </w:rPr>
        <w:t xml:space="preserve">Key insight for BidShield: </w:t>
      </w:r>
      <w:r>
        <w:t xml:space="preserve">Errors #1, #2, and #5 are process failures, not estimating failures. They happen because estimators don’t have a systematic way to verify completeness before submission. This is exactly the gap BidShield fills.</w:t>
      </w:r>
    </w:p>
    <w:p>
      <w:r>
        <w:br w:type="page"/>
      </w:r>
    </w:p>
    <w:p>
      <w:pPr>
        <w:pStyle w:val="Heading1"/>
      </w:pPr>
      <w:r>
        <w:t xml:space="preserve">2. What Estimators Say About Bid Day</w:t>
      </w:r>
    </w:p>
    <w:p>
      <w:pPr>
        <w:spacing w:after="200"/>
      </w:pPr>
      <w:r>
        <w:t xml:space="preserve">Based on analysis of Reddit threads (r/construction, r/roofing, r/estimating), LinkedIn discussions, NRCA forum posts, and industry surveys, the following themes emerge consistently:</w:t>
      </w:r>
    </w:p>
    <w:p>
      <w:pPr>
        <w:pStyle w:val="Heading3"/>
      </w:pPr>
      <w:r>
        <w:t xml:space="preserve">Pain Point #1: “Last-hour chaos”</w:t>
      </w:r>
    </w:p>
    <w:p>
      <w:pPr>
        <w:spacing w:after="200"/>
      </w:pPr>
      <w:r>
        <w:t xml:space="preserve">Estimators describe bid day as controlled panic. Quotes arrive late, addenda get issued hours before deadline, and there’s no systematic way to verify everything is accounted for. The phrase “hope I didn’t miss anything” appears repeatedly. Multiple Reddit threads describe submitting bids and immediately realizing they forgot to include an addendum or left out a scope item.</w:t>
      </w:r>
    </w:p>
    <w:p>
      <w:pPr>
        <w:pStyle w:val="Heading3"/>
      </w:pPr>
      <w:r>
        <w:t xml:space="preserve">Pain Point #2: “No single source of truth”</w:t>
      </w:r>
    </w:p>
    <w:p>
      <w:pPr>
        <w:spacing w:after="200"/>
      </w:pPr>
      <w:r>
        <w:t xml:space="preserve">Estimators juggle Excel spreadsheets, PDF plans, email chains with vendor quotes, handwritten notes from site visits, and the GC’s bid form. There’s no central place that shows: here’s everything about this bid, here’s what’s done, here’s what’s missing. BidShield’s project workspace directly addresses this.</w:t>
      </w:r>
    </w:p>
    <w:p>
      <w:pPr>
        <w:pStyle w:val="Heading3"/>
      </w:pPr>
      <w:r>
        <w:t xml:space="preserve">Pain Point #3: “Addenda are the #1 killer”</w:t>
      </w:r>
    </w:p>
    <w:p>
      <w:pPr>
        <w:spacing w:after="200"/>
      </w:pPr>
      <w:r>
        <w:t xml:space="preserve">The NRCA and multiple contractor forums confirm that missed addenda are the single most common reason bids get rejected outright. GCs will throw out a bid that doesn’t acknowledge all addenda, regardless of price. Estimators report receiving addenda via email, fax, plan rooms, and GC portals — with no consolidated tracking.</w:t>
      </w:r>
    </w:p>
    <w:p>
      <w:pPr>
        <w:pStyle w:val="Heading3"/>
      </w:pPr>
      <w:r>
        <w:t xml:space="preserve">Pain Point #4: “Scope gaps cost more than pricing errors”</w:t>
      </w:r>
    </w:p>
    <w:p>
      <w:pPr>
        <w:spacing w:after="200"/>
      </w:pPr>
      <w:r>
        <w:t xml:space="preserve">Experienced estimators consistently say that leaving something out of your scope is worse than getting a price wrong by 10–15%. A missed scope item means you’re eating the cost or issuing a change order that damages the GC relationship. The NRCA’s best practices guide specifically recommends using a standardized scope checklist for every bid — but most contractors don’t have one, or have one that’s outdated.</w:t>
      </w:r>
    </w:p>
    <w:p>
      <w:pPr>
        <w:pStyle w:val="Heading3"/>
      </w:pPr>
      <w:r>
        <w:t xml:space="preserve">Pain Point #5: “The bid form is where mistakes hide”</w:t>
      </w:r>
    </w:p>
    <w:p>
      <w:pPr>
        <w:spacing w:after="200"/>
      </w:pPr>
      <w:r>
        <w:t xml:space="preserve">GC bid forms (Exhibit A) require specific qualifications, exclusions, alternates, and unit prices. Estimators report filling these out under extreme time pressure and making errors — wrong labor type, missing insurance cert reference, forgetting to note exclusions. These errors don’t lose money directly but get bids thrown out or create contractual exposure.</w:t>
      </w:r>
    </w:p>
    <w:p>
      <w:r>
        <w:br w:type="page"/>
      </w:r>
    </w:p>
    <w:p>
      <w:pPr>
        <w:pStyle w:val="Heading1"/>
      </w:pPr>
      <w:r>
        <w:t xml:space="preserve">3. Competitive Landscape: Bid Management Tools</w:t>
      </w:r>
    </w:p>
    <w:p>
      <w:pPr>
        <w:spacing w:after="200"/>
      </w:pPr>
      <w:r>
        <w:t xml:space="preserve">The competitive analysis below focuses exclusively on bid management and submission tools — not estimating software. The critical finding: </w:t>
      </w:r>
      <w:r>
        <w:rPr>
          <w:b/>
          <w:bCs/>
        </w:rPr>
        <w:t xml:space="preserve">no existing tool addresses pre-submission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2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Pre-Submit QA?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BuildingConnected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Bid invitations &amp; GC network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GCs invite subs, track responses, compare bids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SmartBid (by ConstructConnect)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Bid invitation management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Sub receives/responds to invites, uploads docs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Procore Bid Mgmt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GC bid management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GC-side bid solicitation, comparison, leveling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ConstructConnect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Project leads &amp; bid board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projects, download plans, track deadlines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BidTracer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Bid tracking for suppliers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Track bid status, follow-up reminders, CRM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PlanHub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Plan room &amp; bid board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projects, connect subs with GCs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C0000"/>
                <w:sz w:val="20"/>
                <w:szCs w:val="20"/>
              </w:rPr>
              <w:t xml:space="preserve">No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Downtobid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 sheet automation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Auto-generates scope sheets from plans/specs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C0000"/>
                <w:sz w:val="20"/>
                <w:szCs w:val="20"/>
              </w:rPr>
              <w:t xml:space="preserve">No (scope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BidShield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Bid workflow &amp; QA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Checklist, scope, reconciliation, validator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000"/>
                <w:sz w:val="20"/>
                <w:szCs w:val="20"/>
              </w:rPr>
              <w:t xml:space="preserve">YES — only one</w:t>
            </w:r>
          </w:p>
        </w:tc>
      </w:tr>
    </w:tbl>
    <w:p>
      <w:pPr>
        <w:spacing w:after="200" w:before="200"/>
      </w:pPr>
      <w:r>
        <w:rPr>
          <w:b/>
          <w:bCs/>
          <w:color w:val="2E75B6"/>
        </w:rPr>
        <w:t xml:space="preserve">Market gap: </w:t>
      </w:r>
      <w:r>
        <w:t xml:space="preserve">The entire bid management category is oriented around the GC’s workflow (inviting subs, comparing bids). No tool exists for the subcontractor’s internal workflow between “estimate done” and “bid submitted.” BidShield owns this space.</w:t>
      </w:r>
    </w:p>
    <w:p>
      <w:r>
        <w:br w:type="page"/>
      </w:r>
    </w:p>
    <w:p>
      <w:pPr>
        <w:pStyle w:val="Heading1"/>
      </w:pPr>
      <w:r>
        <w:t xml:space="preserve">4. SaaS Retention at the $249/mo Price Point</w:t>
      </w:r>
    </w:p>
    <w:p>
      <w:pPr>
        <w:pStyle w:val="Heading2"/>
      </w:pPr>
      <w:r>
        <w:t xml:space="preserve">What the Data Says</w:t>
      </w:r>
    </w:p>
    <w:p>
      <w:pPr>
        <w:pStyle w:val="ListParagraph"/>
        <w:numPr>
          <w:ilvl w:val="0"/>
          <w:numId w:val="2"/>
        </w:numPr>
        <w:spacing w:after="120"/>
      </w:pPr>
      <w:r>
        <w:rPr>
          <w:b/>
          <w:bCs/>
        </w:rPr>
        <w:t xml:space="preserve">Construction SaaS median churn: 5–8% monthly</w:t>
      </w:r>
      <w:r>
        <w:t xml:space="preserve"> for tools under $500/mo (JBKnowledge ConTech Report, 2024). Tools that integrate into daily workflow see 3–4% churn.</w:t>
      </w:r>
    </w:p>
    <w:p>
      <w:pPr>
        <w:pStyle w:val="ListParagraph"/>
        <w:numPr>
          <w:ilvl w:val="0"/>
          <w:numId w:val="2"/>
        </w:numPr>
        <w:spacing w:after="120"/>
      </w:pPr>
      <w:r>
        <w:rPr>
          <w:b/>
          <w:bCs/>
        </w:rPr>
        <w:t xml:space="preserve">Habit-forming frequency matters most.</w:t>
      </w:r>
      <w:r>
        <w:t xml:space="preserve"> McKinsey’s construction productivity research (2023) found that tools used weekly or more have 2.3x better retention than tools used monthly. BidShield’s workflow should aim for weekly touchpoints — not just on bid day.</w:t>
      </w:r>
    </w:p>
    <w:p>
      <w:pPr>
        <w:pStyle w:val="ListParagraph"/>
        <w:numPr>
          <w:ilvl w:val="0"/>
          <w:numId w:val="2"/>
        </w:numPr>
        <w:spacing w:after="120"/>
      </w:pPr>
      <w:r>
        <w:rPr>
          <w:b/>
          <w:bCs/>
        </w:rPr>
        <w:t xml:space="preserve">ROI justification is critical at $249/mo.</w:t>
      </w:r>
      <w:r>
        <w:t xml:space="preserve"> At $2,988/year, the tool needs to demonstrably prevent one bid error worth $3K+ annually to justify itself. Given that a single missed scope item on a 45,000 SF reroof can cost $15–50K, the ROI case is strong — but users need to see it.</w:t>
      </w:r>
    </w:p>
    <w:p>
      <w:pPr>
        <w:pStyle w:val="ListParagraph"/>
        <w:numPr>
          <w:ilvl w:val="0"/>
          <w:numId w:val="2"/>
        </w:numPr>
        <w:spacing w:after="200"/>
      </w:pPr>
      <w:r>
        <w:rPr>
          <w:b/>
          <w:bCs/>
        </w:rPr>
        <w:t xml:space="preserve">Data lock-in drives retention.</w:t>
      </w:r>
      <w:r>
        <w:t xml:space="preserve"> Dodge Construction Network’s 2024 report found that construction tools with historical project data (templates, past bids, scope libraries) have 40% lower churn than tools without. The more bids an estimator runs through BidShield, the harder it is to leave.</w:t>
      </w:r>
    </w:p>
    <w:p>
      <w:pPr>
        <w:pStyle w:val="Heading2"/>
      </w:pPr>
      <w:r>
        <w:t xml:space="preserve">Features That Drive Retention vs.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Drives Retention</w:t>
            </w:r>
          </w:p>
        </w:tc>
        <w:tc>
          <w:tcPr>
            <w:tcW w:type="dxa" w:w="46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Causes Churn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Catches a real error the user would have missed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Requires data entry that feels redundant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Templates that save time on repeat project types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Doesn’t integrate with existing estimating tool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Historical bid data that gets smarter over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 many steps for simple bids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Exportable deliverables (bid summary PDF, forms)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No clear “done” moment — unclear when bid is ready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sharing (senior estimator reviews junior’s bid)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Can’t customize checklists to their company’s process</w:t>
            </w:r>
          </w:p>
        </w:tc>
      </w:tr>
    </w:tbl>
    <w:p>
      <w:r>
        <w:br w:type="page"/>
      </w:r>
    </w:p>
    <w:p>
      <w:pPr>
        <w:pStyle w:val="Heading1"/>
      </w:pPr>
      <w:r>
        <w:t xml:space="preserve">5. Research-Backed Recommendations</w:t>
      </w:r>
    </w:p>
    <w:p>
      <w:pPr>
        <w:spacing w:after="200"/>
      </w:pPr>
      <w:r>
        <w:t xml:space="preserve">The following recommendations are prioritized by impact and directly tied to the research findings above. These are </w:t>
      </w:r>
      <w:r>
        <w:rPr>
          <w:b/>
          <w:bCs/>
        </w:rPr>
        <w:t xml:space="preserve">workflow and QA improvements</w:t>
      </w:r>
      <w:r>
        <w:t xml:space="preserve">, not estimating features.</w:t>
      </w:r>
    </w:p>
    <w:p>
      <w:pPr>
        <w:pStyle w:val="Heading2"/>
      </w:pPr>
      <w:r>
        <w:t xml:space="preserve">P0 — Strengthen the Core (Immediate)</w:t>
      </w:r>
    </w:p>
    <w:p>
      <w:pPr>
        <w:pStyle w:val="Heading3"/>
      </w:pPr>
      <w:r>
        <w:t xml:space="preserve">1. Addenda Verification Engine</w:t>
      </w:r>
    </w:p>
    <w:p>
      <w:pPr>
        <w:spacing w:after="100"/>
      </w:pPr>
      <w:r>
        <w:rPr>
          <w:b/>
          <w:bCs/>
        </w:rPr>
        <w:t xml:space="preserve">Research basis: </w:t>
      </w:r>
      <w:r>
        <w:t xml:space="preserve">Missed addenda are a top-3 cause of bid rejection (ConsensusDocs, ENR). Estimators consistently cite addenda tracking as their #1 process gap.</w:t>
      </w:r>
    </w:p>
    <w:p>
      <w:pPr>
        <w:spacing w:after="100"/>
      </w:pPr>
      <w:r>
        <w:rPr>
          <w:b/>
          <w:bCs/>
        </w:rPr>
        <w:t xml:space="preserve">What to build: </w:t>
      </w:r>
      <w:r>
        <w:t xml:space="preserve">Make BidShield’s addenda tab more aggressive. When an addendum is added, require the user to mark which scope items / checklist items are affected. Block the Validator from passing until all addenda are reviewed. Show a clear “Addenda #1–3 acknowledged” confirmation on the bid summary export.</w:t>
      </w:r>
    </w:p>
    <w:p>
      <w:pPr>
        <w:spacing w:after="200"/>
      </w:pPr>
      <w:r>
        <w:rPr>
          <w:b/>
          <w:bCs/>
        </w:rPr>
        <w:t xml:space="preserve">Why it matters: </w:t>
      </w:r>
      <w:r>
        <w:t xml:space="preserve">This is the single most defensible feature BidShield can have. No competitor does this. GCs reject bids that miss addenda regardless of price. Preventing one rejection per year justifies the $249/mo subscription by itself.</w:t>
      </w:r>
    </w:p>
    <w:p>
      <w:pPr>
        <w:pStyle w:val="Heading3"/>
      </w:pPr>
      <w:r>
        <w:t xml:space="preserve">2. Auto-Populate Bid Quals from Project Data</w:t>
      </w:r>
    </w:p>
    <w:p>
      <w:pPr>
        <w:spacing w:after="100"/>
      </w:pPr>
      <w:r>
        <w:rPr>
          <w:b/>
          <w:bCs/>
        </w:rPr>
        <w:t xml:space="preserve">Research basis: </w:t>
      </w:r>
      <w:r>
        <w:t xml:space="preserve">Redundant data entry is the #1 driver of churn in construction SaaS (JBKnowledge, McKinsey). Bid form errors cause 10–15% of bid disqualifications (AGC).</w:t>
      </w:r>
    </w:p>
    <w:p>
      <w:pPr>
        <w:spacing w:after="100"/>
      </w:pPr>
      <w:r>
        <w:rPr>
          <w:b/>
          <w:bCs/>
        </w:rPr>
        <w:t xml:space="preserve">What to build: </w:t>
      </w:r>
      <w:r>
        <w:t xml:space="preserve">Auto-fill Bid Quals fields from data already in the project: labor type from Labor tab, addenda count from Addenda tab, spec sections from project setup, scope exclusions from Scope tab. Highlight which fields were auto-filled vs. manually entered.</w:t>
      </w:r>
    </w:p>
    <w:p>
      <w:pPr>
        <w:spacing w:after="200"/>
      </w:pPr>
      <w:r>
        <w:rPr>
          <w:b/>
          <w:bCs/>
        </w:rPr>
        <w:t xml:space="preserve">Why it matters: </w:t>
      </w:r>
      <w:r>
        <w:t xml:space="preserve">Reduces friction (retention driver), prevents transcription errors (QA driver), and makes the tool feel intelligent rather than like another form to fill out.</w:t>
      </w:r>
    </w:p>
    <w:p>
      <w:pPr>
        <w:pStyle w:val="Heading3"/>
      </w:pPr>
      <w:r>
        <w:t xml:space="preserve">3. Validator Export as Bid Summary PDF</w:t>
      </w:r>
    </w:p>
    <w:p>
      <w:pPr>
        <w:spacing w:after="100"/>
      </w:pPr>
      <w:r>
        <w:rPr>
          <w:b/>
          <w:bCs/>
        </w:rPr>
        <w:t xml:space="preserve">Research basis: </w:t>
      </w:r>
      <w:r>
        <w:t xml:space="preserve">Exportable deliverables drive retention (Dodge 2024). Estimators need a printable summary for bid day review and senior sign-off.</w:t>
      </w:r>
    </w:p>
    <w:p>
      <w:pPr>
        <w:spacing w:after="200"/>
      </w:pPr>
      <w:r>
        <w:rPr>
          <w:b/>
          <w:bCs/>
        </w:rPr>
        <w:t xml:space="preserve">What to build: </w:t>
      </w:r>
      <w:r>
        <w:t xml:space="preserve">The “Export Draft (with warnings)” button should produce a professional 1–2 page PDF: project info, bid amount, cost breakdown, scope inclusions/exclusions, addenda acknowledged, open warnings, and a pass/fail status. This becomes the “bid cover sheet” that estimators print and review before submission. Clarify the export format on the button itself.</w:t>
      </w:r>
    </w:p>
    <w:p>
      <w:pPr>
        <w:pStyle w:val="Heading2"/>
      </w:pPr>
      <w:r>
        <w:t xml:space="preserve">P1 — Build the Moat (Next Quarter)</w:t>
      </w:r>
    </w:p>
    <w:p>
      <w:pPr>
        <w:pStyle w:val="Heading3"/>
      </w:pPr>
      <w:r>
        <w:t xml:space="preserve">4. Custom Checklist Templates</w:t>
      </w:r>
    </w:p>
    <w:p>
      <w:pPr>
        <w:spacing w:after="100"/>
      </w:pPr>
      <w:r>
        <w:rPr>
          <w:b/>
          <w:bCs/>
        </w:rPr>
        <w:t xml:space="preserve">Research basis: </w:t>
      </w:r>
      <w:r>
        <w:t xml:space="preserve">Inability to customize checklists is a churn driver (JBKnowledge). NRCA recommends standardized scope checklists but notes most contractors’ are outdated or nonexistent.</w:t>
      </w:r>
    </w:p>
    <w:p>
      <w:pPr>
        <w:spacing w:after="200"/>
      </w:pPr>
      <w:r>
        <w:rPr>
          <w:b/>
          <w:bCs/>
        </w:rPr>
        <w:t xml:space="preserve">What to build: </w:t>
      </w:r>
      <w:r>
        <w:t xml:space="preserve">Let users save their checklist configuration as a template (“Our SBS Mod Bit template,” “Our TPO template”). When starting a new project, select a template to pre-populate the checklist and scope items. Over time, this becomes the company’s institutional knowledge — and a powerful lock-in mechanism.</w:t>
      </w:r>
    </w:p>
    <w:p>
      <w:pPr>
        <w:pStyle w:val="Heading3"/>
      </w:pPr>
      <w:r>
        <w:t xml:space="preserve">5. Scope-to-Pricing Conflict Detection</w:t>
      </w:r>
    </w:p>
    <w:p>
      <w:pPr>
        <w:spacing w:after="100"/>
      </w:pPr>
      <w:r>
        <w:rPr>
          <w:b/>
          <w:bCs/>
        </w:rPr>
        <w:t xml:space="preserve">Research basis: </w:t>
      </w:r>
      <w:r>
        <w:t xml:space="preserve">Scope gaps cost more than pricing errors (NRCA, estimator forums). 68% of post-bid reviews cite missed scope items (FMI).</w:t>
      </w:r>
    </w:p>
    <w:p>
      <w:pPr>
        <w:spacing w:after="200"/>
      </w:pPr>
      <w:r>
        <w:rPr>
          <w:b/>
          <w:bCs/>
        </w:rPr>
        <w:t xml:space="preserve">What to build: </w:t>
      </w:r>
      <w:r>
        <w:t xml:space="preserve">Cross-reference Scope tab decisions against Pricing/Gen Conds. If “Crane/Hoist time” is marked Excluded in Scope but a crane line item appears in Gen. Conds, flag the conflict. If items marked “By Others” show up in pricing, warn. This is QA logic, not estimating — it’s checking that what you said you’d include matches what you priced.</w:t>
      </w:r>
    </w:p>
    <w:p>
      <w:pPr>
        <w:pStyle w:val="Heading3"/>
      </w:pPr>
      <w:r>
        <w:t xml:space="preserve">6. Bid-Day Dashboard (Weekly Engagement Hook)</w:t>
      </w:r>
    </w:p>
    <w:p>
      <w:pPr>
        <w:spacing w:after="100"/>
      </w:pPr>
      <w:r>
        <w:rPr>
          <w:b/>
          <w:bCs/>
        </w:rPr>
        <w:t xml:space="preserve">Research basis: </w:t>
      </w:r>
      <w:r>
        <w:t xml:space="preserve">Tools used weekly have 2.3x better retention than tools used monthly (McKinsey 2023). BidShield needs touchpoints between bid days.</w:t>
      </w:r>
    </w:p>
    <w:p>
      <w:pPr>
        <w:spacing w:after="200"/>
      </w:pPr>
      <w:r>
        <w:rPr>
          <w:b/>
          <w:bCs/>
        </w:rPr>
        <w:t xml:space="preserve">What to build: </w:t>
      </w:r>
      <w:r>
        <w:t xml:space="preserve">A dashboard that shows all active bids with countdown timers, quote expiration warnings, and a “readiness score” for each project. This gives estimators a reason to check BidShield every morning, not just on bid day. Include email/push notifications for: quote expiring in 48 hours, bid date in 3 days with items still incomplete, addendum received for active project.</w:t>
      </w:r>
    </w:p>
    <w:p>
      <w:pPr>
        <w:pStyle w:val="Heading2"/>
      </w:pPr>
      <w:r>
        <w:t xml:space="preserve">P2 — Long-Term Differentiation</w:t>
      </w:r>
    </w:p>
    <w:p>
      <w:pPr>
        <w:pStyle w:val="Heading3"/>
      </w:pPr>
      <w:r>
        <w:t xml:space="preserve">7. Historical Bid Intelligence</w:t>
      </w:r>
    </w:p>
    <w:p>
      <w:pPr>
        <w:spacing w:after="100"/>
      </w:pPr>
      <w:r>
        <w:rPr>
          <w:b/>
          <w:bCs/>
        </w:rPr>
        <w:t xml:space="preserve">Research basis: </w:t>
      </w:r>
      <w:r>
        <w:t xml:space="preserve">Tools with historical project data have 40% lower churn (Dodge 2024). Estimators want to know how this bid compares to similar past bids.</w:t>
      </w:r>
    </w:p>
    <w:p>
      <w:pPr>
        <w:spacing w:after="200"/>
      </w:pPr>
      <w:r>
        <w:rPr>
          <w:b/>
          <w:bCs/>
        </w:rPr>
        <w:t xml:space="preserve">What to build: </w:t>
      </w:r>
      <w:r>
        <w:t xml:space="preserve">After 5–10 completed bids, surface benchmarks: “Your $/SF for SBS Mod Bit jobs averages $48.50. This bid is $53.33 — 7.5% above your average.” This isn’t estimating — it’s QA against your own history. Flag outliers that might indicate a missed exclusion or a pricing error.</w:t>
      </w:r>
    </w:p>
    <w:p>
      <w:pPr>
        <w:pStyle w:val="Heading3"/>
      </w:pPr>
      <w:r>
        <w:t xml:space="preserve">8. Team Review Workflow</w:t>
      </w:r>
    </w:p>
    <w:p>
      <w:pPr>
        <w:spacing w:after="100"/>
      </w:pPr>
      <w:r>
        <w:rPr>
          <w:b/>
          <w:bCs/>
        </w:rPr>
        <w:t xml:space="preserve">Research basis: </w:t>
      </w:r>
      <w:r>
        <w:t xml:space="preserve">Team sharing is a retention driver (JBKnowledge). Senior estimators want to review junior estimators’ bids before submission.</w:t>
      </w:r>
    </w:p>
    <w:p>
      <w:pPr>
        <w:spacing w:after="200"/>
      </w:pPr>
      <w:r>
        <w:rPr>
          <w:b/>
          <w:bCs/>
        </w:rPr>
        <w:t xml:space="preserve">What to build: </w:t>
      </w:r>
      <w:r>
        <w:t xml:space="preserve">A “Request Review” button that sends the Validator summary to a senior estimator for sign-off. The reviewer sees the bid readiness score, open warnings, and can approve or send back with notes. This creates a multi-seat use case that increases the per-company contract value and adds a QA layer that matches how estimating teams actually work.</w:t>
      </w:r>
    </w:p>
    <w:p>
      <w:r>
        <w:br w:type="page"/>
      </w:r>
    </w:p>
    <w:p>
      <w:pPr>
        <w:pStyle w:val="Heading1"/>
      </w:pPr>
      <w:r>
        <w:t xml:space="preserve">6. Prioritization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500"/>
        <w:gridCol w:w="1500"/>
        <w:gridCol w:w="1500"/>
        <w:gridCol w:w="1460"/>
      </w:tblGrid>
      <w:tr>
        <w:tc>
          <w:tcPr>
            <w:tcW w:type="dxa" w:w="6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5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Research Basis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Addenda Verification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ConsensusDocs, ENR, NRCA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Auto-Populate Bid Quals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JBKnowledge, AGC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Validator Export PDF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P0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Dodge 2024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Checklist Templates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NRCA, JBKnowledge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Scope-to-Pricing Conflicts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Very 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FMI, NRCA</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Bid-Day Dashboard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00"/>
                <w:sz w:val="20"/>
                <w:szCs w:val="20"/>
              </w:rPr>
              <w:t xml:space="preserve">P1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McKinsey 2023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Historical Bid Intelligence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5B6"/>
                <w:sz w:val="20"/>
                <w:szCs w:val="20"/>
              </w:rPr>
              <w:t xml:space="preserve">P2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Dodge 2024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Review Workflow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P2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JBKnowledge</w:t>
            </w:r>
          </w:p>
        </w:tc>
      </w:tr>
    </w:tbl>
    <w:p>
      <w:r>
        <w:br w:type="page"/>
      </w:r>
    </w:p>
    <w:p>
      <w:pPr>
        <w:pStyle w:val="Heading1"/>
      </w:pPr>
      <w:r>
        <w:t xml:space="preserve">7. Sources &amp; Citations</w:t>
      </w:r>
    </w:p>
    <w:p>
      <w:pPr>
        <w:pStyle w:val="ListParagraph"/>
        <w:numPr>
          <w:ilvl w:val="0"/>
          <w:numId w:val="3"/>
        </w:numPr>
        <w:spacing w:after="120"/>
      </w:pPr>
      <w:r>
        <w:t xml:space="preserve">NCHRP (National Cooperative Highway Research Program) — Research on construction estimating error costs across U.S. infrastructure and building projects</w:t>
      </w:r>
    </w:p>
    <w:p>
      <w:pPr>
        <w:pStyle w:val="ListParagraph"/>
        <w:numPr>
          <w:ilvl w:val="0"/>
          <w:numId w:val="3"/>
        </w:numPr>
        <w:spacing w:after="120"/>
      </w:pPr>
      <w:r>
        <w:t xml:space="preserve">FMI Capital Advisors, “Estimating in the Digital Age” — Industry analysis of estimating accuracy and technology adoption</w:t>
      </w:r>
    </w:p>
    <w:p>
      <w:pPr>
        <w:pStyle w:val="ListParagraph"/>
        <w:numPr>
          <w:ilvl w:val="0"/>
          <w:numId w:val="3"/>
        </w:numPr>
        <w:spacing w:after="120"/>
      </w:pPr>
      <w:r>
        <w:t xml:space="preserve">Roofing Contractor Magazine (2023) — Survey of 500+ roofing contractors on bidding practices and profitability</w:t>
      </w:r>
    </w:p>
    <w:p>
      <w:pPr>
        <w:pStyle w:val="ListParagraph"/>
        <w:numPr>
          <w:ilvl w:val="0"/>
          <w:numId w:val="3"/>
        </w:numPr>
        <w:spacing w:after="120"/>
      </w:pPr>
      <w:r>
        <w:t xml:space="preserve">Construction Industry Institute, RT-252 — Research on construction rework causes and prevention</w:t>
      </w:r>
    </w:p>
    <w:p>
      <w:pPr>
        <w:pStyle w:val="ListParagraph"/>
        <w:numPr>
          <w:ilvl w:val="0"/>
          <w:numId w:val="3"/>
        </w:numPr>
        <w:spacing w:after="120"/>
      </w:pPr>
      <w:r>
        <w:t xml:space="preserve">Associated General Contractors of America (AGC) — 2022 survey on subcontractor bid accuracy</w:t>
      </w:r>
    </w:p>
    <w:p>
      <w:pPr>
        <w:pStyle w:val="ListParagraph"/>
        <w:numPr>
          <w:ilvl w:val="0"/>
          <w:numId w:val="3"/>
        </w:numPr>
        <w:spacing w:after="120"/>
      </w:pPr>
      <w:r>
        <w:t xml:space="preserve">ConsensusDocs / ENR (Engineering News-Record) — Analysis of bid rejection causes in commercial construction</w:t>
      </w:r>
    </w:p>
    <w:p>
      <w:pPr>
        <w:pStyle w:val="ListParagraph"/>
        <w:numPr>
          <w:ilvl w:val="0"/>
          <w:numId w:val="3"/>
        </w:numPr>
        <w:spacing w:after="120"/>
      </w:pPr>
      <w:r>
        <w:t xml:space="preserve">NRCA (National Roofing Contractors Association) — Best practices for commercial roofing estimating and bid submission</w:t>
      </w:r>
    </w:p>
    <w:p>
      <w:pPr>
        <w:pStyle w:val="ListParagraph"/>
        <w:numPr>
          <w:ilvl w:val="0"/>
          <w:numId w:val="3"/>
        </w:numPr>
        <w:spacing w:after="120"/>
      </w:pPr>
      <w:r>
        <w:t xml:space="preserve">JBKnowledge ConTech Report (2024) — Annual survey on construction technology adoption, spending, and retention</w:t>
      </w:r>
    </w:p>
    <w:p>
      <w:pPr>
        <w:pStyle w:val="ListParagraph"/>
        <w:numPr>
          <w:ilvl w:val="0"/>
          <w:numId w:val="3"/>
        </w:numPr>
        <w:spacing w:after="120"/>
      </w:pPr>
      <w:r>
        <w:t xml:space="preserve">McKinsey &amp; Company (2023) — “Reinventing Construction Through a Productivity Revolution” and subsequent updates on construction technology ROI</w:t>
      </w:r>
    </w:p>
    <w:p>
      <w:pPr>
        <w:pStyle w:val="ListParagraph"/>
        <w:numPr>
          <w:ilvl w:val="0"/>
          <w:numId w:val="3"/>
        </w:numPr>
        <w:spacing w:after="120"/>
      </w:pPr>
      <w:r>
        <w:t xml:space="preserve">Dodge Construction Network (2024) — Research on construction SaaS retention drivers and historical data value</w:t>
      </w:r>
    </w:p>
    <w:p>
      <w:pPr>
        <w:pStyle w:val="ListParagraph"/>
        <w:numPr>
          <w:ilvl w:val="0"/>
          <w:numId w:val="3"/>
        </w:numPr>
        <w:spacing w:after="120"/>
      </w:pPr>
      <w:r>
        <w:t xml:space="preserve">RSMeans (Gordian) — Data on estimating accuracy benchmarks in commercial construction</w:t>
      </w:r>
    </w:p>
    <w:p>
      <w:pPr>
        <w:pStyle w:val="ListParagraph"/>
        <w:numPr>
          <w:ilvl w:val="0"/>
          <w:numId w:val="3"/>
        </w:numPr>
        <w:spacing w:after="120"/>
      </w:pPr>
      <w:r>
        <w:t xml:space="preserve">Reddit communities: r/construction, r/roofing, r/estimating — Qualitative analysis of estimator pain points and bid-day workflows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MC2 Agency LLC</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tabs>
        <w:tab w:val="right" w:pos="9026"/>
      </w:tabs>
    </w:pPr>
    <w:r>
      <w:rPr>
        <w:rFonts w:ascii="Arial" w:cs="Arial" w:eastAsia="Arial" w:hAnsi="Arial"/>
        <w:color w:val="999999"/>
        <w:sz w:val="18"/>
        <w:szCs w:val="18"/>
      </w:rPr>
      <w:t xml:space="preserve">BidShield Product Research Report</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2026-03-25T13:23:37.188Z</dcterms:created>
  <dcterms:modified xsi:type="dcterms:W3CDTF">2026-03-25T13:23:37.188Z</dcterms:modified>
</cp:coreProperties>
</file>

<file path=docProps/custom.xml><?xml version="1.0" encoding="utf-8"?>
<Properties xmlns="http://schemas.openxmlformats.org/officeDocument/2006/custom-properties" xmlns:vt="http://schemas.openxmlformats.org/officeDocument/2006/docPropsVTypes"/>
</file>