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F172A"/>
          <w:sz w:val="52"/>
          <w:szCs w:val="52"/>
        </w:rPr>
        <w:t xml:space="preserve">BidShield</w:t>
      </w:r>
    </w:p>
    <w:p>
      <w:pPr>
        <w:spacing w:after="40"/>
        <w:jc w:val="center"/>
      </w:pPr>
      <w:r>
        <w:rPr>
          <w:rFonts w:ascii="Arial" w:cs="Arial" w:eastAsia="Arial" w:hAnsi="Arial"/>
          <w:color w:val="475569"/>
          <w:sz w:val="36"/>
          <w:szCs w:val="36"/>
        </w:rPr>
        <w:t xml:space="preserve">Inside-App Audit Report</w:t>
      </w:r>
    </w:p>
    <w:p>
      <w:pPr>
        <w:spacing w:after="40"/>
        <w:jc w:val="center"/>
      </w:pPr>
      <w:r>
        <w:rPr>
          <w:rFonts w:ascii="Arial" w:cs="Arial" w:eastAsia="Arial" w:hAnsi="Arial"/>
          <w:i/>
          <w:iCs/>
          <w:color w:val="64748B"/>
          <w:sz w:val="20"/>
          <w:szCs w:val="20"/>
        </w:rPr>
        <w:t xml:space="preserve">Bid Workflow &amp; QA Tool for Commercial Roofing Estimators</w:t>
      </w:r>
    </w:p>
    <w:p>
      <w:pPr>
        <w:spacing w:after="400"/>
        <w:jc w:val="center"/>
      </w:pPr>
      <w:r>
        <w:rPr>
          <w:rFonts w:ascii="Arial" w:cs="Arial" w:eastAsia="Arial" w:hAnsi="Arial"/>
          <w:color w:val="94A3B8"/>
          <w:sz w:val="18"/>
          <w:szCs w:val="18"/>
        </w:rPr>
        <w:t xml:space="preserve">March 24, 2026  |  Prepared for MC2 Agency LLC</w:t>
      </w:r>
    </w:p>
    <w:p>
      <w:pPr>
        <w:pStyle w:val="Heading1"/>
      </w:pPr>
      <w:r>
        <w:t xml:space="preserve">Executive Summary</w:t>
      </w:r>
    </w:p>
    <w:p>
      <w:pPr>
        <w:spacing w:after="120"/>
      </w:pPr>
      <w:r>
        <w:rPr>
          <w:rFonts w:ascii="Arial" w:cs="Arial" w:eastAsia="Arial" w:hAnsi="Arial"/>
          <w:color w:val="374151"/>
          <w:sz w:val="20"/>
          <w:szCs w:val="20"/>
        </w:rPr>
        <w:t xml:space="preserve">This audit examines BidShield as a bid workflow and QA tool that sits between "estimate done" and "bid submitted." BidShield is not an estimating application — it works alongside tools like The EDGE to ensure every bid is complete, defensible, and audit-ready before submission. The audit evaluates how well the current codebase delivers on that promise.</w:t>
      </w:r>
    </w:p>
    <w:p>
      <w:pPr>
        <w:spacing w:after="120"/>
      </w:pPr>
      <w:r>
        <w:rPr>
          <w:rFonts w:ascii="Arial" w:cs="Arial" w:eastAsia="Arial" w:hAnsi="Arial"/>
          <w:color w:val="374151"/>
          <w:sz w:val="20"/>
          <w:szCs w:val="20"/>
        </w:rPr>
        <w:t xml:space="preserve">Across 14 project tabs, 9 AI endpoints, and the full workflow pipeline, this audit identified 58 issues: 5 Critical, 17 High, 19 Medium, and 17 Low. The critical issues undermine core trust — dual scoring algorithms that show different readiness scores, a missing checklist phase, and AI features that silently fail.</w:t>
      </w:r>
    </w:p>
    <w:p>
      <w:pPr>
        <w:spacing w:after="120"/>
      </w:pPr>
      <w:r>
        <w:rPr>
          <w:rFonts w:ascii="Arial" w:cs="Arial" w:eastAsia="Arial" w:hAnsi="Arial"/>
          <w:color w:val="374151"/>
          <w:sz w:val="20"/>
          <w:szCs w:val="20"/>
        </w:rPr>
        <w:t xml:space="preserve">The good news: BidShield's architecture is sound. The Convex real-time backend, the 14-tab project structure, and the AI integration points are well-designed. Most issues are fixable without architectural changes. The critical items should be addressed before the next customer demo.</w:t>
      </w:r>
    </w:p>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center"/>
            </w:pPr>
            <w:r>
              <w:rPr>
                <w:rFonts w:ascii="Arial" w:cs="Arial" w:eastAsia="Arial" w:hAnsi="Arial"/>
                <w:b/>
                <w:bCs/>
                <w:color w:val="991B1B"/>
                <w:sz w:val="22"/>
                <w:szCs w:val="22"/>
              </w:rPr>
              <w:t xml:space="preserve">5 Critical</w:t>
            </w:r>
          </w:p>
        </w:tc>
        <w:tc>
          <w:tcPr>
            <w:tcW w:type="dxa" w:w="23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rPr>
                <w:rFonts w:ascii="Arial" w:cs="Arial" w:eastAsia="Arial" w:hAnsi="Arial"/>
                <w:b/>
                <w:bCs/>
                <w:color w:val="856404"/>
                <w:sz w:val="22"/>
                <w:szCs w:val="22"/>
              </w:rPr>
              <w:t xml:space="preserve">17 High</w:t>
            </w:r>
          </w:p>
        </w:tc>
        <w:tc>
          <w:tcPr>
            <w:tcW w:type="dxa" w:w="234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pPr>
              <w:jc w:val="center"/>
            </w:pPr>
            <w:r>
              <w:rPr>
                <w:rFonts w:ascii="Arial" w:cs="Arial" w:eastAsia="Arial" w:hAnsi="Arial"/>
                <w:b/>
                <w:bCs/>
                <w:color w:val="0C5460"/>
                <w:sz w:val="22"/>
                <w:szCs w:val="22"/>
              </w:rPr>
              <w:t xml:space="preserve">19 Medium</w:t>
            </w:r>
          </w:p>
        </w:tc>
        <w:tc>
          <w:tcPr>
            <w:tcW w:type="dxa" w:w="23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b/>
                <w:bCs/>
                <w:color w:val="155724"/>
                <w:sz w:val="22"/>
                <w:szCs w:val="22"/>
              </w:rPr>
              <w:t xml:space="preserve">17 Low</w:t>
            </w:r>
          </w:p>
        </w:tc>
      </w:tr>
    </w:tbl>
    <w:p>
      <w:r>
        <w:br w:type="page"/>
      </w:r>
    </w:p>
    <w:p>
      <w:pPr>
        <w:pStyle w:val="Heading1"/>
      </w:pPr>
      <w:r>
        <w:t xml:space="preserve">All Issues</w:t>
      </w:r>
    </w:p>
    <w:p>
      <w:pPr>
        <w:spacing w:after="120"/>
      </w:pPr>
      <w:r>
        <w:rPr>
          <w:rFonts w:ascii="Arial" w:cs="Arial" w:eastAsia="Arial" w:hAnsi="Arial"/>
          <w:color w:val="374151"/>
          <w:sz w:val="20"/>
          <w:szCs w:val="20"/>
        </w:rPr>
        <w:t xml:space="preserve">Complete list of findings sorted by severity. Detailed write-ups for Critical and High-priority items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760"/>
        <w:gridCol w:w="2200"/>
      </w:tblGrid>
      <w:tr>
        <w:tc>
          <w:tcPr>
            <w:tcW w:type="dxa" w:w="1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4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47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File / Location</w:t>
            </w:r>
          </w:p>
        </w:tc>
      </w:tr>
      <w:tr>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Checklist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Phase 18 missing from defaults — referenced but never defined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convex/bidshieldDefaults.ts</w:t>
            </w:r>
          </w:p>
        </w:tc>
      </w:tr>
      <w:tr>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Dual scoring algorithms — Validator and Export compute different readiness scores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ValidatorTab.tsx / export/page.tsx</w:t>
            </w:r>
          </w:p>
        </w:tc>
      </w:tr>
      <w:tr>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AI/Labor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Schedule conflict detection has NEVER worked — estimatedDuration not sent to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LaborTab.tsx / analyze-labor</w:t>
            </w:r>
          </w:p>
        </w:tc>
      </w:tr>
      <w:tr>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AI/Materials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PDF upload errors fail silently — console.error only, no user feedback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MaterialsTab.tsx</w:t>
            </w:r>
          </w:p>
        </w:tc>
      </w:tr>
      <w:tr>
        <w:tc>
          <w:tcPr>
            <w:tcW w:type="dxa" w:w="10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vAlign w:val="center"/>
          </w:tcPr>
          <w:p>
            <w:r>
              <w:rPr>
                <w:rFonts w:ascii="Arial" w:cs="Arial" w:eastAsia="Arial" w:hAnsi="Arial"/>
                <w:b/>
                <w:bCs/>
                <w:color w:val="991B1B"/>
                <w:sz w:val="18"/>
                <w:szCs w:val="18"/>
              </w:rPr>
              <w:t xml:space="preserve">Critical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Validator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buildScore() uses estimatedValue but schema defines totalBidAmount — field mismatch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ValidatorTab.tsx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Checklist buried in Phase 4 (QA) — should be the first thing an estimator opens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tab-types.ts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Decision Log orphaned — not assigned to any workflow phase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tab-types.ts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Materials tab in Takeoff phase but is a pricing activity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tab-types.ts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Addenda and RFIs locked to Setup phase but are ongoing throughout bid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tab-types.ts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Validator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buildScore() is ~320 lines and not memoized — recalculates on every render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ValidatorTab.tsx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Validator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15 useQuery subscriptions in one component — excessive data fetching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ValidatorTab.tsx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Validator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loading state — renders null while data loads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ValidatorTab.tsx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Export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Omits quotes, RFIs, Gen Conds, Bid Quals from printed output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export/page.tsx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AI/BidQuals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Sends checklist itemIDs instead of human-readable text — semantic matching always fails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BidQualsTab.tsx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AI/Scope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generate-exclusions fetch does not check res.ok — API errors return empty string silently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ScopeTab.tsx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AI/Addenda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JSON parse failure returns HTTP 200 with empty array — indistinguishable from no impacts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check-addendum-impact/route.ts</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Stats grid uses fixed grid-cols-4 — breaks on mobile viewports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dashboard/page.tsx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Ready % only measures checklist completion, not true bid readiness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dashboard/page.tsx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Onboarding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Welcome copy says bid-day assistant — does not position as QA tool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OnboardingWizard.tsx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Onboarding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References 16-phase checklist but actual count is 17 phases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OnboardingWizard.tsx + NewBidWizard.tsx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Pricing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warning when Materials + Labor + Gen Conds does not equal Total Bid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PricingTab.tsx</w:t>
            </w:r>
          </w:p>
        </w:tc>
      </w:tr>
      <w:tr>
        <w:tc>
          <w:tcPr>
            <w:tcW w:type="dxa" w:w="1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856404"/>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Resilience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Only 1 error boundary in entire dashboard — any crash takes out the whole app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Checklist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Marketed as 134 items but bidshieldDefaults.ts contains ~138 items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convex/bidshieldDefaults.ts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Checklist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Deck filter does not recognize gypsum/tectum despite being onboarding options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bidshieldDefaults.ts lines 510-534</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AI/Materials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AI-extracted numeric fields not validated — strings pass through ?? 0 unchanged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MaterialsTab.tsx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AI/Materials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Debug console.log left in production (_quoteMatchLogCount)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MaterialsTab.tsx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AI/Labor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undo/reset for AI-generated labor tasks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LaborTab.tsx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AI/Labor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Debug log AUTH CHECK ADDED left in production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analyze-labor/route.ts line 9</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AI/Labor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Zod validation on analyze-labor route unlike other AI routes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analyze-labor/route.ts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AI/Extract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Haiku model used for dense table extraction — may underperform on complex PDFs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extract-estimating-report/route.ts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AI/Extract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max_tokens: 4096 may truncate output for 39+ line-item reports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extract-estimating-report/route.ts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AI/Exclusions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generate-exclusions is the only AI route without a system prompt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generate-exclusions/route.ts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AI/GCForm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Silently truncates checklist context at 40 items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extract-gc-form/route.ts line 73</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AI/BidQuals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Addenda numbers derived sequentially instead of from actual records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BidQualsTab.tsx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AI/Lookup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Hardcoded answers for common materials still invoke AI — wastes rate limit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lookup-coverage/route.ts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Pricing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$/SF benchmark compares grossRoofArea (current) vs sqft (historical) — different fields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PricingTab.tsx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urgency-based sorting for projects approaching bid 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dashboard/page.tsx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Alert notifications are unactionable — no click-through to resolve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dashboard/page.tsx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Overview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Fires 7 queries on mount — could be batched or lazy-loaded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OverviewTab.tsx</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Schema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userId stored as Clerk string not v.id(users) — no referential integrity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convex/schema.ts</w:t>
            </w:r>
          </w:p>
        </w:tc>
      </w:tr>
      <w:tr>
        <w:tc>
          <w:tcPr>
            <w:tcW w:type="dxa" w:w="100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vAlign w:val="center"/>
          </w:tcPr>
          <w:p>
            <w:r>
              <w:rPr>
                <w:rFonts w:ascii="Arial" w:cs="Arial" w:eastAsia="Arial" w:hAnsi="Arial"/>
                <w:b/>
                <w:bCs/>
                <w:color w:val="0C5460"/>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Rate Limit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10 calls/minute shared across all 9 AI endpoints — per Vercel instance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lib/rateLimit.ts</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Sidebar</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Overview and Validator tabs missing from BROWSE_ITEMS sidebar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project/page.tsx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Decision Log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Free plan limited to 5 decisions — too restrictive for real workflows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DecisionLogTab.tsx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AI/Extract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Only validates Array.isArray after JSON.parse — no shape 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extract-estimating-report/route.ts</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Takeoff</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visual indicator when takeoff area exceeds control SF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TakeoffTab.tsx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Export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Uses browser window.print() only — no PDF generation server-side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export/page.tsx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Onboarding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Deck options include gypsum/tectum which checklist filter ignores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OnboardingWizard.tsx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Contact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Calendly URL is placeholder — links to non-existent page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contact page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submission method or portal tracking after bid is marked ready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N/A — missing feature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bid bond tracking capability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N/A — missing feature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pre-bid meeting notes tracker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N/A — missing feature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Workflow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alternate pricing or value-engineering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N/A — missing feature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Dashboard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Welcome card shows on every visit — no dismiss/persistence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dashboard/page.tsx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Materials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bulk import for material lists from CSV or external tools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MaterialsTab.tsx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Quotes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automatic quote expiration alerts or email reminders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QuotesTab.tsx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RFIs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email/notification integration for RFI status changes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RFIsTab.tsx</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AI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AI usage dashboard — users cannot see remaining rate limit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N/A — missing feature</w:t>
            </w:r>
          </w:p>
        </w:tc>
      </w:tr>
      <w:tr>
        <w:tc>
          <w:tcPr>
            <w:tcW w:type="dxa" w:w="1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r>
              <w:rPr>
                <w:rFonts w:ascii="Arial" w:cs="Arial" w:eastAsia="Arial" w:hAnsi="Arial"/>
                <w:b/>
                <w:bCs/>
                <w:color w:val="155724"/>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General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F2937"/>
                <w:sz w:val="18"/>
                <w:szCs w:val="18"/>
              </w:rPr>
              <w:t xml:space="preserve">No keyboard shortcuts for power users navigating between tabs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6B7280"/>
                <w:sz w:val="16"/>
                <w:szCs w:val="16"/>
              </w:rPr>
              <w:t xml:space="preserve">project/page.tsx</w:t>
            </w:r>
          </w:p>
        </w:tc>
      </w:tr>
    </w:tbl>
    <w:p>
      <w:r>
        <w:br w:type="page"/>
      </w:r>
    </w:p>
    <w:p>
      <w:pPr>
        <w:pStyle w:val="Heading1"/>
      </w:pPr>
      <w:r>
        <w:t xml:space="preserve">Critical Issues — Detailed</w:t>
      </w:r>
    </w:p>
    <w:p>
      <w:pPr>
        <w:spacing w:after="120"/>
      </w:pPr>
      <w:r>
        <w:rPr>
          <w:rFonts w:ascii="Arial" w:cs="Arial" w:eastAsia="Arial" w:hAnsi="Arial"/>
          <w:color w:val="374151"/>
          <w:sz w:val="20"/>
          <w:szCs w:val="20"/>
        </w:rPr>
        <w:t xml:space="preserve">These 5 issues break core functionality or undermine the trust that BidShield's QA promise depends on. Fix before next customer-facing demo.</w:t>
      </w:r>
    </w:p>
    <w:p>
      <w:pPr>
        <w:spacing w:after="60" w:before="200"/>
      </w:pPr>
      <w:r>
        <w:rPr>
          <w:rFonts w:ascii="Arial" w:cs="Arial" w:eastAsia="Arial" w:hAnsi="Arial"/>
          <w:b/>
          <w:bCs/>
          <w:color w:val="0F172A"/>
          <w:sz w:val="20"/>
          <w:szCs w:val="20"/>
        </w:rPr>
        <w:t xml:space="preserve">1. Phase 18 Missing from Checklist Defaults</w:t>
      </w:r>
    </w:p>
    <w:p>
      <w:pPr>
        <w:spacing w:after="60"/>
      </w:pPr>
      <w:r>
        <w:rPr>
          <w:rFonts w:ascii="Arial" w:cs="Arial" w:eastAsia="Arial" w:hAnsi="Arial"/>
          <w:color w:val="374151"/>
          <w:sz w:val="18"/>
          <w:szCs w:val="18"/>
        </w:rPr>
        <w:t xml:space="preserve">bidshieldDefaults.ts defines 17 phases (1-17) but Phase 18 is referenced in code paths and marketed materials. This means an entire QA phase is silently absent from every new project. Estimators working through the checklist will never see Phase 18 items, creating a gap in the QA coverage that BidShield promises.</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convex/bidshieldDefaults.ts</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Add Phase 18 definition with its items. Audit marketing to confirm whether the correct count is 17 or 18 phases, then update all references (OnboardingWizard says 16, marketing says 18).</w:t>
      </w:r>
    </w:p>
    <w:p>
      <w:pPr>
        <w:spacing w:after="60" w:before="200"/>
      </w:pPr>
      <w:r>
        <w:rPr>
          <w:rFonts w:ascii="Arial" w:cs="Arial" w:eastAsia="Arial" w:hAnsi="Arial"/>
          <w:b/>
          <w:bCs/>
          <w:color w:val="0F172A"/>
          <w:sz w:val="20"/>
          <w:szCs w:val="20"/>
        </w:rPr>
        <w:t xml:space="preserve">2. Dual Scoring Algorithms — Validator vs Export</w:t>
      </w:r>
    </w:p>
    <w:p>
      <w:pPr>
        <w:spacing w:after="60"/>
      </w:pPr>
      <w:r>
        <w:rPr>
          <w:rFonts w:ascii="Arial" w:cs="Arial" w:eastAsia="Arial" w:hAnsi="Arial"/>
          <w:color w:val="374151"/>
          <w:sz w:val="18"/>
          <w:szCs w:val="18"/>
        </w:rPr>
        <w:t xml:space="preserve">ValidatorTab.tsx and export/page.tsx each compute their own readiness score using DIFFERENT weights and criteria. An estimator could see 92% ready on the Validator tab but a different score on the export printout. This directly undermines trust in BidShield's core QA gate.</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ValidatorTab.tsx (buildScore ~320 lines) and export/page.tsx</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Extract scoring into a single shared utility function. Both Validator and Export should call the same function. Add a test that asserts both views produce identical scores for the same project state.</w:t>
      </w:r>
    </w:p>
    <w:p>
      <w:pPr>
        <w:spacing w:after="60" w:before="200"/>
      </w:pPr>
      <w:r>
        <w:rPr>
          <w:rFonts w:ascii="Arial" w:cs="Arial" w:eastAsia="Arial" w:hAnsi="Arial"/>
          <w:b/>
          <w:bCs/>
          <w:color w:val="0F172A"/>
          <w:sz w:val="20"/>
          <w:szCs w:val="20"/>
        </w:rPr>
        <w:t xml:space="preserve">3. Schedule Conflict Detection Never Works</w:t>
      </w:r>
    </w:p>
    <w:p>
      <w:pPr>
        <w:spacing w:after="60"/>
      </w:pPr>
      <w:r>
        <w:rPr>
          <w:rFonts w:ascii="Arial" w:cs="Arial" w:eastAsia="Arial" w:hAnsi="Arial"/>
          <w:color w:val="374151"/>
          <w:sz w:val="18"/>
          <w:szCs w:val="18"/>
        </w:rPr>
        <w:t xml:space="preserve">The analyze-labor API accepts an estimatedDuration parameter for detecting schedule conflicts, but LaborTab.tsx never sends it. This means the schedule conflict detection feature — a key selling point of labor verification — has never actually functioned in production.</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LaborTab.tsx (API call) and app/api/bidshield/analyze-labor/route.ts</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Wire up estimatedDuration from the project data to the API call. Add validation on the API side to handle missing values gracefully.</w:t>
      </w:r>
    </w:p>
    <w:p>
      <w:pPr>
        <w:spacing w:after="60" w:before="200"/>
      </w:pPr>
      <w:r>
        <w:rPr>
          <w:rFonts w:ascii="Arial" w:cs="Arial" w:eastAsia="Arial" w:hAnsi="Arial"/>
          <w:b/>
          <w:bCs/>
          <w:color w:val="0F172A"/>
          <w:sz w:val="20"/>
          <w:szCs w:val="20"/>
        </w:rPr>
        <w:t xml:space="preserve">4. Material Reconciliation PDF Upload Fails Silently</w:t>
      </w:r>
    </w:p>
    <w:p>
      <w:pPr>
        <w:spacing w:after="60"/>
      </w:pPr>
      <w:r>
        <w:rPr>
          <w:rFonts w:ascii="Arial" w:cs="Arial" w:eastAsia="Arial" w:hAnsi="Arial"/>
          <w:color w:val="374151"/>
          <w:sz w:val="18"/>
          <w:szCs w:val="18"/>
        </w:rPr>
        <w:t xml:space="preserve">When PDF extraction fails in MaterialsTab.tsx, the error is caught and logged to console.error with no user-facing feedback. The estimator uploads a PDF, sees nothing happen, and has no idea the extraction failed. They may proceed thinking materials were reconciled when they were not.</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MaterialsTab.tsx (PDF upload handler)</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Add a toast/banner error state that displays when extraction fails. Include the error type (malformed PDF, too large, extraction timeout) so users know what to try next.</w:t>
      </w:r>
    </w:p>
    <w:p>
      <w:pPr>
        <w:spacing w:after="60" w:before="200"/>
      </w:pPr>
      <w:r>
        <w:rPr>
          <w:rFonts w:ascii="Arial" w:cs="Arial" w:eastAsia="Arial" w:hAnsi="Arial"/>
          <w:b/>
          <w:bCs/>
          <w:color w:val="0F172A"/>
          <w:sz w:val="20"/>
          <w:szCs w:val="20"/>
        </w:rPr>
        <w:t xml:space="preserve">5. Validator Field Mismatch — estimatedValue vs totalBidAmount</w:t>
      </w:r>
    </w:p>
    <w:p>
      <w:pPr>
        <w:spacing w:after="60"/>
      </w:pPr>
      <w:r>
        <w:rPr>
          <w:rFonts w:ascii="Arial" w:cs="Arial" w:eastAsia="Arial" w:hAnsi="Arial"/>
          <w:color w:val="374151"/>
          <w:sz w:val="18"/>
          <w:szCs w:val="18"/>
        </w:rPr>
        <w:t xml:space="preserve">ValidatorTab.tsx references project.estimatedValue but the Convex schema defines the field as totalBidAmount. This means the Validator's bid amount checks may silently read undefined, causing the readiness score to mark pricing as incomplete even when it has been entered.</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ValidatorTab.tsx and convex/schema.ts</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Align field names across the codebase. Search for all uses of estimatedValue and update to totalBidAmount (or vice versa, whichever the schema defines).</w:t>
      </w:r>
    </w:p>
    <w:p>
      <w:r>
        <w:br w:type="page"/>
      </w:r>
    </w:p>
    <w:p>
      <w:pPr>
        <w:pStyle w:val="Heading1"/>
      </w:pPr>
      <w:r>
        <w:t xml:space="preserve">High Priority Issues — Selected Details</w:t>
      </w:r>
    </w:p>
    <w:p>
      <w:pPr>
        <w:spacing w:after="120"/>
      </w:pPr>
      <w:r>
        <w:rPr>
          <w:rFonts w:ascii="Arial" w:cs="Arial" w:eastAsia="Arial" w:hAnsi="Arial"/>
          <w:color w:val="374151"/>
          <w:sz w:val="20"/>
          <w:szCs w:val="20"/>
        </w:rPr>
        <w:t xml:space="preserve">These issues significantly degrade the user experience or leave important features non-functional. Plan fixes within the next sprint.</w:t>
      </w:r>
    </w:p>
    <w:p>
      <w:pPr>
        <w:spacing w:after="60" w:before="200"/>
      </w:pPr>
      <w:r>
        <w:rPr>
          <w:rFonts w:ascii="Arial" w:cs="Arial" w:eastAsia="Arial" w:hAnsi="Arial"/>
          <w:b/>
          <w:bCs/>
          <w:color w:val="0F172A"/>
          <w:sz w:val="20"/>
          <w:szCs w:val="20"/>
        </w:rPr>
        <w:t xml:space="preserve">6. Checklist Buried in Phase 4 Instead of Phase 1</w:t>
      </w:r>
    </w:p>
    <w:p>
      <w:pPr>
        <w:spacing w:after="60"/>
      </w:pPr>
      <w:r>
        <w:rPr>
          <w:rFonts w:ascii="Arial" w:cs="Arial" w:eastAsia="Arial" w:hAnsi="Arial"/>
          <w:color w:val="374151"/>
          <w:sz w:val="18"/>
          <w:szCs w:val="18"/>
        </w:rPr>
        <w:t xml:space="preserve">The 134-item QA checklist is BidShield's core value proposition, yet tab-types.ts places it in Phase 4 (QA). An estimator opening a new project sees Setup tabs first, not the checklist. The checklist should be the first thing they interact with.</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tab-types.ts (phase/tab assignments)</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Move Checklist to Phase 1 or make it the default landing tab for new projects.</w:t>
      </w:r>
    </w:p>
    <w:p>
      <w:pPr>
        <w:spacing w:after="60" w:before="200"/>
      </w:pPr>
      <w:r>
        <w:rPr>
          <w:rFonts w:ascii="Arial" w:cs="Arial" w:eastAsia="Arial" w:hAnsi="Arial"/>
          <w:b/>
          <w:bCs/>
          <w:color w:val="0F172A"/>
          <w:sz w:val="20"/>
          <w:szCs w:val="20"/>
        </w:rPr>
        <w:t xml:space="preserve">7. Decision Log Not Assigned to Any Phase</w:t>
      </w:r>
    </w:p>
    <w:p>
      <w:pPr>
        <w:spacing w:after="60"/>
      </w:pPr>
      <w:r>
        <w:rPr>
          <w:rFonts w:ascii="Arial" w:cs="Arial" w:eastAsia="Arial" w:hAnsi="Arial"/>
          <w:color w:val="374151"/>
          <w:sz w:val="18"/>
          <w:szCs w:val="18"/>
        </w:rPr>
        <w:t xml:space="preserve">The Decision Log tab has no phase assignment in tab-types.ts, making it an orphaned feature. It does not appear in any workflow progression, so estimators may not discover it unless they manually browse all tabs.</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tab-types.ts</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Assign Decision Log to a phase (likely QA or a new persistent/cross-phase category) and ensure it appears in the workflow sidebar.</w:t>
      </w:r>
    </w:p>
    <w:p>
      <w:pPr>
        <w:spacing w:after="60" w:before="200"/>
      </w:pPr>
      <w:r>
        <w:rPr>
          <w:rFonts w:ascii="Arial" w:cs="Arial" w:eastAsia="Arial" w:hAnsi="Arial"/>
          <w:b/>
          <w:bCs/>
          <w:color w:val="0F172A"/>
          <w:sz w:val="20"/>
          <w:szCs w:val="20"/>
        </w:rPr>
        <w:t xml:space="preserve">8. BidQuals Sends Machine IDs Instead of Human Text</w:t>
      </w:r>
    </w:p>
    <w:p>
      <w:pPr>
        <w:spacing w:after="60"/>
      </w:pPr>
      <w:r>
        <w:rPr>
          <w:rFonts w:ascii="Arial" w:cs="Arial" w:eastAsia="Arial" w:hAnsi="Arial"/>
          <w:color w:val="374151"/>
          <w:sz w:val="18"/>
          <w:szCs w:val="18"/>
        </w:rPr>
        <w:t xml:space="preserve">BidQualsTab.tsx sends checklist itemIDs (e.g., phase1_item3) to the AI for semantic matching against GC bid form requirements. The AI cannot match machine identifiers to human-readable form fields, so foundInChecklist always returns false. The entire cross-reference feature is non-functional.</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BidQualsTab.tsx</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Send the human-readable checklist item text (item.label or item.description) instead of the item ID. Verify the AI response mapping works with a test bid form.</w:t>
      </w:r>
    </w:p>
    <w:p>
      <w:pPr>
        <w:spacing w:after="60" w:before="200"/>
      </w:pPr>
      <w:r>
        <w:rPr>
          <w:rFonts w:ascii="Arial" w:cs="Arial" w:eastAsia="Arial" w:hAnsi="Arial"/>
          <w:b/>
          <w:bCs/>
          <w:color w:val="0F172A"/>
          <w:sz w:val="20"/>
          <w:szCs w:val="20"/>
        </w:rPr>
        <w:t xml:space="preserve">9. Only 1 Error Boundary in Entire Dashboard</w:t>
      </w:r>
    </w:p>
    <w:p>
      <w:pPr>
        <w:spacing w:after="60"/>
      </w:pPr>
      <w:r>
        <w:rPr>
          <w:rFonts w:ascii="Arial" w:cs="Arial" w:eastAsia="Arial" w:hAnsi="Arial"/>
          <w:color w:val="374151"/>
          <w:sz w:val="18"/>
          <w:szCs w:val="18"/>
        </w:rPr>
        <w:t xml:space="preserve">A single uncaught error in any tab component crashes the entire BidShield dashboard. With 14 tabs and heavy AI integration (which can return unexpected responses), this is a high-risk reliability gap.</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dashboard/ (global layout)</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Add error boundaries around each tab component. Consider a per-tab fallback UI that shows the error and offers a retry button.</w:t>
      </w:r>
    </w:p>
    <w:p>
      <w:pPr>
        <w:spacing w:after="60" w:before="200"/>
      </w:pPr>
      <w:r>
        <w:rPr>
          <w:rFonts w:ascii="Arial" w:cs="Arial" w:eastAsia="Arial" w:hAnsi="Arial"/>
          <w:b/>
          <w:bCs/>
          <w:color w:val="0F172A"/>
          <w:sz w:val="20"/>
          <w:szCs w:val="20"/>
        </w:rPr>
        <w:t xml:space="preserve">10. Export Omits Key Bid Sections</w:t>
      </w:r>
    </w:p>
    <w:p>
      <w:pPr>
        <w:spacing w:after="60"/>
      </w:pPr>
      <w:r>
        <w:rPr>
          <w:rFonts w:ascii="Arial" w:cs="Arial" w:eastAsia="Arial" w:hAnsi="Arial"/>
          <w:color w:val="374151"/>
          <w:sz w:val="18"/>
          <w:szCs w:val="18"/>
        </w:rPr>
        <w:t xml:space="preserve">The export/print view skips quotes, RFIs, Gen Conds, and Bid Quals. When an estimator prints their bid package for PM review, these sections are missing — defeating the purpose of BidShield as a complete QA record.</w:t>
      </w:r>
    </w:p>
    <w:p>
      <w:pPr>
        <w:spacing w:after="40"/>
      </w:pPr>
      <w:r>
        <w:rPr>
          <w:rFonts w:ascii="Arial" w:cs="Arial" w:eastAsia="Arial" w:hAnsi="Arial"/>
          <w:b/>
          <w:bCs/>
          <w:color w:val="6B7280"/>
          <w:sz w:val="16"/>
          <w:szCs w:val="16"/>
        </w:rPr>
        <w:t xml:space="preserve">File: </w:t>
      </w:r>
      <w:r>
        <w:rPr>
          <w:rFonts w:ascii="Arial" w:cs="Arial" w:eastAsia="Arial" w:hAnsi="Arial"/>
          <w:color w:val="6B7280"/>
          <w:sz w:val="16"/>
          <w:szCs w:val="16"/>
        </w:rPr>
        <w:t xml:space="preserve">export/page.tsx</w:t>
      </w:r>
    </w:p>
    <w:p>
      <w:pPr>
        <w:spacing w:after="100"/>
      </w:pPr>
      <w:r>
        <w:rPr>
          <w:rFonts w:ascii="Arial" w:cs="Arial" w:eastAsia="Arial" w:hAnsi="Arial"/>
          <w:b/>
          <w:bCs/>
          <w:color w:val="166534"/>
          <w:sz w:val="18"/>
          <w:szCs w:val="18"/>
        </w:rPr>
        <w:t xml:space="preserve">Fix: </w:t>
      </w:r>
      <w:r>
        <w:rPr>
          <w:rFonts w:ascii="Arial" w:cs="Arial" w:eastAsia="Arial" w:hAnsi="Arial"/>
          <w:color w:val="166534"/>
          <w:sz w:val="18"/>
          <w:szCs w:val="18"/>
        </w:rPr>
        <w:t xml:space="preserve">Add all tab data to the export view, or at minimum add a section selector so users choose what to include.</w:t>
      </w:r>
    </w:p>
    <w:p>
      <w:r>
        <w:br w:type="page"/>
      </w:r>
    </w:p>
    <w:p>
      <w:pPr>
        <w:pStyle w:val="Heading1"/>
      </w:pPr>
      <w:r>
        <w:t xml:space="preserve">Recommended Fix Priority</w:t>
      </w:r>
    </w:p>
    <w:p>
      <w:pPr>
        <w:pStyle w:val="Heading2"/>
      </w:pPr>
      <w:r>
        <w:t xml:space="preserve">Sprint 1: Trust &amp; Core QA (1-2 weeks)</w:t>
      </w:r>
    </w:p>
    <w:p>
      <w:pPr>
        <w:pStyle w:val="ListParagraph"/>
        <w:numPr>
          <w:ilvl w:val="0"/>
          <w:numId w:val="2"/>
        </w:numPr>
      </w:pPr>
      <w:r>
        <w:rPr>
          <w:rFonts w:ascii="Arial" w:cs="Arial" w:eastAsia="Arial" w:hAnsi="Arial"/>
          <w:sz w:val="20"/>
          <w:szCs w:val="20"/>
        </w:rPr>
        <w:t xml:space="preserve">Unify scoring algorithm — single shared function for Validator and Export</w:t>
      </w:r>
    </w:p>
    <w:p>
      <w:pPr>
        <w:pStyle w:val="ListParagraph"/>
        <w:numPr>
          <w:ilvl w:val="0"/>
          <w:numId w:val="2"/>
        </w:numPr>
      </w:pPr>
      <w:r>
        <w:rPr>
          <w:rFonts w:ascii="Arial" w:cs="Arial" w:eastAsia="Arial" w:hAnsi="Arial"/>
          <w:sz w:val="20"/>
          <w:szCs w:val="20"/>
        </w:rPr>
        <w:t xml:space="preserve">Fix estimatedValue vs totalBidAmount field mismatch across all files</w:t>
      </w:r>
    </w:p>
    <w:p>
      <w:pPr>
        <w:pStyle w:val="ListParagraph"/>
        <w:numPr>
          <w:ilvl w:val="0"/>
          <w:numId w:val="2"/>
        </w:numPr>
      </w:pPr>
      <w:r>
        <w:rPr>
          <w:rFonts w:ascii="Arial" w:cs="Arial" w:eastAsia="Arial" w:hAnsi="Arial"/>
          <w:sz w:val="20"/>
          <w:szCs w:val="20"/>
        </w:rPr>
        <w:t xml:space="preserve">Add Phase 18 to checklist defaults and correct phase count in marketing</w:t>
      </w:r>
    </w:p>
    <w:p>
      <w:pPr>
        <w:pStyle w:val="ListParagraph"/>
        <w:numPr>
          <w:ilvl w:val="0"/>
          <w:numId w:val="2"/>
        </w:numPr>
      </w:pPr>
      <w:r>
        <w:rPr>
          <w:rFonts w:ascii="Arial" w:cs="Arial" w:eastAsia="Arial" w:hAnsi="Arial"/>
          <w:sz w:val="20"/>
          <w:szCs w:val="20"/>
        </w:rPr>
        <w:t xml:space="preserve">Add user-facing error states for all AI features (Materials PDF, Scope, Addenda)</w:t>
      </w:r>
    </w:p>
    <w:p>
      <w:pPr>
        <w:pStyle w:val="ListParagraph"/>
        <w:numPr>
          <w:ilvl w:val="0"/>
          <w:numId w:val="2"/>
        </w:numPr>
      </w:pPr>
      <w:r>
        <w:rPr>
          <w:rFonts w:ascii="Arial" w:cs="Arial" w:eastAsia="Arial" w:hAnsi="Arial"/>
          <w:sz w:val="20"/>
          <w:szCs w:val="20"/>
        </w:rPr>
        <w:t xml:space="preserve">Wire up estimatedDuration to analyze-labor API call</w:t>
      </w:r>
    </w:p>
    <w:p>
      <w:pPr>
        <w:pStyle w:val="Heading2"/>
      </w:pPr>
      <w:r>
        <w:t xml:space="preserve">Sprint 2: Workflow &amp; UX (1-2 weeks)</w:t>
      </w:r>
    </w:p>
    <w:p>
      <w:pPr>
        <w:pStyle w:val="ListParagraph"/>
        <w:numPr>
          <w:ilvl w:val="0"/>
          <w:numId w:val="2"/>
        </w:numPr>
      </w:pPr>
      <w:r>
        <w:rPr>
          <w:rFonts w:ascii="Arial" w:cs="Arial" w:eastAsia="Arial" w:hAnsi="Arial"/>
          <w:sz w:val="20"/>
          <w:szCs w:val="20"/>
        </w:rPr>
        <w:t xml:space="preserve">Reorder phases — Checklist first, Materials in Pricing phase, Addenda/RFIs cross-phase</w:t>
      </w:r>
    </w:p>
    <w:p>
      <w:pPr>
        <w:pStyle w:val="ListParagraph"/>
        <w:numPr>
          <w:ilvl w:val="0"/>
          <w:numId w:val="2"/>
        </w:numPr>
      </w:pPr>
      <w:r>
        <w:rPr>
          <w:rFonts w:ascii="Arial" w:cs="Arial" w:eastAsia="Arial" w:hAnsi="Arial"/>
          <w:sz w:val="20"/>
          <w:szCs w:val="20"/>
        </w:rPr>
        <w:t xml:space="preserve">Fix BidQuals to send human-readable checklist text for AI matching</w:t>
      </w:r>
    </w:p>
    <w:p>
      <w:pPr>
        <w:pStyle w:val="ListParagraph"/>
        <w:numPr>
          <w:ilvl w:val="0"/>
          <w:numId w:val="2"/>
        </w:numPr>
      </w:pPr>
      <w:r>
        <w:rPr>
          <w:rFonts w:ascii="Arial" w:cs="Arial" w:eastAsia="Arial" w:hAnsi="Arial"/>
          <w:sz w:val="20"/>
          <w:szCs w:val="20"/>
        </w:rPr>
        <w:t xml:space="preserve">Add error boundaries per tab to prevent full-dashboard crashes</w:t>
      </w:r>
    </w:p>
    <w:p>
      <w:pPr>
        <w:pStyle w:val="ListParagraph"/>
        <w:numPr>
          <w:ilvl w:val="0"/>
          <w:numId w:val="2"/>
        </w:numPr>
      </w:pPr>
      <w:r>
        <w:rPr>
          <w:rFonts w:ascii="Arial" w:cs="Arial" w:eastAsia="Arial" w:hAnsi="Arial"/>
          <w:sz w:val="20"/>
          <w:szCs w:val="20"/>
        </w:rPr>
        <w:t xml:space="preserve">Include all sections in Export view</w:t>
      </w:r>
    </w:p>
    <w:p>
      <w:pPr>
        <w:pStyle w:val="ListParagraph"/>
        <w:numPr>
          <w:ilvl w:val="0"/>
          <w:numId w:val="2"/>
        </w:numPr>
      </w:pPr>
      <w:r>
        <w:rPr>
          <w:rFonts w:ascii="Arial" w:cs="Arial" w:eastAsia="Arial" w:hAnsi="Arial"/>
          <w:sz w:val="20"/>
          <w:szCs w:val="20"/>
        </w:rPr>
        <w:t xml:space="preserve">Fix dashboard responsive layout (stats grid, mobile)</w:t>
      </w:r>
    </w:p>
    <w:p>
      <w:pPr>
        <w:pStyle w:val="ListParagraph"/>
        <w:numPr>
          <w:ilvl w:val="0"/>
          <w:numId w:val="2"/>
        </w:numPr>
      </w:pPr>
      <w:r>
        <w:rPr>
          <w:rFonts w:ascii="Arial" w:cs="Arial" w:eastAsia="Arial" w:hAnsi="Arial"/>
          <w:sz w:val="20"/>
          <w:szCs w:val="20"/>
        </w:rPr>
        <w:t xml:space="preserve">Update onboarding copy to position as QA tool, fix phase count</w:t>
      </w:r>
    </w:p>
    <w:p>
      <w:pPr>
        <w:pStyle w:val="Heading2"/>
      </w:pPr>
      <w:r>
        <w:t xml:space="preserve">Sprint 3: Polish &amp; AI Reliability (1-2 weeks)</w:t>
      </w:r>
    </w:p>
    <w:p>
      <w:pPr>
        <w:pStyle w:val="ListParagraph"/>
        <w:numPr>
          <w:ilvl w:val="0"/>
          <w:numId w:val="2"/>
        </w:numPr>
      </w:pPr>
      <w:r>
        <w:rPr>
          <w:rFonts w:ascii="Arial" w:cs="Arial" w:eastAsia="Arial" w:hAnsi="Arial"/>
          <w:sz w:val="20"/>
          <w:szCs w:val="20"/>
        </w:rPr>
        <w:t xml:space="preserve">Add Zod validation to analyze-labor route</w:t>
      </w:r>
    </w:p>
    <w:p>
      <w:pPr>
        <w:pStyle w:val="ListParagraph"/>
        <w:numPr>
          <w:ilvl w:val="0"/>
          <w:numId w:val="2"/>
        </w:numPr>
      </w:pPr>
      <w:r>
        <w:rPr>
          <w:rFonts w:ascii="Arial" w:cs="Arial" w:eastAsia="Arial" w:hAnsi="Arial"/>
          <w:sz w:val="20"/>
          <w:szCs w:val="20"/>
        </w:rPr>
        <w:t xml:space="preserve">Remove debug logs from production (AUTH CHECK ADDED, _quoteMatchLogCount)</w:t>
      </w:r>
    </w:p>
    <w:p>
      <w:pPr>
        <w:pStyle w:val="ListParagraph"/>
        <w:numPr>
          <w:ilvl w:val="0"/>
          <w:numId w:val="2"/>
        </w:numPr>
      </w:pPr>
      <w:r>
        <w:rPr>
          <w:rFonts w:ascii="Arial" w:cs="Arial" w:eastAsia="Arial" w:hAnsi="Arial"/>
          <w:sz w:val="20"/>
          <w:szCs w:val="20"/>
        </w:rPr>
        <w:t xml:space="preserve">Add system prompt to generate-exclusions route</w:t>
      </w:r>
    </w:p>
    <w:p>
      <w:pPr>
        <w:pStyle w:val="ListParagraph"/>
        <w:numPr>
          <w:ilvl w:val="0"/>
          <w:numId w:val="2"/>
        </w:numPr>
      </w:pPr>
      <w:r>
        <w:rPr>
          <w:rFonts w:ascii="Arial" w:cs="Arial" w:eastAsia="Arial" w:hAnsi="Arial"/>
          <w:sz w:val="20"/>
          <w:szCs w:val="20"/>
        </w:rPr>
        <w:t xml:space="preserve">Fix numeric field validation for AI-extracted material data</w:t>
      </w:r>
    </w:p>
    <w:p>
      <w:pPr>
        <w:pStyle w:val="ListParagraph"/>
        <w:numPr>
          <w:ilvl w:val="0"/>
          <w:numId w:val="2"/>
        </w:numPr>
      </w:pPr>
      <w:r>
        <w:rPr>
          <w:rFonts w:ascii="Arial" w:cs="Arial" w:eastAsia="Arial" w:hAnsi="Arial"/>
          <w:sz w:val="20"/>
          <w:szCs w:val="20"/>
        </w:rPr>
        <w:t xml:space="preserve">Short-circuit rate limit for hardcoded material lookups</w:t>
      </w:r>
    </w:p>
    <w:p>
      <w:pPr>
        <w:pStyle w:val="ListParagraph"/>
        <w:numPr>
          <w:ilvl w:val="0"/>
          <w:numId w:val="2"/>
        </w:numPr>
      </w:pPr>
      <w:r>
        <w:rPr>
          <w:rFonts w:ascii="Arial" w:cs="Arial" w:eastAsia="Arial" w:hAnsi="Arial"/>
          <w:sz w:val="20"/>
          <w:szCs w:val="20"/>
        </w:rPr>
        <w:t xml:space="preserve">Add Pricing tab sanity check (Materials + Labor + GenConds vs Total)</w:t>
      </w:r>
    </w:p>
    <w:p>
      <w:pPr>
        <w:pStyle w:val="ListParagraph"/>
        <w:numPr>
          <w:ilvl w:val="0"/>
          <w:numId w:val="2"/>
        </w:numPr>
      </w:pPr>
      <w:r>
        <w:rPr>
          <w:rFonts w:ascii="Arial" w:cs="Arial" w:eastAsia="Arial" w:hAnsi="Arial"/>
          <w:sz w:val="20"/>
          <w:szCs w:val="20"/>
        </w:rPr>
        <w:t xml:space="preserve">Memoize buildScore() and reduce Validator query count</w:t>
      </w:r>
    </w:p>
    <w:p>
      <w:pPr>
        <w:spacing w:before="600"/>
      </w:pPr>
    </w:p>
    <w:p>
      <w:pPr>
        <w:pBdr>
          <w:top w:val="single" w:color="E2E8F0" w:sz="1" w:space="8"/>
        </w:pBdr>
        <w:spacing w:before="200"/>
      </w:pPr>
      <w:r>
        <w:rPr>
          <w:rFonts w:ascii="Arial" w:cs="Arial" w:eastAsia="Arial" w:hAnsi="Arial"/>
          <w:i/>
          <w:iCs/>
          <w:color w:val="94A3B8"/>
          <w:sz w:val="18"/>
          <w:szCs w:val="18"/>
        </w:rPr>
        <w:t xml:space="preserve">This audit was conducted by reviewing the BidShield codebase across 60+ source files, evaluating each feature from the perspective of a commercial roofing estimator using BidShield as their bid QA workflow tool.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BidShield Inside-App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2026-03-24T20:01:22.011Z</dcterms:created>
  <dcterms:modified xsi:type="dcterms:W3CDTF">2026-03-24T20:01:22.011Z</dcterms:modified>
</cp:coreProperties>
</file>

<file path=docProps/custom.xml><?xml version="1.0" encoding="utf-8"?>
<Properties xmlns="http://schemas.openxmlformats.org/officeDocument/2006/custom-properties" xmlns:vt="http://schemas.openxmlformats.org/officeDocument/2006/docPropsVTypes"/>
</file>