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BDC4F">
      <w:pPr>
        <w:pStyle w:val="31"/>
        <w:spacing w:before="320" w:after="40"/>
        <w:jc w:val="both"/>
        <w:rPr>
          <w:rFonts w:ascii="Times New Roman" w:hAnsi="Times New Roman" w:eastAsia="Times New Roman"/>
          <w:b/>
          <w:color w:val="000000"/>
          <w:sz w:val="34"/>
        </w:rPr>
      </w:pPr>
    </w:p>
    <w:p w14:paraId="5F5171F2">
      <w:pPr>
        <w:pStyle w:val="31"/>
        <w:spacing w:before="320" w:after="40"/>
        <w:jc w:val="center"/>
      </w:pPr>
      <w:r>
        <w:rPr>
          <w:rFonts w:ascii="Times New Roman" w:hAnsi="Times New Roman" w:eastAsia="Times New Roman"/>
          <w:b/>
          <w:color w:val="000000"/>
          <w:sz w:val="34"/>
        </w:rPr>
        <w:t>Chicago Severe Traffic Crash Patterns 2024 to 2025</w:t>
      </w:r>
    </w:p>
    <w:p w14:paraId="5B1ECD14">
      <w:pPr>
        <w:spacing w:after="240"/>
        <w:jc w:val="center"/>
      </w:pPr>
      <w:r>
        <w:rPr>
          <w:rFonts w:ascii="Times New Roman" w:hAnsi="Times New Roman" w:eastAsia="Times New Roman"/>
          <w:color w:val="000000"/>
          <w:sz w:val="23"/>
        </w:rPr>
        <w:t>Environmental, Temporal, Road User, Demographic and Spatial Patterns</w:t>
      </w:r>
    </w:p>
    <w:p w14:paraId="57A69401">
      <w:pPr>
        <w:spacing w:after="40"/>
        <w:jc w:val="center"/>
      </w:pPr>
      <w:r>
        <w:rPr>
          <w:rFonts w:ascii="Times New Roman" w:hAnsi="Times New Roman" w:eastAsia="Times New Roman"/>
          <w:b/>
          <w:color w:val="000000"/>
          <w:sz w:val="23"/>
        </w:rPr>
        <w:t>CISC7204 Data Science and Data Visualization</w:t>
      </w:r>
    </w:p>
    <w:p w14:paraId="406BCFE7">
      <w:pPr>
        <w:spacing w:after="40"/>
        <w:jc w:val="center"/>
      </w:pPr>
      <w:r>
        <w:rPr>
          <w:rFonts w:ascii="Times New Roman" w:hAnsi="Times New Roman" w:eastAsia="Times New Roman"/>
          <w:b w:val="0"/>
          <w:color w:val="000000"/>
          <w:sz w:val="23"/>
        </w:rPr>
        <w:t>Assignment 02 Revised Pair Project Proposal</w:t>
      </w:r>
    </w:p>
    <w:p w14:paraId="0B48D2A7">
      <w:pPr>
        <w:spacing w:after="40"/>
        <w:jc w:val="center"/>
      </w:pPr>
      <w:r>
        <w:rPr>
          <w:rFonts w:ascii="Times New Roman" w:hAnsi="Times New Roman" w:eastAsia="Times New Roman"/>
          <w:b w:val="0"/>
          <w:color w:val="000000"/>
          <w:sz w:val="23"/>
        </w:rPr>
        <w:t>MC631517 Tang I Choi    MC637132 TAN MIN FAI</w:t>
      </w:r>
    </w:p>
    <w:p w14:paraId="62123AE6">
      <w:pPr>
        <w:pStyle w:val="3"/>
        <w:keepNext/>
        <w:spacing w:before="140" w:after="80"/>
        <w:rPr>
          <w:rFonts w:ascii="Times New Roman" w:hAnsi="Times New Roman" w:eastAsia="Times New Roman"/>
          <w:b/>
          <w:color w:val="000000"/>
          <w:sz w:val="28"/>
        </w:rPr>
      </w:pPr>
    </w:p>
    <w:p w14:paraId="47BFDC3A">
      <w:pPr>
        <w:pStyle w:val="3"/>
        <w:keepNext/>
        <w:spacing w:before="140" w:after="80"/>
      </w:pPr>
      <w:r>
        <w:rPr>
          <w:rFonts w:ascii="Times New Roman" w:hAnsi="Times New Roman" w:eastAsia="Times New Roman"/>
          <w:b/>
          <w:color w:val="000000"/>
          <w:sz w:val="28"/>
        </w:rPr>
        <w:t>1 Project Topic Name</w:t>
      </w:r>
    </w:p>
    <w:p w14:paraId="40F3FDB7">
      <w:pPr>
        <w:keepNext w:val="0"/>
        <w:spacing w:after="100" w:line="259" w:lineRule="auto"/>
        <w:jc w:val="both"/>
      </w:pPr>
      <w:r>
        <w:rPr>
          <w:rFonts w:ascii="Times New Roman" w:hAnsi="Times New Roman" w:eastAsia="Times New Roman"/>
          <w:b/>
          <w:color w:val="000000"/>
          <w:sz w:val="23"/>
        </w:rPr>
        <w:t>Visualizing Severe Traffic Crash Patterns in Chicago 2024 to 2025</w:t>
      </w:r>
    </w:p>
    <w:p w14:paraId="0B36C9ED">
      <w:pPr>
        <w:keepNext w:val="0"/>
        <w:spacing w:after="100" w:line="259" w:lineRule="auto"/>
        <w:jc w:val="both"/>
      </w:pPr>
      <w:r>
        <w:rPr>
          <w:rFonts w:ascii="Times New Roman" w:hAnsi="Times New Roman" w:eastAsia="Times New Roman"/>
          <w:b/>
          <w:color w:val="000000"/>
          <w:sz w:val="23"/>
        </w:rPr>
        <w:t xml:space="preserve">Research question  </w:t>
      </w:r>
      <w:r>
        <w:rPr>
          <w:rFonts w:ascii="Times New Roman" w:hAnsi="Times New Roman" w:eastAsia="Times New Roman"/>
          <w:color w:val="000000"/>
          <w:sz w:val="23"/>
        </w:rPr>
        <w:t>Where and under which temporal, environmental, road user, and demographic conditions were severe traffic crashes and injuries disproportionately represented in Chicago during 2024 and 2025?</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876"/>
        <w:gridCol w:w="4876"/>
      </w:tblGrid>
      <w:tr w14:paraId="19F331E3">
        <w:trPr>
          <w:cantSplit/>
          <w:tblHeader/>
          <w:jc w:val="center"/>
        </w:trPr>
        <w:tc>
          <w:tcPr>
            <w:tcW w:w="2268" w:type="dxa"/>
            <w:tcBorders>
              <w:top w:val="nil"/>
              <w:left w:val="nil"/>
              <w:bottom w:val="single" w:color="auto" w:sz="4" w:space="0"/>
              <w:right w:val="nil"/>
            </w:tcBorders>
            <w:shd w:val="clear" w:color="auto" w:fill="D7D7D7" w:themeFill="background1" w:themeFillShade="D8"/>
            <w:tcMar>
              <w:top w:w="90" w:type="dxa"/>
              <w:left w:w="110" w:type="dxa"/>
              <w:bottom w:w="90" w:type="dxa"/>
              <w:right w:w="110" w:type="dxa"/>
            </w:tcMar>
            <w:vAlign w:val="center"/>
          </w:tcPr>
          <w:p w14:paraId="3D9D1CB0">
            <w:pPr>
              <w:spacing w:after="0" w:line="240" w:lineRule="auto"/>
            </w:pPr>
            <w:r>
              <w:rPr>
                <w:rFonts w:ascii="Times New Roman" w:hAnsi="Times New Roman" w:eastAsia="Times New Roman"/>
                <w:b/>
                <w:color w:val="000000"/>
                <w:sz w:val="21"/>
              </w:rPr>
              <w:t>Scope</w:t>
            </w:r>
          </w:p>
        </w:tc>
        <w:tc>
          <w:tcPr>
            <w:tcW w:w="7257" w:type="dxa"/>
            <w:tcBorders>
              <w:top w:val="nil"/>
              <w:left w:val="nil"/>
              <w:bottom w:val="single" w:color="auto" w:sz="4" w:space="0"/>
              <w:right w:val="nil"/>
            </w:tcBorders>
            <w:shd w:val="clear" w:color="auto" w:fill="D7D7D7" w:themeFill="background1" w:themeFillShade="D8"/>
            <w:tcMar>
              <w:top w:w="90" w:type="dxa"/>
              <w:left w:w="110" w:type="dxa"/>
              <w:bottom w:w="90" w:type="dxa"/>
              <w:right w:w="110" w:type="dxa"/>
            </w:tcMar>
            <w:vAlign w:val="center"/>
          </w:tcPr>
          <w:p w14:paraId="654ECA3B">
            <w:pPr>
              <w:spacing w:after="0" w:line="240" w:lineRule="auto"/>
            </w:pPr>
            <w:r>
              <w:rPr>
                <w:rFonts w:ascii="Times New Roman" w:hAnsi="Times New Roman" w:eastAsia="Times New Roman"/>
                <w:b/>
                <w:color w:val="000000"/>
                <w:sz w:val="21"/>
              </w:rPr>
              <w:t>Definition</w:t>
            </w:r>
          </w:p>
        </w:tc>
      </w:tr>
      <w:tr w14:paraId="7FFC307B">
        <w:trPr>
          <w:cantSplit/>
          <w:jc w:val="center"/>
        </w:trPr>
        <w:tc>
          <w:tcPr>
            <w:tcW w:w="2268" w:type="dxa"/>
            <w:tcBorders>
              <w:top w:val="single" w:color="auto" w:sz="4" w:space="0"/>
              <w:left w:val="nil"/>
              <w:bottom w:val="nil"/>
              <w:right w:val="nil"/>
            </w:tcBorders>
            <w:tcMar>
              <w:top w:w="90" w:type="dxa"/>
              <w:left w:w="110" w:type="dxa"/>
              <w:bottom w:w="90" w:type="dxa"/>
              <w:right w:w="110" w:type="dxa"/>
            </w:tcMar>
            <w:vAlign w:val="center"/>
          </w:tcPr>
          <w:p w14:paraId="23057838">
            <w:pPr>
              <w:spacing w:after="0" w:line="240" w:lineRule="auto"/>
            </w:pPr>
            <w:r>
              <w:rPr>
                <w:rFonts w:ascii="Times New Roman" w:hAnsi="Times New Roman" w:eastAsia="Times New Roman"/>
                <w:b w:val="0"/>
                <w:color w:val="000000"/>
                <w:sz w:val="21"/>
              </w:rPr>
              <w:t>Region</w:t>
            </w:r>
          </w:p>
        </w:tc>
        <w:tc>
          <w:tcPr>
            <w:tcW w:w="7257" w:type="dxa"/>
            <w:tcBorders>
              <w:top w:val="single" w:color="auto" w:sz="4" w:space="0"/>
              <w:left w:val="nil"/>
              <w:bottom w:val="nil"/>
              <w:right w:val="nil"/>
            </w:tcBorders>
            <w:tcMar>
              <w:top w:w="90" w:type="dxa"/>
              <w:left w:w="110" w:type="dxa"/>
              <w:bottom w:w="90" w:type="dxa"/>
              <w:right w:w="110" w:type="dxa"/>
            </w:tcMar>
            <w:vAlign w:val="center"/>
          </w:tcPr>
          <w:p w14:paraId="1DAADC1F">
            <w:pPr>
              <w:spacing w:after="0" w:line="240" w:lineRule="auto"/>
            </w:pPr>
            <w:r>
              <w:rPr>
                <w:rFonts w:ascii="Times New Roman" w:hAnsi="Times New Roman" w:eastAsia="Times New Roman"/>
                <w:b w:val="0"/>
                <w:color w:val="000000"/>
                <w:sz w:val="21"/>
              </w:rPr>
              <w:t>Chicago Illinois United States</w:t>
            </w:r>
          </w:p>
        </w:tc>
      </w:tr>
      <w:tr w14:paraId="07E7D0DF">
        <w:trPr>
          <w:cantSplit/>
          <w:jc w:val="center"/>
        </w:trPr>
        <w:tc>
          <w:tcPr>
            <w:tcW w:w="2268" w:type="dxa"/>
            <w:tcBorders>
              <w:top w:val="nil"/>
              <w:left w:val="nil"/>
              <w:bottom w:val="nil"/>
              <w:right w:val="nil"/>
            </w:tcBorders>
            <w:tcMar>
              <w:top w:w="90" w:type="dxa"/>
              <w:left w:w="110" w:type="dxa"/>
              <w:bottom w:w="90" w:type="dxa"/>
              <w:right w:w="110" w:type="dxa"/>
            </w:tcMar>
            <w:vAlign w:val="center"/>
          </w:tcPr>
          <w:p w14:paraId="51EB3343">
            <w:pPr>
              <w:spacing w:after="0" w:line="240" w:lineRule="auto"/>
            </w:pPr>
            <w:r>
              <w:rPr>
                <w:rFonts w:ascii="Times New Roman" w:hAnsi="Times New Roman" w:eastAsia="Times New Roman"/>
                <w:b w:val="0"/>
                <w:color w:val="000000"/>
                <w:sz w:val="21"/>
              </w:rPr>
              <w:t>Domain</w:t>
            </w:r>
          </w:p>
        </w:tc>
        <w:tc>
          <w:tcPr>
            <w:tcW w:w="7257" w:type="dxa"/>
            <w:tcBorders>
              <w:top w:val="nil"/>
              <w:left w:val="nil"/>
              <w:bottom w:val="nil"/>
              <w:right w:val="nil"/>
            </w:tcBorders>
            <w:tcMar>
              <w:top w:w="90" w:type="dxa"/>
              <w:left w:w="110" w:type="dxa"/>
              <w:bottom w:w="90" w:type="dxa"/>
              <w:right w:w="110" w:type="dxa"/>
            </w:tcMar>
            <w:vAlign w:val="center"/>
          </w:tcPr>
          <w:p w14:paraId="06BCA53D">
            <w:pPr>
              <w:spacing w:after="0" w:line="240" w:lineRule="auto"/>
            </w:pPr>
            <w:r>
              <w:rPr>
                <w:rFonts w:ascii="Times New Roman" w:hAnsi="Times New Roman" w:eastAsia="Times New Roman"/>
                <w:b w:val="0"/>
                <w:color w:val="000000"/>
                <w:sz w:val="21"/>
              </w:rPr>
              <w:t>Transportation road safety and public safety</w:t>
            </w:r>
          </w:p>
        </w:tc>
      </w:tr>
      <w:tr w14:paraId="4CAF82FF">
        <w:trPr>
          <w:cantSplit/>
          <w:jc w:val="center"/>
        </w:trPr>
        <w:tc>
          <w:tcPr>
            <w:tcW w:w="2268" w:type="dxa"/>
            <w:tcBorders>
              <w:top w:val="nil"/>
              <w:left w:val="nil"/>
              <w:bottom w:val="nil"/>
              <w:right w:val="nil"/>
            </w:tcBorders>
            <w:tcMar>
              <w:top w:w="90" w:type="dxa"/>
              <w:left w:w="110" w:type="dxa"/>
              <w:bottom w:w="90" w:type="dxa"/>
              <w:right w:w="110" w:type="dxa"/>
            </w:tcMar>
            <w:vAlign w:val="center"/>
          </w:tcPr>
          <w:p w14:paraId="0ACA4337">
            <w:pPr>
              <w:spacing w:after="0" w:line="240" w:lineRule="auto"/>
            </w:pPr>
            <w:r>
              <w:rPr>
                <w:rFonts w:ascii="Times New Roman" w:hAnsi="Times New Roman" w:eastAsia="Times New Roman"/>
                <w:b w:val="0"/>
                <w:color w:val="000000"/>
                <w:sz w:val="21"/>
              </w:rPr>
              <w:t>Study period</w:t>
            </w:r>
          </w:p>
        </w:tc>
        <w:tc>
          <w:tcPr>
            <w:tcW w:w="7257" w:type="dxa"/>
            <w:tcBorders>
              <w:top w:val="nil"/>
              <w:left w:val="nil"/>
              <w:bottom w:val="nil"/>
              <w:right w:val="nil"/>
            </w:tcBorders>
            <w:tcMar>
              <w:top w:w="90" w:type="dxa"/>
              <w:left w:w="110" w:type="dxa"/>
              <w:bottom w:w="90" w:type="dxa"/>
              <w:right w:w="110" w:type="dxa"/>
            </w:tcMar>
            <w:vAlign w:val="center"/>
          </w:tcPr>
          <w:p w14:paraId="7CF31C70">
            <w:pPr>
              <w:spacing w:after="0" w:line="240" w:lineRule="auto"/>
            </w:pPr>
            <w:r>
              <w:rPr>
                <w:rFonts w:ascii="Times New Roman" w:hAnsi="Times New Roman" w:eastAsia="Times New Roman"/>
                <w:b w:val="0"/>
                <w:color w:val="000000"/>
                <w:sz w:val="21"/>
              </w:rPr>
              <w:t>1 January 2024 to 31 December 2025</w:t>
            </w:r>
          </w:p>
        </w:tc>
      </w:tr>
      <w:tr w14:paraId="10EFF8B4">
        <w:trPr>
          <w:cantSplit/>
          <w:jc w:val="center"/>
        </w:trPr>
        <w:tc>
          <w:tcPr>
            <w:tcW w:w="2268" w:type="dxa"/>
            <w:tcBorders>
              <w:top w:val="nil"/>
              <w:left w:val="nil"/>
              <w:bottom w:val="nil"/>
              <w:right w:val="nil"/>
            </w:tcBorders>
            <w:tcMar>
              <w:top w:w="90" w:type="dxa"/>
              <w:left w:w="110" w:type="dxa"/>
              <w:bottom w:w="90" w:type="dxa"/>
              <w:right w:w="110" w:type="dxa"/>
            </w:tcMar>
            <w:vAlign w:val="center"/>
          </w:tcPr>
          <w:p w14:paraId="4307C36D">
            <w:pPr>
              <w:spacing w:after="0" w:line="240" w:lineRule="auto"/>
            </w:pPr>
            <w:r>
              <w:rPr>
                <w:rFonts w:ascii="Times New Roman" w:hAnsi="Times New Roman" w:eastAsia="Times New Roman"/>
                <w:b w:val="0"/>
                <w:color w:val="000000"/>
                <w:sz w:val="21"/>
              </w:rPr>
              <w:t>Analysis units</w:t>
            </w:r>
          </w:p>
        </w:tc>
        <w:tc>
          <w:tcPr>
            <w:tcW w:w="7257" w:type="dxa"/>
            <w:tcBorders>
              <w:top w:val="nil"/>
              <w:left w:val="nil"/>
              <w:bottom w:val="nil"/>
              <w:right w:val="nil"/>
            </w:tcBorders>
            <w:tcMar>
              <w:top w:w="90" w:type="dxa"/>
              <w:left w:w="110" w:type="dxa"/>
              <w:bottom w:w="90" w:type="dxa"/>
              <w:right w:w="110" w:type="dxa"/>
            </w:tcMar>
            <w:vAlign w:val="center"/>
          </w:tcPr>
          <w:p w14:paraId="76EB8076">
            <w:pPr>
              <w:spacing w:after="0" w:line="240" w:lineRule="auto"/>
            </w:pPr>
            <w:r>
              <w:rPr>
                <w:rFonts w:ascii="Times New Roman" w:hAnsi="Times New Roman" w:eastAsia="Times New Roman"/>
                <w:b w:val="0"/>
                <w:color w:val="000000"/>
                <w:sz w:val="21"/>
              </w:rPr>
              <w:t>One record per crash vehicle unit or person as appropriate</w:t>
            </w:r>
          </w:p>
        </w:tc>
      </w:tr>
    </w:tbl>
    <w:p w14:paraId="009D89F6">
      <w:pPr>
        <w:rPr>
          <w:rFonts w:ascii="Times New Roman" w:hAnsi="Times New Roman" w:eastAsia="Times New Roman"/>
          <w:b/>
          <w:color w:val="000000"/>
          <w:sz w:val="28"/>
        </w:rPr>
      </w:pPr>
    </w:p>
    <w:p w14:paraId="3FF822A3">
      <w:r>
        <w:rPr>
          <w:rFonts w:ascii="Times New Roman" w:hAnsi="Times New Roman" w:eastAsia="Times New Roman"/>
          <w:b/>
          <w:color w:val="000000"/>
          <w:sz w:val="28"/>
        </w:rPr>
        <w:t>2 Project Purpose</w:t>
      </w:r>
    </w:p>
    <w:p w14:paraId="11BE2782">
      <w:pPr>
        <w:keepNext w:val="0"/>
        <w:spacing w:after="100" w:line="259" w:lineRule="auto"/>
        <w:jc w:val="both"/>
      </w:pPr>
      <w:r>
        <w:rPr>
          <w:rFonts w:ascii="Times New Roman" w:hAnsi="Times New Roman" w:eastAsia="Times New Roman"/>
          <w:color w:val="000000"/>
          <w:sz w:val="23"/>
        </w:rPr>
        <w:t>The project will convert a large set of police reported records into a concise visual account of when severe crashes occur, which environmental conditions coincide with higher severe crash proportions, which road users experience the highest observed rates, and where severe crashes concentrate. The work supports course learning by connecting data preparation, statistical summaries, visual selection, interactivity, and responsible interpretation in one reproducible notebook.</w:t>
      </w:r>
    </w:p>
    <w:p w14:paraId="201A715F">
      <w:pPr>
        <w:pStyle w:val="4"/>
        <w:keepNext/>
        <w:spacing w:before="100" w:after="80"/>
      </w:pPr>
      <w:r>
        <w:rPr>
          <w:rFonts w:ascii="Times New Roman" w:hAnsi="Times New Roman" w:eastAsia="Times New Roman"/>
          <w:b/>
          <w:color w:val="000000"/>
          <w:sz w:val="24"/>
        </w:rPr>
        <w:t>Learning Outcomes</w:t>
      </w:r>
    </w:p>
    <w:p w14:paraId="65EFB8B9">
      <w:pPr>
        <w:pStyle w:val="16"/>
        <w:spacing w:after="50" w:line="252" w:lineRule="auto"/>
      </w:pPr>
      <w:r>
        <w:rPr>
          <w:rFonts w:ascii="Times New Roman" w:hAnsi="Times New Roman" w:eastAsia="Times New Roman"/>
          <w:color w:val="000000"/>
          <w:sz w:val="22"/>
        </w:rPr>
        <w:t>Formulate a region specific statistical question and match each part of the question to an appropriate visualization.</w:t>
      </w:r>
    </w:p>
    <w:p w14:paraId="4D7367DC">
      <w:pPr>
        <w:pStyle w:val="16"/>
        <w:spacing w:after="50" w:line="252" w:lineRule="auto"/>
      </w:pPr>
      <w:r>
        <w:rPr>
          <w:rFonts w:ascii="Times New Roman" w:hAnsi="Times New Roman" w:eastAsia="Times New Roman"/>
          <w:color w:val="000000"/>
          <w:sz w:val="22"/>
        </w:rPr>
        <w:t>Distinguish crash level, vehicle level, and person level conclusions so that denominators remain valid.</w:t>
      </w:r>
    </w:p>
    <w:p w14:paraId="253A43E6">
      <w:pPr>
        <w:pStyle w:val="16"/>
        <w:spacing w:after="50" w:line="252" w:lineRule="auto"/>
      </w:pPr>
      <w:r>
        <w:rPr>
          <w:rFonts w:ascii="Times New Roman" w:hAnsi="Times New Roman" w:eastAsia="Times New Roman"/>
          <w:color w:val="000000"/>
          <w:sz w:val="22"/>
        </w:rPr>
        <w:t>Present findings with clear labels, counts, rates, and limitations for readers without a data science background.</w:t>
      </w:r>
    </w:p>
    <w:p w14:paraId="6D7A6350">
      <w:pPr>
        <w:pStyle w:val="4"/>
        <w:keepNext/>
        <w:spacing w:before="100" w:after="80"/>
      </w:pPr>
      <w:r>
        <w:rPr>
          <w:rFonts w:ascii="Times New Roman" w:hAnsi="Times New Roman" w:eastAsia="Times New Roman"/>
          <w:b/>
          <w:color w:val="000000"/>
          <w:sz w:val="24"/>
        </w:rPr>
        <w:t>Skills</w:t>
      </w:r>
    </w:p>
    <w:p w14:paraId="4591B1B9">
      <w:pPr>
        <w:keepNext w:val="0"/>
        <w:spacing w:after="80" w:line="259" w:lineRule="auto"/>
        <w:jc w:val="both"/>
      </w:pPr>
      <w:r>
        <w:rPr>
          <w:rFonts w:ascii="Times New Roman" w:hAnsi="Times New Roman" w:eastAsia="Times New Roman"/>
          <w:color w:val="000000"/>
          <w:sz w:val="23"/>
        </w:rPr>
        <w:t>The work practices Pandas selection, missing value review, datetime feature engineering, grouped aggregation, pivot tables, categorical recoding, validated many to one joins, and reproducible summary tables. It also applies Matplotlib, Seaborn, Plotly, and Folium to static, interactive, and geographic outputs.</w:t>
      </w:r>
    </w:p>
    <w:p w14:paraId="7C7DF7F3">
      <w:pPr>
        <w:pStyle w:val="4"/>
        <w:keepNext/>
        <w:spacing w:before="100" w:after="80"/>
      </w:pPr>
      <w:r>
        <w:rPr>
          <w:rFonts w:ascii="Times New Roman" w:hAnsi="Times New Roman" w:eastAsia="Times New Roman"/>
          <w:b/>
          <w:color w:val="000000"/>
          <w:sz w:val="24"/>
        </w:rPr>
        <w:t>Knowledge</w:t>
      </w:r>
    </w:p>
    <w:p w14:paraId="7909220F">
      <w:pPr>
        <w:keepNext w:val="0"/>
        <w:spacing w:after="100" w:line="259" w:lineRule="auto"/>
        <w:jc w:val="both"/>
      </w:pPr>
      <w:r>
        <w:rPr>
          <w:rFonts w:ascii="Times New Roman" w:hAnsi="Times New Roman" w:eastAsia="Times New Roman"/>
          <w:color w:val="000000"/>
          <w:sz w:val="23"/>
        </w:rPr>
        <w:t>The analysis will reinforce the difference between frequency and severity, the effect of observation level on a rate, the instability of small groups, and the limits of observational police data. The results will describe associations and recorded concentrations rather than causal effects or exposure adjusted risk.</w:t>
      </w:r>
    </w:p>
    <w:p w14:paraId="25651193">
      <w:pPr>
        <w:pStyle w:val="4"/>
        <w:keepNext/>
        <w:spacing w:before="100" w:after="80"/>
      </w:pPr>
      <w:r>
        <w:rPr>
          <w:rFonts w:ascii="Times New Roman" w:hAnsi="Times New Roman" w:eastAsia="Times New Roman"/>
          <w:b/>
          <w:color w:val="000000"/>
          <w:sz w:val="24"/>
        </w:rPr>
        <w:t>Data Sources</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38"/>
        <w:gridCol w:w="2438"/>
        <w:gridCol w:w="2438"/>
        <w:gridCol w:w="2438"/>
      </w:tblGrid>
      <w:tr w14:paraId="2DB739CE">
        <w:trPr>
          <w:cantSplit/>
          <w:tblHeader/>
          <w:jc w:val="center"/>
        </w:trPr>
        <w:tc>
          <w:tcPr>
            <w:tcW w:w="2381" w:type="dxa"/>
            <w:tcBorders>
              <w:top w:val="nil"/>
              <w:left w:val="nil"/>
              <w:bottom w:val="single" w:color="auto" w:sz="4" w:space="0"/>
              <w:right w:val="nil"/>
            </w:tcBorders>
            <w:shd w:val="clear" w:color="auto" w:fill="D7D7D7" w:themeFill="background1" w:themeFillShade="D8"/>
            <w:tcMar>
              <w:top w:w="90" w:type="dxa"/>
              <w:left w:w="110" w:type="dxa"/>
              <w:bottom w:w="90" w:type="dxa"/>
              <w:right w:w="110" w:type="dxa"/>
            </w:tcMar>
            <w:vAlign w:val="center"/>
          </w:tcPr>
          <w:p w14:paraId="33F995D2">
            <w:pPr>
              <w:spacing w:after="0" w:line="240" w:lineRule="auto"/>
            </w:pPr>
            <w:r>
              <w:rPr>
                <w:rFonts w:ascii="Times New Roman" w:hAnsi="Times New Roman" w:eastAsia="Times New Roman"/>
                <w:b/>
                <w:color w:val="000000"/>
                <w:sz w:val="20"/>
              </w:rPr>
              <w:t>Dataset</w:t>
            </w:r>
          </w:p>
        </w:tc>
        <w:tc>
          <w:tcPr>
            <w:tcW w:w="1361" w:type="dxa"/>
            <w:tcBorders>
              <w:top w:val="nil"/>
              <w:left w:val="nil"/>
              <w:bottom w:val="single" w:color="auto" w:sz="4" w:space="0"/>
              <w:right w:val="nil"/>
            </w:tcBorders>
            <w:shd w:val="clear" w:color="auto" w:fill="D7D7D7" w:themeFill="background1" w:themeFillShade="D8"/>
            <w:tcMar>
              <w:top w:w="90" w:type="dxa"/>
              <w:left w:w="110" w:type="dxa"/>
              <w:bottom w:w="90" w:type="dxa"/>
              <w:right w:w="110" w:type="dxa"/>
            </w:tcMar>
            <w:vAlign w:val="center"/>
          </w:tcPr>
          <w:p w14:paraId="18ACD025">
            <w:pPr>
              <w:spacing w:after="0" w:line="240" w:lineRule="auto"/>
            </w:pPr>
            <w:r>
              <w:rPr>
                <w:rFonts w:ascii="Times New Roman" w:hAnsi="Times New Roman" w:eastAsia="Times New Roman"/>
                <w:b/>
                <w:color w:val="000000"/>
                <w:sz w:val="20"/>
              </w:rPr>
              <w:t>Unit</w:t>
            </w:r>
          </w:p>
        </w:tc>
        <w:tc>
          <w:tcPr>
            <w:tcW w:w="1247" w:type="dxa"/>
            <w:tcBorders>
              <w:top w:val="nil"/>
              <w:left w:val="nil"/>
              <w:bottom w:val="single" w:color="auto" w:sz="4" w:space="0"/>
              <w:right w:val="nil"/>
            </w:tcBorders>
            <w:shd w:val="clear" w:color="auto" w:fill="D7D7D7" w:themeFill="background1" w:themeFillShade="D8"/>
            <w:tcMar>
              <w:top w:w="90" w:type="dxa"/>
              <w:left w:w="110" w:type="dxa"/>
              <w:bottom w:w="90" w:type="dxa"/>
              <w:right w:w="110" w:type="dxa"/>
            </w:tcMar>
            <w:vAlign w:val="center"/>
          </w:tcPr>
          <w:p w14:paraId="78B9225A">
            <w:pPr>
              <w:spacing w:after="0" w:line="240" w:lineRule="auto"/>
            </w:pPr>
            <w:r>
              <w:rPr>
                <w:rFonts w:ascii="Times New Roman" w:hAnsi="Times New Roman" w:eastAsia="Times New Roman"/>
                <w:b/>
                <w:color w:val="000000"/>
                <w:sz w:val="20"/>
              </w:rPr>
              <w:t>Rows</w:t>
            </w:r>
          </w:p>
        </w:tc>
        <w:tc>
          <w:tcPr>
            <w:tcW w:w="4535" w:type="dxa"/>
            <w:tcBorders>
              <w:top w:val="nil"/>
              <w:left w:val="nil"/>
              <w:bottom w:val="single" w:color="auto" w:sz="4" w:space="0"/>
              <w:right w:val="nil"/>
            </w:tcBorders>
            <w:shd w:val="clear" w:color="auto" w:fill="D7D7D7" w:themeFill="background1" w:themeFillShade="D8"/>
            <w:tcMar>
              <w:top w:w="90" w:type="dxa"/>
              <w:left w:w="110" w:type="dxa"/>
              <w:bottom w:w="90" w:type="dxa"/>
              <w:right w:w="110" w:type="dxa"/>
            </w:tcMar>
            <w:vAlign w:val="center"/>
          </w:tcPr>
          <w:p w14:paraId="7523FD34">
            <w:pPr>
              <w:spacing w:after="0" w:line="240" w:lineRule="auto"/>
            </w:pPr>
            <w:r>
              <w:rPr>
                <w:rFonts w:ascii="Times New Roman" w:hAnsi="Times New Roman" w:eastAsia="Times New Roman"/>
                <w:b/>
                <w:color w:val="000000"/>
                <w:sz w:val="20"/>
              </w:rPr>
              <w:t>Planned use</w:t>
            </w:r>
          </w:p>
        </w:tc>
      </w:tr>
      <w:tr w14:paraId="5CD0E1FD">
        <w:trPr>
          <w:cantSplit/>
          <w:jc w:val="center"/>
        </w:trPr>
        <w:tc>
          <w:tcPr>
            <w:tcW w:w="2381" w:type="dxa"/>
            <w:tcBorders>
              <w:top w:val="single" w:color="auto" w:sz="4" w:space="0"/>
              <w:left w:val="nil"/>
              <w:bottom w:val="nil"/>
              <w:right w:val="nil"/>
            </w:tcBorders>
            <w:tcMar>
              <w:top w:w="90" w:type="dxa"/>
              <w:left w:w="110" w:type="dxa"/>
              <w:bottom w:w="90" w:type="dxa"/>
              <w:right w:w="110" w:type="dxa"/>
            </w:tcMar>
            <w:vAlign w:val="center"/>
          </w:tcPr>
          <w:p w14:paraId="57196D11">
            <w:pPr>
              <w:spacing w:after="0" w:line="240" w:lineRule="auto"/>
            </w:pPr>
            <w:r>
              <w:rPr>
                <w:rFonts w:ascii="Times New Roman" w:hAnsi="Times New Roman" w:eastAsia="Times New Roman"/>
                <w:b w:val="0"/>
                <w:color w:val="000000"/>
                <w:sz w:val="20"/>
              </w:rPr>
              <w:t>Traffic Crashes Crashes</w:t>
            </w:r>
          </w:p>
        </w:tc>
        <w:tc>
          <w:tcPr>
            <w:tcW w:w="1361" w:type="dxa"/>
            <w:tcBorders>
              <w:top w:val="single" w:color="auto" w:sz="4" w:space="0"/>
              <w:left w:val="nil"/>
              <w:bottom w:val="nil"/>
              <w:right w:val="nil"/>
            </w:tcBorders>
            <w:tcMar>
              <w:top w:w="90" w:type="dxa"/>
              <w:left w:w="110" w:type="dxa"/>
              <w:bottom w:w="90" w:type="dxa"/>
              <w:right w:w="110" w:type="dxa"/>
            </w:tcMar>
            <w:vAlign w:val="center"/>
          </w:tcPr>
          <w:p w14:paraId="37A8E673">
            <w:pPr>
              <w:spacing w:after="0" w:line="240" w:lineRule="auto"/>
            </w:pPr>
            <w:r>
              <w:rPr>
                <w:rFonts w:ascii="Times New Roman" w:hAnsi="Times New Roman" w:eastAsia="Times New Roman"/>
                <w:b w:val="0"/>
                <w:color w:val="000000"/>
                <w:sz w:val="20"/>
              </w:rPr>
              <w:t>Crash</w:t>
            </w:r>
          </w:p>
        </w:tc>
        <w:tc>
          <w:tcPr>
            <w:tcW w:w="1247" w:type="dxa"/>
            <w:tcBorders>
              <w:top w:val="single" w:color="auto" w:sz="4" w:space="0"/>
              <w:left w:val="nil"/>
              <w:bottom w:val="nil"/>
              <w:right w:val="nil"/>
            </w:tcBorders>
            <w:tcMar>
              <w:top w:w="90" w:type="dxa"/>
              <w:left w:w="110" w:type="dxa"/>
              <w:bottom w:w="90" w:type="dxa"/>
              <w:right w:w="110" w:type="dxa"/>
            </w:tcMar>
            <w:vAlign w:val="center"/>
          </w:tcPr>
          <w:p w14:paraId="5446450A">
            <w:pPr>
              <w:spacing w:after="0" w:line="240" w:lineRule="auto"/>
            </w:pPr>
            <w:r>
              <w:rPr>
                <w:rFonts w:ascii="Times New Roman" w:hAnsi="Times New Roman" w:eastAsia="Times New Roman"/>
                <w:b w:val="0"/>
                <w:color w:val="000000"/>
                <w:sz w:val="20"/>
              </w:rPr>
              <w:t>221175</w:t>
            </w:r>
          </w:p>
        </w:tc>
        <w:tc>
          <w:tcPr>
            <w:tcW w:w="4535" w:type="dxa"/>
            <w:tcBorders>
              <w:top w:val="single" w:color="auto" w:sz="4" w:space="0"/>
              <w:left w:val="nil"/>
              <w:bottom w:val="nil"/>
              <w:right w:val="nil"/>
            </w:tcBorders>
            <w:tcMar>
              <w:top w:w="90" w:type="dxa"/>
              <w:left w:w="110" w:type="dxa"/>
              <w:bottom w:w="90" w:type="dxa"/>
              <w:right w:w="110" w:type="dxa"/>
            </w:tcMar>
            <w:vAlign w:val="center"/>
          </w:tcPr>
          <w:p w14:paraId="67D6EFA6">
            <w:pPr>
              <w:spacing w:after="0" w:line="240" w:lineRule="auto"/>
            </w:pPr>
            <w:r>
              <w:rPr>
                <w:rFonts w:ascii="Times New Roman" w:hAnsi="Times New Roman" w:eastAsia="Times New Roman"/>
                <w:b w:val="0"/>
                <w:color w:val="000000"/>
                <w:sz w:val="20"/>
              </w:rPr>
              <w:t>Severity time environment and location</w:t>
            </w:r>
          </w:p>
        </w:tc>
      </w:tr>
      <w:tr w14:paraId="3B8A3814">
        <w:trPr>
          <w:cantSplit/>
          <w:jc w:val="center"/>
        </w:trPr>
        <w:tc>
          <w:tcPr>
            <w:tcW w:w="2381" w:type="dxa"/>
            <w:tcBorders>
              <w:top w:val="nil"/>
              <w:left w:val="nil"/>
              <w:bottom w:val="nil"/>
              <w:right w:val="nil"/>
            </w:tcBorders>
            <w:tcMar>
              <w:top w:w="90" w:type="dxa"/>
              <w:left w:w="110" w:type="dxa"/>
              <w:bottom w:w="90" w:type="dxa"/>
              <w:right w:w="110" w:type="dxa"/>
            </w:tcMar>
            <w:vAlign w:val="center"/>
          </w:tcPr>
          <w:p w14:paraId="5F18AB9B">
            <w:pPr>
              <w:spacing w:after="0" w:line="240" w:lineRule="auto"/>
            </w:pPr>
            <w:r>
              <w:rPr>
                <w:rFonts w:ascii="Times New Roman" w:hAnsi="Times New Roman" w:eastAsia="Times New Roman"/>
                <w:b w:val="0"/>
                <w:color w:val="000000"/>
                <w:sz w:val="20"/>
              </w:rPr>
              <w:t>Traffic Crashes Vehicles</w:t>
            </w:r>
          </w:p>
        </w:tc>
        <w:tc>
          <w:tcPr>
            <w:tcW w:w="1361" w:type="dxa"/>
            <w:tcBorders>
              <w:top w:val="nil"/>
              <w:left w:val="nil"/>
              <w:bottom w:val="nil"/>
              <w:right w:val="nil"/>
            </w:tcBorders>
            <w:tcMar>
              <w:top w:w="90" w:type="dxa"/>
              <w:left w:w="110" w:type="dxa"/>
              <w:bottom w:w="90" w:type="dxa"/>
              <w:right w:w="110" w:type="dxa"/>
            </w:tcMar>
            <w:vAlign w:val="center"/>
          </w:tcPr>
          <w:p w14:paraId="77433BBF">
            <w:pPr>
              <w:spacing w:after="0" w:line="240" w:lineRule="auto"/>
            </w:pPr>
            <w:r>
              <w:rPr>
                <w:rFonts w:ascii="Times New Roman" w:hAnsi="Times New Roman" w:eastAsia="Times New Roman"/>
                <w:b w:val="0"/>
                <w:color w:val="000000"/>
                <w:sz w:val="20"/>
              </w:rPr>
              <w:t>Vehicle unit</w:t>
            </w:r>
          </w:p>
        </w:tc>
        <w:tc>
          <w:tcPr>
            <w:tcW w:w="1247" w:type="dxa"/>
            <w:tcBorders>
              <w:top w:val="nil"/>
              <w:left w:val="nil"/>
              <w:bottom w:val="nil"/>
              <w:right w:val="nil"/>
            </w:tcBorders>
            <w:tcMar>
              <w:top w:w="90" w:type="dxa"/>
              <w:left w:w="110" w:type="dxa"/>
              <w:bottom w:w="90" w:type="dxa"/>
              <w:right w:w="110" w:type="dxa"/>
            </w:tcMar>
            <w:vAlign w:val="center"/>
          </w:tcPr>
          <w:p w14:paraId="02F38992">
            <w:pPr>
              <w:spacing w:after="0" w:line="240" w:lineRule="auto"/>
            </w:pPr>
            <w:r>
              <w:rPr>
                <w:rFonts w:ascii="Times New Roman" w:hAnsi="Times New Roman" w:eastAsia="Times New Roman"/>
                <w:b w:val="0"/>
                <w:color w:val="000000"/>
                <w:sz w:val="20"/>
              </w:rPr>
              <w:t>450185</w:t>
            </w:r>
          </w:p>
        </w:tc>
        <w:tc>
          <w:tcPr>
            <w:tcW w:w="4535" w:type="dxa"/>
            <w:tcBorders>
              <w:top w:val="nil"/>
              <w:left w:val="nil"/>
              <w:bottom w:val="nil"/>
              <w:right w:val="nil"/>
            </w:tcBorders>
            <w:tcMar>
              <w:top w:w="90" w:type="dxa"/>
              <w:left w:w="110" w:type="dxa"/>
              <w:bottom w:w="90" w:type="dxa"/>
              <w:right w:w="110" w:type="dxa"/>
            </w:tcMar>
            <w:vAlign w:val="center"/>
          </w:tcPr>
          <w:p w14:paraId="4E00D37E">
            <w:pPr>
              <w:spacing w:after="0" w:line="240" w:lineRule="auto"/>
            </w:pPr>
            <w:r>
              <w:rPr>
                <w:rFonts w:ascii="Times New Roman" w:hAnsi="Times New Roman" w:eastAsia="Times New Roman"/>
                <w:b w:val="0"/>
                <w:color w:val="000000"/>
                <w:sz w:val="20"/>
              </w:rPr>
              <w:t>Road user involvement</w:t>
            </w:r>
          </w:p>
        </w:tc>
      </w:tr>
      <w:tr w14:paraId="1D8DAEDA">
        <w:trPr>
          <w:cantSplit/>
          <w:jc w:val="center"/>
        </w:trPr>
        <w:tc>
          <w:tcPr>
            <w:tcW w:w="2381" w:type="dxa"/>
            <w:tcBorders>
              <w:top w:val="nil"/>
              <w:left w:val="nil"/>
              <w:bottom w:val="nil"/>
              <w:right w:val="nil"/>
            </w:tcBorders>
            <w:tcMar>
              <w:top w:w="90" w:type="dxa"/>
              <w:left w:w="110" w:type="dxa"/>
              <w:bottom w:w="90" w:type="dxa"/>
              <w:right w:w="110" w:type="dxa"/>
            </w:tcMar>
            <w:vAlign w:val="center"/>
          </w:tcPr>
          <w:p w14:paraId="7830586E">
            <w:pPr>
              <w:spacing w:after="0" w:line="240" w:lineRule="auto"/>
            </w:pPr>
            <w:r>
              <w:rPr>
                <w:rFonts w:ascii="Times New Roman" w:hAnsi="Times New Roman" w:eastAsia="Times New Roman"/>
                <w:b w:val="0"/>
                <w:color w:val="000000"/>
                <w:sz w:val="20"/>
              </w:rPr>
              <w:t>Traffic Crashes People</w:t>
            </w:r>
          </w:p>
        </w:tc>
        <w:tc>
          <w:tcPr>
            <w:tcW w:w="1361" w:type="dxa"/>
            <w:tcBorders>
              <w:top w:val="nil"/>
              <w:left w:val="nil"/>
              <w:bottom w:val="nil"/>
              <w:right w:val="nil"/>
            </w:tcBorders>
            <w:tcMar>
              <w:top w:w="90" w:type="dxa"/>
              <w:left w:w="110" w:type="dxa"/>
              <w:bottom w:w="90" w:type="dxa"/>
              <w:right w:w="110" w:type="dxa"/>
            </w:tcMar>
            <w:vAlign w:val="center"/>
          </w:tcPr>
          <w:p w14:paraId="61F08B25">
            <w:pPr>
              <w:spacing w:after="0" w:line="240" w:lineRule="auto"/>
            </w:pPr>
            <w:r>
              <w:rPr>
                <w:rFonts w:ascii="Times New Roman" w:hAnsi="Times New Roman" w:eastAsia="Times New Roman"/>
                <w:b w:val="0"/>
                <w:color w:val="000000"/>
                <w:sz w:val="20"/>
              </w:rPr>
              <w:t>Person</w:t>
            </w:r>
          </w:p>
        </w:tc>
        <w:tc>
          <w:tcPr>
            <w:tcW w:w="1247" w:type="dxa"/>
            <w:tcBorders>
              <w:top w:val="nil"/>
              <w:left w:val="nil"/>
              <w:bottom w:val="nil"/>
              <w:right w:val="nil"/>
            </w:tcBorders>
            <w:tcMar>
              <w:top w:w="90" w:type="dxa"/>
              <w:left w:w="110" w:type="dxa"/>
              <w:bottom w:w="90" w:type="dxa"/>
              <w:right w:w="110" w:type="dxa"/>
            </w:tcMar>
            <w:vAlign w:val="center"/>
          </w:tcPr>
          <w:p w14:paraId="29108337">
            <w:pPr>
              <w:spacing w:after="0" w:line="240" w:lineRule="auto"/>
            </w:pPr>
            <w:r>
              <w:rPr>
                <w:rFonts w:ascii="Times New Roman" w:hAnsi="Times New Roman" w:eastAsia="Times New Roman"/>
                <w:b w:val="0"/>
                <w:color w:val="000000"/>
                <w:sz w:val="20"/>
              </w:rPr>
              <w:t>485110</w:t>
            </w:r>
          </w:p>
        </w:tc>
        <w:tc>
          <w:tcPr>
            <w:tcW w:w="4535" w:type="dxa"/>
            <w:tcBorders>
              <w:top w:val="nil"/>
              <w:left w:val="nil"/>
              <w:bottom w:val="nil"/>
              <w:right w:val="nil"/>
            </w:tcBorders>
            <w:tcMar>
              <w:top w:w="90" w:type="dxa"/>
              <w:left w:w="110" w:type="dxa"/>
              <w:bottom w:w="90" w:type="dxa"/>
              <w:right w:w="110" w:type="dxa"/>
            </w:tcMar>
            <w:vAlign w:val="center"/>
          </w:tcPr>
          <w:p w14:paraId="27BBC5F7">
            <w:pPr>
              <w:spacing w:after="0" w:line="240" w:lineRule="auto"/>
            </w:pPr>
            <w:r>
              <w:rPr>
                <w:rFonts w:ascii="Times New Roman" w:hAnsi="Times New Roman" w:eastAsia="Times New Roman"/>
                <w:b w:val="0"/>
                <w:color w:val="000000"/>
                <w:sz w:val="20"/>
              </w:rPr>
              <w:t>Age and person injury</w:t>
            </w:r>
          </w:p>
        </w:tc>
      </w:tr>
    </w:tbl>
    <w:p w14:paraId="5BC1AAD4">
      <w:pPr>
        <w:spacing w:before="80" w:after="80"/>
      </w:pPr>
      <w:r>
        <w:rPr>
          <w:rFonts w:ascii="Times New Roman" w:hAnsi="Times New Roman" w:eastAsia="Times New Roman"/>
          <w:b/>
          <w:color w:val="000000"/>
          <w:sz w:val="18"/>
        </w:rPr>
        <w:t xml:space="preserve">Official links </w:t>
      </w:r>
      <w:r>
        <w:rPr>
          <w:rFonts w:ascii="Times New Roman" w:hAnsi="Times New Roman" w:eastAsia="Times New Roman"/>
          <w:b/>
          <w:color w:val="auto"/>
          <w:sz w:val="18"/>
        </w:rPr>
        <w:t xml:space="preserve"> </w:t>
      </w:r>
      <w:r>
        <w:rPr>
          <w:color w:val="auto"/>
        </w:rPr>
        <w:fldChar w:fldCharType="begin"/>
      </w:r>
      <w:r>
        <w:rPr>
          <w:color w:val="auto"/>
        </w:rPr>
        <w:instrText xml:space="preserve"> HYPERLINK "https://data.cityofchicago.org/Transportation/Traffic-Crashes-Crashes/85ca-t3if" \h </w:instrText>
      </w:r>
      <w:r>
        <w:rPr>
          <w:color w:val="auto"/>
        </w:rPr>
        <w:fldChar w:fldCharType="separate"/>
      </w:r>
      <w:r>
        <w:rPr>
          <w:color w:val="auto"/>
          <w:u w:val="none"/>
        </w:rPr>
        <w:t>Crashes</w:t>
      </w:r>
      <w:r>
        <w:rPr>
          <w:color w:val="auto"/>
          <w:u w:val="none"/>
        </w:rPr>
        <w:fldChar w:fldCharType="end"/>
      </w:r>
      <w:r>
        <w:rPr>
          <w:color w:val="auto"/>
        </w:rPr>
        <w:t xml:space="preserve"> </w:t>
      </w:r>
      <w:r>
        <w:t xml:space="preserve">  </w:t>
      </w:r>
      <w:r>
        <w:fldChar w:fldCharType="begin"/>
      </w:r>
      <w:r>
        <w:instrText xml:space="preserve"> HYPERLINK "https://data.cityofchicago.org/Transportation/Traffic-Crashes-Vehicles/68nd-jvt3" \h </w:instrText>
      </w:r>
      <w:r>
        <w:fldChar w:fldCharType="separate"/>
      </w:r>
      <w:r>
        <w:rPr>
          <w:color w:val="000000"/>
          <w:u w:val="none"/>
        </w:rPr>
        <w:t>Vehicles</w:t>
      </w:r>
      <w:r>
        <w:rPr>
          <w:color w:val="000000"/>
          <w:u w:val="none"/>
        </w:rPr>
        <w:fldChar w:fldCharType="end"/>
      </w:r>
      <w:r>
        <w:t xml:space="preserve">   </w:t>
      </w:r>
      <w:r>
        <w:fldChar w:fldCharType="begin"/>
      </w:r>
      <w:r>
        <w:instrText xml:space="preserve"> HYPERLINK "https://data.cityofchicago.org/Transportation/Traffic-Crashes-People/u6pd-qa9d" \h </w:instrText>
      </w:r>
      <w:r>
        <w:fldChar w:fldCharType="separate"/>
      </w:r>
      <w:r>
        <w:rPr>
          <w:color w:val="000000"/>
          <w:u w:val="none"/>
        </w:rPr>
        <w:t>People</w:t>
      </w:r>
      <w:r>
        <w:rPr>
          <w:color w:val="000000"/>
          <w:u w:val="none"/>
        </w:rPr>
        <w:fldChar w:fldCharType="end"/>
      </w:r>
    </w:p>
    <w:p w14:paraId="59F2D516">
      <w:pPr>
        <w:keepNext w:val="0"/>
        <w:spacing w:after="40" w:line="259" w:lineRule="auto"/>
        <w:jc w:val="both"/>
      </w:pPr>
      <w:r>
        <w:rPr>
          <w:rFonts w:ascii="Times New Roman" w:hAnsi="Times New Roman" w:eastAsia="Times New Roman"/>
          <w:color w:val="000000"/>
          <w:sz w:val="23"/>
        </w:rPr>
        <w:t>Preliminary validation found 221175 unique crash identifiers and 466 records without a usable severity category. All retained vehicle and person records refer to crash identifiers in the crash table. These checks confirm that the proposed analysis is feasible with the existing public data and that no new source is required.</w:t>
      </w:r>
    </w:p>
    <w:p w14:paraId="798E17E8">
      <w:pPr>
        <w:rPr>
          <w:rFonts w:ascii="Times New Roman" w:hAnsi="Times New Roman" w:eastAsia="Times New Roman"/>
          <w:b/>
          <w:color w:val="000000"/>
          <w:sz w:val="28"/>
        </w:rPr>
      </w:pPr>
    </w:p>
    <w:p w14:paraId="6F911D31">
      <w:r>
        <w:rPr>
          <w:rFonts w:ascii="Times New Roman" w:hAnsi="Times New Roman" w:eastAsia="Times New Roman"/>
          <w:b/>
          <w:color w:val="000000"/>
          <w:sz w:val="28"/>
        </w:rPr>
        <w:t>3 Project Tasks</w:t>
      </w:r>
    </w:p>
    <w:p w14:paraId="0B711DEC">
      <w:pPr>
        <w:keepNext w:val="0"/>
        <w:spacing w:after="120" w:line="259" w:lineRule="auto"/>
        <w:jc w:val="both"/>
      </w:pPr>
      <w:r>
        <w:rPr>
          <w:rFonts w:ascii="Times New Roman" w:hAnsi="Times New Roman" w:eastAsia="Times New Roman"/>
          <w:color w:val="000000"/>
          <w:sz w:val="23"/>
        </w:rPr>
        <w:t>The tasks follow the dependency order of the notebook. Data definitions and validation must be completed before the pair calculates rates or prepares visualizations.</w:t>
      </w:r>
    </w:p>
    <w:p w14:paraId="4966557A">
      <w:pPr>
        <w:spacing w:after="80" w:line="252" w:lineRule="auto"/>
        <w:ind w:left="198" w:hanging="198"/>
      </w:pPr>
      <w:r>
        <w:rPr>
          <w:rFonts w:ascii="Times New Roman" w:hAnsi="Times New Roman" w:eastAsia="Times New Roman"/>
          <w:b/>
          <w:color w:val="000000"/>
          <w:sz w:val="22"/>
        </w:rPr>
        <w:t xml:space="preserve">1. Define the measures  </w:t>
      </w:r>
      <w:r>
        <w:rPr>
          <w:rFonts w:ascii="Times New Roman" w:hAnsi="Times New Roman" w:eastAsia="Times New Roman"/>
          <w:color w:val="000000"/>
          <w:sz w:val="22"/>
        </w:rPr>
        <w:t>Fix the study period, define a severe crash and a severe person injury, and state the unit used by every calculation. The output will be a short definition list used consistently in the notebook and report.</w:t>
      </w:r>
    </w:p>
    <w:p w14:paraId="5774D481">
      <w:pPr>
        <w:spacing w:after="80" w:line="252" w:lineRule="auto"/>
        <w:ind w:left="198" w:hanging="198"/>
      </w:pPr>
      <w:r>
        <w:rPr>
          <w:rFonts w:ascii="Times New Roman" w:hAnsi="Times New Roman" w:eastAsia="Times New Roman"/>
          <w:b/>
          <w:color w:val="000000"/>
          <w:sz w:val="22"/>
        </w:rPr>
        <w:t xml:space="preserve">2. Audit the source tables  </w:t>
      </w:r>
      <w:r>
        <w:rPr>
          <w:rFonts w:ascii="Times New Roman" w:hAnsi="Times New Roman" w:eastAsia="Times New Roman"/>
          <w:color w:val="000000"/>
          <w:sz w:val="22"/>
        </w:rPr>
        <w:t>Check row counts, unique crash identifiers, date coverage, missing severity and coordinates, and the coverage of crash identifiers in the supporting tables. The notebook will display the audit counts and assertions before analysis begins.</w:t>
      </w:r>
    </w:p>
    <w:p w14:paraId="0E296EC9">
      <w:pPr>
        <w:spacing w:after="80" w:line="252" w:lineRule="auto"/>
        <w:ind w:left="198" w:hanging="198"/>
      </w:pPr>
      <w:r>
        <w:rPr>
          <w:rFonts w:ascii="Times New Roman" w:hAnsi="Times New Roman" w:eastAsia="Times New Roman"/>
          <w:b/>
          <w:color w:val="000000"/>
          <w:sz w:val="22"/>
        </w:rPr>
        <w:t xml:space="preserve">3. Prepare analysis variables  </w:t>
      </w:r>
      <w:r>
        <w:rPr>
          <w:rFonts w:ascii="Times New Roman" w:hAnsi="Times New Roman" w:eastAsia="Times New Roman"/>
          <w:color w:val="000000"/>
          <w:sz w:val="22"/>
        </w:rPr>
        <w:t>Create month, weekday, hour, grouped lighting and weather variables, age groups, and binary severity indicators while keeping unknown severity as missing. Each derived field will have a visible category or range check.</w:t>
      </w:r>
    </w:p>
    <w:p w14:paraId="07D8ADA3">
      <w:pPr>
        <w:spacing w:after="80" w:line="252" w:lineRule="auto"/>
        <w:ind w:left="198" w:hanging="198"/>
      </w:pPr>
      <w:r>
        <w:rPr>
          <w:rFonts w:ascii="Times New Roman" w:hAnsi="Times New Roman" w:eastAsia="Times New Roman"/>
          <w:b/>
          <w:color w:val="000000"/>
          <w:sz w:val="22"/>
        </w:rPr>
        <w:t xml:space="preserve">4. Integrate tables safely  </w:t>
      </w:r>
      <w:r>
        <w:rPr>
          <w:rFonts w:ascii="Times New Roman" w:hAnsi="Times New Roman" w:eastAsia="Times New Roman"/>
          <w:color w:val="000000"/>
          <w:sz w:val="22"/>
        </w:rPr>
        <w:t>Join crash severity separately to Vehicles and People with many to one validation. Vehicles will not be joined directly to People because both contain repeated crash identifiers. The output will be two analysis tables that preserve their original record levels.</w:t>
      </w:r>
    </w:p>
    <w:p w14:paraId="3BFB2580">
      <w:pPr>
        <w:spacing w:after="80" w:line="252" w:lineRule="auto"/>
        <w:ind w:left="198" w:hanging="198"/>
      </w:pPr>
      <w:r>
        <w:rPr>
          <w:rFonts w:ascii="Times New Roman" w:hAnsi="Times New Roman" w:eastAsia="Times New Roman"/>
          <w:b/>
          <w:color w:val="000000"/>
          <w:sz w:val="22"/>
        </w:rPr>
        <w:t xml:space="preserve">5. Calculate comparable summaries  </w:t>
      </w:r>
      <w:r>
        <w:rPr>
          <w:rFonts w:ascii="Times New Roman" w:hAnsi="Times New Roman" w:eastAsia="Times New Roman"/>
          <w:color w:val="000000"/>
          <w:sz w:val="22"/>
        </w:rPr>
        <w:t>Report counts and rates for time, environment, road users, age groups, and person types. Weekday hour cells below 100 crashes and lighting weather cells below 200 crashes will be suppressed, and every rate will retain its denominator.</w:t>
      </w:r>
    </w:p>
    <w:p w14:paraId="036DECF0">
      <w:pPr>
        <w:spacing w:after="80" w:line="252" w:lineRule="auto"/>
        <w:ind w:left="198" w:hanging="198"/>
      </w:pPr>
      <w:r>
        <w:rPr>
          <w:rFonts w:ascii="Times New Roman" w:hAnsi="Times New Roman" w:eastAsia="Times New Roman"/>
          <w:b/>
          <w:color w:val="000000"/>
          <w:sz w:val="22"/>
        </w:rPr>
        <w:t xml:space="preserve">6. Create the visual evidence  </w:t>
      </w:r>
      <w:r>
        <w:rPr>
          <w:rFonts w:ascii="Times New Roman" w:hAnsi="Times New Roman" w:eastAsia="Times New Roman"/>
          <w:color w:val="000000"/>
          <w:sz w:val="22"/>
        </w:rPr>
        <w:t>Produce monthly line plots, two dimensional heatmaps, numeric box plots, interactive road user bars, person level bars, and a Folium density map using the supplied CARTO Voyager tile URL. Titles, axes, units, thresholds, and hover values will match the supporting tables.</w:t>
      </w:r>
    </w:p>
    <w:p w14:paraId="2ABD43B7">
      <w:pPr>
        <w:spacing w:after="80" w:line="252" w:lineRule="auto"/>
        <w:ind w:left="198" w:hanging="198"/>
      </w:pPr>
      <w:r>
        <w:rPr>
          <w:rFonts w:ascii="Times New Roman" w:hAnsi="Times New Roman" w:eastAsia="Times New Roman"/>
          <w:b/>
          <w:color w:val="000000"/>
          <w:sz w:val="22"/>
        </w:rPr>
        <w:t xml:space="preserve">7. Interpret and package the work  </w:t>
      </w:r>
      <w:r>
        <w:rPr>
          <w:rFonts w:ascii="Times New Roman" w:hAnsi="Times New Roman" w:eastAsia="Times New Roman"/>
          <w:color w:val="000000"/>
          <w:sz w:val="22"/>
        </w:rPr>
        <w:t>Connect each visual to the research question and place limitations next to the relevant claim. The pair will run the notebook from top to bottom, compare the written values with the executed outputs, and prepare the notebook and report as the final submission package.</w:t>
      </w:r>
    </w:p>
    <w:p w14:paraId="3FE99C87">
      <w:pPr>
        <w:rPr>
          <w:rFonts w:ascii="Times New Roman" w:hAnsi="Times New Roman" w:eastAsia="Times New Roman"/>
          <w:b/>
          <w:color w:val="000000"/>
          <w:sz w:val="28"/>
        </w:rPr>
      </w:pPr>
    </w:p>
    <w:p w14:paraId="5407D8A4">
      <w:pPr>
        <w:rPr>
          <w:rFonts w:ascii="Times New Roman" w:hAnsi="Times New Roman" w:eastAsia="Times New Roman"/>
          <w:b/>
          <w:color w:val="000000"/>
          <w:sz w:val="28"/>
        </w:rPr>
      </w:pPr>
    </w:p>
    <w:p w14:paraId="2D33106B">
      <w:pPr>
        <w:rPr>
          <w:rFonts w:ascii="Times New Roman" w:hAnsi="Times New Roman" w:eastAsia="Times New Roman"/>
          <w:b/>
          <w:color w:val="000000"/>
          <w:sz w:val="28"/>
        </w:rPr>
      </w:pPr>
    </w:p>
    <w:p w14:paraId="715BAC20">
      <w:pPr>
        <w:rPr>
          <w:rFonts w:ascii="Times New Roman" w:hAnsi="Times New Roman" w:eastAsia="Times New Roman"/>
          <w:b/>
          <w:color w:val="000000"/>
          <w:sz w:val="28"/>
        </w:rPr>
      </w:pPr>
    </w:p>
    <w:p w14:paraId="710ED5D1">
      <w:pPr>
        <w:rPr>
          <w:rFonts w:ascii="Times New Roman" w:hAnsi="Times New Roman" w:eastAsia="Times New Roman"/>
          <w:b/>
          <w:color w:val="000000"/>
          <w:sz w:val="28"/>
        </w:rPr>
      </w:pPr>
    </w:p>
    <w:p w14:paraId="043BABD5">
      <w:pPr>
        <w:rPr>
          <w:rFonts w:ascii="Times New Roman" w:hAnsi="Times New Roman" w:eastAsia="Times New Roman"/>
          <w:b/>
          <w:color w:val="000000"/>
          <w:sz w:val="28"/>
        </w:rPr>
      </w:pPr>
    </w:p>
    <w:p w14:paraId="08161506">
      <w:pPr>
        <w:rPr>
          <w:rFonts w:ascii="Times New Roman" w:hAnsi="Times New Roman" w:eastAsia="Times New Roman"/>
          <w:b/>
          <w:color w:val="000000"/>
          <w:sz w:val="28"/>
        </w:rPr>
      </w:pPr>
    </w:p>
    <w:p w14:paraId="37801668">
      <w:pPr>
        <w:rPr>
          <w:rFonts w:ascii="Times New Roman" w:hAnsi="Times New Roman" w:eastAsia="Times New Roman"/>
          <w:b/>
          <w:color w:val="000000"/>
          <w:sz w:val="28"/>
        </w:rPr>
      </w:pPr>
    </w:p>
    <w:p w14:paraId="00EB5E57">
      <w:r>
        <w:rPr>
          <w:rFonts w:ascii="Times New Roman" w:hAnsi="Times New Roman" w:eastAsia="Times New Roman"/>
          <w:b/>
          <w:color w:val="000000"/>
          <w:sz w:val="28"/>
        </w:rPr>
        <w:t>4 Project Criteria for Success</w:t>
      </w:r>
    </w:p>
    <w:p w14:paraId="19AA2875">
      <w:pPr>
        <w:keepNext w:val="0"/>
        <w:spacing w:after="100" w:line="259" w:lineRule="auto"/>
        <w:jc w:val="both"/>
      </w:pPr>
      <w:r>
        <w:rPr>
          <w:rFonts w:ascii="Times New Roman" w:hAnsi="Times New Roman" w:eastAsia="Times New Roman"/>
          <w:color w:val="000000"/>
          <w:sz w:val="23"/>
        </w:rPr>
        <w:t>The finished work will be considered successful only when every row satisfies both the stated measure and the required evidence. The pair will apply this checklist after the complete notebook run and again before submission. A result will not pass if it lacks a denominator, uses an unstable small group, or cannot be traced to an executed cell.</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251"/>
        <w:gridCol w:w="3251"/>
        <w:gridCol w:w="3251"/>
      </w:tblGrid>
      <w:tr w14:paraId="310E773E">
        <w:trPr>
          <w:cantSplit/>
          <w:tblHeader/>
          <w:jc w:val="center"/>
        </w:trPr>
        <w:tc>
          <w:tcPr>
            <w:tcW w:w="1984" w:type="dxa"/>
            <w:tcBorders>
              <w:top w:val="nil"/>
              <w:left w:val="nil"/>
              <w:bottom w:val="single" w:color="auto" w:sz="4" w:space="0"/>
              <w:right w:val="nil"/>
            </w:tcBorders>
            <w:shd w:val="clear" w:color="auto" w:fill="D7D7D7" w:themeFill="background1" w:themeFillShade="D8"/>
            <w:tcMar>
              <w:top w:w="90" w:type="dxa"/>
              <w:left w:w="110" w:type="dxa"/>
              <w:bottom w:w="90" w:type="dxa"/>
              <w:right w:w="110" w:type="dxa"/>
            </w:tcMar>
            <w:vAlign w:val="center"/>
          </w:tcPr>
          <w:p w14:paraId="0825FE12">
            <w:pPr>
              <w:spacing w:after="0" w:line="240" w:lineRule="auto"/>
            </w:pPr>
            <w:r>
              <w:rPr>
                <w:rFonts w:ascii="Times New Roman" w:hAnsi="Times New Roman" w:eastAsia="Times New Roman"/>
                <w:b/>
                <w:color w:val="000000"/>
                <w:sz w:val="19"/>
              </w:rPr>
              <w:t>Criterion</w:t>
            </w:r>
          </w:p>
        </w:tc>
        <w:tc>
          <w:tcPr>
            <w:tcW w:w="3402" w:type="dxa"/>
            <w:tcBorders>
              <w:top w:val="nil"/>
              <w:left w:val="nil"/>
              <w:bottom w:val="single" w:color="auto" w:sz="4" w:space="0"/>
              <w:right w:val="nil"/>
            </w:tcBorders>
            <w:shd w:val="clear" w:color="auto" w:fill="D7D7D7" w:themeFill="background1" w:themeFillShade="D8"/>
            <w:tcMar>
              <w:top w:w="90" w:type="dxa"/>
              <w:left w:w="110" w:type="dxa"/>
              <w:bottom w:w="90" w:type="dxa"/>
              <w:right w:w="110" w:type="dxa"/>
            </w:tcMar>
            <w:vAlign w:val="center"/>
          </w:tcPr>
          <w:p w14:paraId="70357806">
            <w:pPr>
              <w:spacing w:after="0" w:line="240" w:lineRule="auto"/>
            </w:pPr>
            <w:r>
              <w:rPr>
                <w:rFonts w:ascii="Times New Roman" w:hAnsi="Times New Roman" w:eastAsia="Times New Roman"/>
                <w:b/>
                <w:color w:val="000000"/>
                <w:sz w:val="19"/>
              </w:rPr>
              <w:t>Measure</w:t>
            </w:r>
          </w:p>
        </w:tc>
        <w:tc>
          <w:tcPr>
            <w:tcW w:w="4139" w:type="dxa"/>
            <w:tcBorders>
              <w:top w:val="nil"/>
              <w:left w:val="nil"/>
              <w:bottom w:val="single" w:color="auto" w:sz="4" w:space="0"/>
              <w:right w:val="nil"/>
            </w:tcBorders>
            <w:shd w:val="clear" w:color="auto" w:fill="D7D7D7" w:themeFill="background1" w:themeFillShade="D8"/>
            <w:tcMar>
              <w:top w:w="90" w:type="dxa"/>
              <w:left w:w="110" w:type="dxa"/>
              <w:bottom w:w="90" w:type="dxa"/>
              <w:right w:w="110" w:type="dxa"/>
            </w:tcMar>
            <w:vAlign w:val="center"/>
          </w:tcPr>
          <w:p w14:paraId="020BD2FF">
            <w:pPr>
              <w:spacing w:after="0" w:line="240" w:lineRule="auto"/>
            </w:pPr>
            <w:r>
              <w:rPr>
                <w:rFonts w:ascii="Times New Roman" w:hAnsi="Times New Roman" w:eastAsia="Times New Roman"/>
                <w:b/>
                <w:color w:val="000000"/>
                <w:sz w:val="19"/>
              </w:rPr>
              <w:t>Required evidence</w:t>
            </w:r>
          </w:p>
        </w:tc>
      </w:tr>
      <w:tr w14:paraId="0E37A2E3">
        <w:trPr>
          <w:cantSplit/>
          <w:jc w:val="center"/>
        </w:trPr>
        <w:tc>
          <w:tcPr>
            <w:tcW w:w="1984" w:type="dxa"/>
            <w:tcBorders>
              <w:top w:val="single" w:color="auto" w:sz="4" w:space="0"/>
              <w:left w:val="nil"/>
              <w:bottom w:val="nil"/>
              <w:right w:val="nil"/>
            </w:tcBorders>
            <w:tcMar>
              <w:top w:w="90" w:type="dxa"/>
              <w:left w:w="110" w:type="dxa"/>
              <w:bottom w:w="90" w:type="dxa"/>
              <w:right w:w="110" w:type="dxa"/>
            </w:tcMar>
            <w:vAlign w:val="center"/>
          </w:tcPr>
          <w:p w14:paraId="6DE10C51">
            <w:pPr>
              <w:spacing w:after="0" w:line="240" w:lineRule="auto"/>
            </w:pPr>
            <w:r>
              <w:rPr>
                <w:rFonts w:ascii="Times New Roman" w:hAnsi="Times New Roman" w:eastAsia="Times New Roman"/>
                <w:b w:val="0"/>
                <w:color w:val="000000"/>
                <w:sz w:val="19"/>
              </w:rPr>
              <w:t>Authentic data</w:t>
            </w:r>
          </w:p>
        </w:tc>
        <w:tc>
          <w:tcPr>
            <w:tcW w:w="3402" w:type="dxa"/>
            <w:tcBorders>
              <w:top w:val="single" w:color="auto" w:sz="4" w:space="0"/>
              <w:left w:val="nil"/>
              <w:bottom w:val="nil"/>
              <w:right w:val="nil"/>
            </w:tcBorders>
            <w:tcMar>
              <w:top w:w="90" w:type="dxa"/>
              <w:left w:w="110" w:type="dxa"/>
              <w:bottom w:w="90" w:type="dxa"/>
              <w:right w:w="110" w:type="dxa"/>
            </w:tcMar>
            <w:vAlign w:val="center"/>
          </w:tcPr>
          <w:p w14:paraId="7CB6942B">
            <w:pPr>
              <w:spacing w:after="0" w:line="240" w:lineRule="auto"/>
            </w:pPr>
            <w:r>
              <w:rPr>
                <w:rFonts w:ascii="Times New Roman" w:hAnsi="Times New Roman" w:eastAsia="Times New Roman"/>
                <w:b w:val="0"/>
                <w:color w:val="000000"/>
                <w:sz w:val="19"/>
              </w:rPr>
              <w:t>Three accessible official datasets with source URLs</w:t>
            </w:r>
          </w:p>
        </w:tc>
        <w:tc>
          <w:tcPr>
            <w:tcW w:w="4139" w:type="dxa"/>
            <w:tcBorders>
              <w:top w:val="single" w:color="auto" w:sz="4" w:space="0"/>
              <w:left w:val="nil"/>
              <w:bottom w:val="nil"/>
              <w:right w:val="nil"/>
            </w:tcBorders>
            <w:tcMar>
              <w:top w:w="90" w:type="dxa"/>
              <w:left w:w="110" w:type="dxa"/>
              <w:bottom w:w="90" w:type="dxa"/>
              <w:right w:w="110" w:type="dxa"/>
            </w:tcMar>
            <w:vAlign w:val="center"/>
          </w:tcPr>
          <w:p w14:paraId="44AF43D7">
            <w:pPr>
              <w:spacing w:after="0" w:line="240" w:lineRule="auto"/>
            </w:pPr>
            <w:r>
              <w:rPr>
                <w:rFonts w:ascii="Times New Roman" w:hAnsi="Times New Roman" w:eastAsia="Times New Roman"/>
                <w:b w:val="0"/>
                <w:color w:val="000000"/>
                <w:sz w:val="19"/>
              </w:rPr>
              <w:t>City of Chicago links for Crashes, Vehicles, and People</w:t>
            </w:r>
          </w:p>
        </w:tc>
      </w:tr>
      <w:tr w14:paraId="67931328">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1880A65C">
            <w:pPr>
              <w:spacing w:after="0" w:line="240" w:lineRule="auto"/>
            </w:pPr>
            <w:r>
              <w:rPr>
                <w:rFonts w:ascii="Times New Roman" w:hAnsi="Times New Roman" w:eastAsia="Times New Roman"/>
                <w:b w:val="0"/>
                <w:color w:val="000000"/>
                <w:sz w:val="19"/>
              </w:rPr>
              <w:t>Reproducibility</w:t>
            </w:r>
          </w:p>
        </w:tc>
        <w:tc>
          <w:tcPr>
            <w:tcW w:w="3402" w:type="dxa"/>
            <w:tcBorders>
              <w:top w:val="nil"/>
              <w:left w:val="nil"/>
              <w:bottom w:val="nil"/>
              <w:right w:val="nil"/>
            </w:tcBorders>
            <w:tcMar>
              <w:top w:w="90" w:type="dxa"/>
              <w:left w:w="110" w:type="dxa"/>
              <w:bottom w:w="90" w:type="dxa"/>
              <w:right w:w="110" w:type="dxa"/>
            </w:tcMar>
            <w:vAlign w:val="center"/>
          </w:tcPr>
          <w:p w14:paraId="2C0774EA">
            <w:pPr>
              <w:spacing w:after="0" w:line="240" w:lineRule="auto"/>
            </w:pPr>
            <w:r>
              <w:rPr>
                <w:rFonts w:ascii="Times New Roman" w:hAnsi="Times New Roman" w:eastAsia="Times New Roman"/>
                <w:b w:val="0"/>
                <w:color w:val="000000"/>
                <w:sz w:val="19"/>
              </w:rPr>
              <w:t>All 13 numbered code cells run from top to bottom without error</w:t>
            </w:r>
          </w:p>
        </w:tc>
        <w:tc>
          <w:tcPr>
            <w:tcW w:w="4139" w:type="dxa"/>
            <w:tcBorders>
              <w:top w:val="nil"/>
              <w:left w:val="nil"/>
              <w:bottom w:val="nil"/>
              <w:right w:val="nil"/>
            </w:tcBorders>
            <w:tcMar>
              <w:top w:w="90" w:type="dxa"/>
              <w:left w:w="110" w:type="dxa"/>
              <w:bottom w:w="90" w:type="dxa"/>
              <w:right w:w="110" w:type="dxa"/>
            </w:tcMar>
            <w:vAlign w:val="center"/>
          </w:tcPr>
          <w:p w14:paraId="1D915C9C">
            <w:pPr>
              <w:spacing w:after="0" w:line="240" w:lineRule="auto"/>
            </w:pPr>
            <w:r>
              <w:rPr>
                <w:rFonts w:ascii="Times New Roman" w:hAnsi="Times New Roman" w:eastAsia="Times New Roman"/>
                <w:b w:val="0"/>
                <w:color w:val="000000"/>
                <w:sz w:val="19"/>
              </w:rPr>
              <w:t>Executed notebook with saved outputs</w:t>
            </w:r>
          </w:p>
        </w:tc>
      </w:tr>
      <w:tr w14:paraId="572B4979">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4DF89A24">
            <w:pPr>
              <w:spacing w:after="0" w:line="240" w:lineRule="auto"/>
            </w:pPr>
            <w:r>
              <w:rPr>
                <w:rFonts w:ascii="Times New Roman" w:hAnsi="Times New Roman" w:eastAsia="Times New Roman"/>
                <w:b w:val="0"/>
                <w:color w:val="000000"/>
                <w:sz w:val="19"/>
              </w:rPr>
              <w:t>Data integrity</w:t>
            </w:r>
          </w:p>
        </w:tc>
        <w:tc>
          <w:tcPr>
            <w:tcW w:w="3402" w:type="dxa"/>
            <w:tcBorders>
              <w:top w:val="nil"/>
              <w:left w:val="nil"/>
              <w:bottom w:val="nil"/>
              <w:right w:val="nil"/>
            </w:tcBorders>
            <w:tcMar>
              <w:top w:w="90" w:type="dxa"/>
              <w:left w:w="110" w:type="dxa"/>
              <w:bottom w:w="90" w:type="dxa"/>
              <w:right w:w="110" w:type="dxa"/>
            </w:tcMar>
            <w:vAlign w:val="center"/>
          </w:tcPr>
          <w:p w14:paraId="07CF89CA">
            <w:pPr>
              <w:spacing w:after="0" w:line="240" w:lineRule="auto"/>
            </w:pPr>
            <w:r>
              <w:rPr>
                <w:rFonts w:ascii="Times New Roman" w:hAnsi="Times New Roman" w:eastAsia="Times New Roman"/>
                <w:b w:val="0"/>
                <w:color w:val="000000"/>
                <w:sz w:val="19"/>
              </w:rPr>
              <w:t>221175 unique crash identifiers and validated many to one joins</w:t>
            </w:r>
          </w:p>
        </w:tc>
        <w:tc>
          <w:tcPr>
            <w:tcW w:w="4139" w:type="dxa"/>
            <w:tcBorders>
              <w:top w:val="nil"/>
              <w:left w:val="nil"/>
              <w:bottom w:val="nil"/>
              <w:right w:val="nil"/>
            </w:tcBorders>
            <w:tcMar>
              <w:top w:w="90" w:type="dxa"/>
              <w:left w:w="110" w:type="dxa"/>
              <w:bottom w:w="90" w:type="dxa"/>
              <w:right w:w="110" w:type="dxa"/>
            </w:tcMar>
            <w:vAlign w:val="center"/>
          </w:tcPr>
          <w:p w14:paraId="08B51CBB">
            <w:pPr>
              <w:spacing w:after="0" w:line="240" w:lineRule="auto"/>
            </w:pPr>
            <w:r>
              <w:rPr>
                <w:rFonts w:ascii="Times New Roman" w:hAnsi="Times New Roman" w:eastAsia="Times New Roman"/>
                <w:b w:val="0"/>
                <w:color w:val="000000"/>
                <w:sz w:val="19"/>
              </w:rPr>
              <w:t>Row count, identifier, and merge assertions</w:t>
            </w:r>
          </w:p>
        </w:tc>
      </w:tr>
      <w:tr w14:paraId="184CA471">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14C6A844">
            <w:pPr>
              <w:spacing w:after="0" w:line="240" w:lineRule="auto"/>
            </w:pPr>
            <w:r>
              <w:rPr>
                <w:rFonts w:ascii="Times New Roman" w:hAnsi="Times New Roman" w:eastAsia="Times New Roman"/>
                <w:b w:val="0"/>
                <w:color w:val="000000"/>
                <w:sz w:val="19"/>
              </w:rPr>
              <w:t>Missing data</w:t>
            </w:r>
          </w:p>
        </w:tc>
        <w:tc>
          <w:tcPr>
            <w:tcW w:w="3402" w:type="dxa"/>
            <w:tcBorders>
              <w:top w:val="nil"/>
              <w:left w:val="nil"/>
              <w:bottom w:val="nil"/>
              <w:right w:val="nil"/>
            </w:tcBorders>
            <w:tcMar>
              <w:top w:w="90" w:type="dxa"/>
              <w:left w:w="110" w:type="dxa"/>
              <w:bottom w:w="90" w:type="dxa"/>
              <w:right w:w="110" w:type="dxa"/>
            </w:tcMar>
            <w:vAlign w:val="center"/>
          </w:tcPr>
          <w:p w14:paraId="687D1D56">
            <w:pPr>
              <w:spacing w:after="0" w:line="240" w:lineRule="auto"/>
            </w:pPr>
            <w:r>
              <w:rPr>
                <w:rFonts w:ascii="Times New Roman" w:hAnsi="Times New Roman" w:eastAsia="Times New Roman"/>
                <w:b w:val="0"/>
                <w:color w:val="000000"/>
                <w:sz w:val="19"/>
              </w:rPr>
              <w:t>The 466 unknown severity records remain missing and are excluded only where required</w:t>
            </w:r>
          </w:p>
        </w:tc>
        <w:tc>
          <w:tcPr>
            <w:tcW w:w="4139" w:type="dxa"/>
            <w:tcBorders>
              <w:top w:val="nil"/>
              <w:left w:val="nil"/>
              <w:bottom w:val="nil"/>
              <w:right w:val="nil"/>
            </w:tcBorders>
            <w:tcMar>
              <w:top w:w="90" w:type="dxa"/>
              <w:left w:w="110" w:type="dxa"/>
              <w:bottom w:w="90" w:type="dxa"/>
              <w:right w:w="110" w:type="dxa"/>
            </w:tcMar>
            <w:vAlign w:val="center"/>
          </w:tcPr>
          <w:p w14:paraId="23EFCDDC">
            <w:pPr>
              <w:spacing w:after="0" w:line="240" w:lineRule="auto"/>
            </w:pPr>
            <w:r>
              <w:rPr>
                <w:rFonts w:ascii="Times New Roman" w:hAnsi="Times New Roman" w:eastAsia="Times New Roman"/>
                <w:b w:val="0"/>
                <w:color w:val="000000"/>
                <w:sz w:val="19"/>
              </w:rPr>
              <w:t>Missing value audit and analysis subset counts</w:t>
            </w:r>
          </w:p>
        </w:tc>
      </w:tr>
      <w:tr w14:paraId="7E561647">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0C7B5428">
            <w:pPr>
              <w:spacing w:after="0" w:line="240" w:lineRule="auto"/>
            </w:pPr>
            <w:r>
              <w:rPr>
                <w:rFonts w:ascii="Times New Roman" w:hAnsi="Times New Roman" w:eastAsia="Times New Roman"/>
                <w:b w:val="0"/>
                <w:color w:val="000000"/>
                <w:sz w:val="19"/>
              </w:rPr>
              <w:t>Temporal coverage</w:t>
            </w:r>
          </w:p>
        </w:tc>
        <w:tc>
          <w:tcPr>
            <w:tcW w:w="3402" w:type="dxa"/>
            <w:tcBorders>
              <w:top w:val="nil"/>
              <w:left w:val="nil"/>
              <w:bottom w:val="nil"/>
              <w:right w:val="nil"/>
            </w:tcBorders>
            <w:tcMar>
              <w:top w:w="90" w:type="dxa"/>
              <w:left w:w="110" w:type="dxa"/>
              <w:bottom w:w="90" w:type="dxa"/>
              <w:right w:w="110" w:type="dxa"/>
            </w:tcMar>
            <w:vAlign w:val="center"/>
          </w:tcPr>
          <w:p w14:paraId="31CADE58">
            <w:pPr>
              <w:spacing w:after="0" w:line="240" w:lineRule="auto"/>
            </w:pPr>
            <w:r>
              <w:rPr>
                <w:rFonts w:ascii="Times New Roman" w:hAnsi="Times New Roman" w:eastAsia="Times New Roman"/>
                <w:b w:val="0"/>
                <w:color w:val="000000"/>
                <w:sz w:val="19"/>
              </w:rPr>
              <w:t>All 24 months and the weekday hour pattern are summarized with counts and rates</w:t>
            </w:r>
          </w:p>
        </w:tc>
        <w:tc>
          <w:tcPr>
            <w:tcW w:w="4139" w:type="dxa"/>
            <w:tcBorders>
              <w:top w:val="nil"/>
              <w:left w:val="nil"/>
              <w:bottom w:val="nil"/>
              <w:right w:val="nil"/>
            </w:tcBorders>
            <w:tcMar>
              <w:top w:w="90" w:type="dxa"/>
              <w:left w:w="110" w:type="dxa"/>
              <w:bottom w:w="90" w:type="dxa"/>
              <w:right w:w="110" w:type="dxa"/>
            </w:tcMar>
            <w:vAlign w:val="center"/>
          </w:tcPr>
          <w:p w14:paraId="30579F03">
            <w:pPr>
              <w:spacing w:after="0" w:line="240" w:lineRule="auto"/>
            </w:pPr>
            <w:r>
              <w:rPr>
                <w:rFonts w:ascii="Times New Roman" w:hAnsi="Times New Roman" w:eastAsia="Times New Roman"/>
                <w:b w:val="0"/>
                <w:color w:val="000000"/>
                <w:sz w:val="19"/>
              </w:rPr>
              <w:t>Monthly figure and weekday hour output</w:t>
            </w:r>
          </w:p>
        </w:tc>
      </w:tr>
      <w:tr w14:paraId="4B6E5F85">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6C3046B4">
            <w:pPr>
              <w:spacing w:after="0" w:line="240" w:lineRule="auto"/>
            </w:pPr>
            <w:r>
              <w:rPr>
                <w:rFonts w:ascii="Times New Roman" w:hAnsi="Times New Roman" w:eastAsia="Times New Roman"/>
                <w:b w:val="0"/>
                <w:color w:val="000000"/>
                <w:sz w:val="19"/>
              </w:rPr>
              <w:t>Environmental stability</w:t>
            </w:r>
          </w:p>
        </w:tc>
        <w:tc>
          <w:tcPr>
            <w:tcW w:w="3402" w:type="dxa"/>
            <w:tcBorders>
              <w:top w:val="nil"/>
              <w:left w:val="nil"/>
              <w:bottom w:val="nil"/>
              <w:right w:val="nil"/>
            </w:tcBorders>
            <w:tcMar>
              <w:top w:w="90" w:type="dxa"/>
              <w:left w:w="110" w:type="dxa"/>
              <w:bottom w:w="90" w:type="dxa"/>
              <w:right w:w="110" w:type="dxa"/>
            </w:tcMar>
            <w:vAlign w:val="center"/>
          </w:tcPr>
          <w:p w14:paraId="6ABB2389">
            <w:pPr>
              <w:spacing w:after="0" w:line="240" w:lineRule="auto"/>
            </w:pPr>
            <w:r>
              <w:rPr>
                <w:rFonts w:ascii="Times New Roman" w:hAnsi="Times New Roman" w:eastAsia="Times New Roman"/>
                <w:b w:val="0"/>
                <w:color w:val="000000"/>
                <w:sz w:val="19"/>
              </w:rPr>
              <w:t>Lighting weather cells contain at least 200 crashes</w:t>
            </w:r>
          </w:p>
        </w:tc>
        <w:tc>
          <w:tcPr>
            <w:tcW w:w="4139" w:type="dxa"/>
            <w:tcBorders>
              <w:top w:val="nil"/>
              <w:left w:val="nil"/>
              <w:bottom w:val="nil"/>
              <w:right w:val="nil"/>
            </w:tcBorders>
            <w:tcMar>
              <w:top w:w="90" w:type="dxa"/>
              <w:left w:w="110" w:type="dxa"/>
              <w:bottom w:w="90" w:type="dxa"/>
              <w:right w:w="110" w:type="dxa"/>
            </w:tcMar>
            <w:vAlign w:val="center"/>
          </w:tcPr>
          <w:p w14:paraId="359124DC">
            <w:pPr>
              <w:spacing w:after="0" w:line="240" w:lineRule="auto"/>
            </w:pPr>
            <w:r>
              <w:rPr>
                <w:rFonts w:ascii="Times New Roman" w:hAnsi="Times New Roman" w:eastAsia="Times New Roman"/>
                <w:b w:val="0"/>
                <w:color w:val="000000"/>
                <w:sz w:val="19"/>
              </w:rPr>
              <w:t>Suppressed small cells and labelled heatmap</w:t>
            </w:r>
          </w:p>
        </w:tc>
      </w:tr>
      <w:tr w14:paraId="45D08908">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2D401B67">
            <w:pPr>
              <w:spacing w:after="0" w:line="240" w:lineRule="auto"/>
            </w:pPr>
            <w:r>
              <w:rPr>
                <w:rFonts w:ascii="Times New Roman" w:hAnsi="Times New Roman" w:eastAsia="Times New Roman"/>
                <w:b w:val="0"/>
                <w:color w:val="000000"/>
                <w:sz w:val="19"/>
              </w:rPr>
              <w:t>Road user comparison</w:t>
            </w:r>
          </w:p>
        </w:tc>
        <w:tc>
          <w:tcPr>
            <w:tcW w:w="3402" w:type="dxa"/>
            <w:tcBorders>
              <w:top w:val="nil"/>
              <w:left w:val="nil"/>
              <w:bottom w:val="nil"/>
              <w:right w:val="nil"/>
            </w:tcBorders>
            <w:tcMar>
              <w:top w:w="90" w:type="dxa"/>
              <w:left w:w="110" w:type="dxa"/>
              <w:bottom w:w="90" w:type="dxa"/>
              <w:right w:w="110" w:type="dxa"/>
            </w:tcMar>
            <w:vAlign w:val="center"/>
          </w:tcPr>
          <w:p w14:paraId="71B1C367">
            <w:pPr>
              <w:spacing w:after="0" w:line="240" w:lineRule="auto"/>
            </w:pPr>
            <w:r>
              <w:rPr>
                <w:rFonts w:ascii="Times New Roman" w:hAnsi="Times New Roman" w:eastAsia="Times New Roman"/>
                <w:b w:val="0"/>
                <w:color w:val="000000"/>
                <w:sz w:val="19"/>
              </w:rPr>
              <w:t>Vehicle unit categories contain at least 500 records and retain their denominators</w:t>
            </w:r>
          </w:p>
        </w:tc>
        <w:tc>
          <w:tcPr>
            <w:tcW w:w="4139" w:type="dxa"/>
            <w:tcBorders>
              <w:top w:val="nil"/>
              <w:left w:val="nil"/>
              <w:bottom w:val="nil"/>
              <w:right w:val="nil"/>
            </w:tcBorders>
            <w:tcMar>
              <w:top w:w="90" w:type="dxa"/>
              <w:left w:w="110" w:type="dxa"/>
              <w:bottom w:w="90" w:type="dxa"/>
              <w:right w:w="110" w:type="dxa"/>
            </w:tcMar>
            <w:vAlign w:val="center"/>
          </w:tcPr>
          <w:p w14:paraId="3309ED83">
            <w:pPr>
              <w:spacing w:after="0" w:line="240" w:lineRule="auto"/>
            </w:pPr>
            <w:r>
              <w:rPr>
                <w:rFonts w:ascii="Times New Roman" w:hAnsi="Times New Roman" w:eastAsia="Times New Roman"/>
                <w:b w:val="0"/>
                <w:color w:val="000000"/>
                <w:sz w:val="19"/>
              </w:rPr>
              <w:t>Road user rate table and interactive bars</w:t>
            </w:r>
          </w:p>
        </w:tc>
      </w:tr>
      <w:tr w14:paraId="7A8ABFCF">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49C121A7">
            <w:pPr>
              <w:spacing w:after="0" w:line="240" w:lineRule="auto"/>
            </w:pPr>
            <w:r>
              <w:rPr>
                <w:rFonts w:ascii="Times New Roman" w:hAnsi="Times New Roman" w:eastAsia="Times New Roman"/>
                <w:b w:val="0"/>
                <w:color w:val="000000"/>
                <w:sz w:val="19"/>
              </w:rPr>
              <w:t>Demographic comparison</w:t>
            </w:r>
          </w:p>
        </w:tc>
        <w:tc>
          <w:tcPr>
            <w:tcW w:w="3402" w:type="dxa"/>
            <w:tcBorders>
              <w:top w:val="nil"/>
              <w:left w:val="nil"/>
              <w:bottom w:val="nil"/>
              <w:right w:val="nil"/>
            </w:tcBorders>
            <w:tcMar>
              <w:top w:w="90" w:type="dxa"/>
              <w:left w:w="110" w:type="dxa"/>
              <w:bottom w:w="90" w:type="dxa"/>
              <w:right w:w="110" w:type="dxa"/>
            </w:tcMar>
            <w:vAlign w:val="center"/>
          </w:tcPr>
          <w:p w14:paraId="1D9BF329">
            <w:pPr>
              <w:spacing w:after="0" w:line="240" w:lineRule="auto"/>
            </w:pPr>
            <w:r>
              <w:rPr>
                <w:rFonts w:ascii="Times New Roman" w:hAnsi="Times New Roman" w:eastAsia="Times New Roman"/>
                <w:b w:val="0"/>
                <w:color w:val="000000"/>
                <w:sz w:val="19"/>
              </w:rPr>
              <w:t>Age groups and person types use person level injury denominators</w:t>
            </w:r>
          </w:p>
        </w:tc>
        <w:tc>
          <w:tcPr>
            <w:tcW w:w="4139" w:type="dxa"/>
            <w:tcBorders>
              <w:top w:val="nil"/>
              <w:left w:val="nil"/>
              <w:bottom w:val="nil"/>
              <w:right w:val="nil"/>
            </w:tcBorders>
            <w:tcMar>
              <w:top w:w="90" w:type="dxa"/>
              <w:left w:w="110" w:type="dxa"/>
              <w:bottom w:w="90" w:type="dxa"/>
              <w:right w:w="110" w:type="dxa"/>
            </w:tcMar>
            <w:vAlign w:val="center"/>
          </w:tcPr>
          <w:p w14:paraId="17AA5EBE">
            <w:pPr>
              <w:spacing w:after="0" w:line="240" w:lineRule="auto"/>
            </w:pPr>
            <w:r>
              <w:rPr>
                <w:rFonts w:ascii="Times New Roman" w:hAnsi="Times New Roman" w:eastAsia="Times New Roman"/>
                <w:b w:val="0"/>
                <w:color w:val="000000"/>
                <w:sz w:val="19"/>
              </w:rPr>
              <w:t>Person rate table and Figure 3</w:t>
            </w:r>
          </w:p>
        </w:tc>
      </w:tr>
      <w:tr w14:paraId="42D8EC16">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5E66BADE">
            <w:pPr>
              <w:spacing w:after="0" w:line="240" w:lineRule="auto"/>
            </w:pPr>
            <w:r>
              <w:rPr>
                <w:rFonts w:ascii="Times New Roman" w:hAnsi="Times New Roman" w:eastAsia="Times New Roman"/>
                <w:b w:val="0"/>
                <w:color w:val="000000"/>
                <w:sz w:val="19"/>
              </w:rPr>
              <w:t>Spatial coverage</w:t>
            </w:r>
          </w:p>
        </w:tc>
        <w:tc>
          <w:tcPr>
            <w:tcW w:w="3402" w:type="dxa"/>
            <w:tcBorders>
              <w:top w:val="nil"/>
              <w:left w:val="nil"/>
              <w:bottom w:val="nil"/>
              <w:right w:val="nil"/>
            </w:tcBorders>
            <w:tcMar>
              <w:top w:w="90" w:type="dxa"/>
              <w:left w:w="110" w:type="dxa"/>
              <w:bottom w:w="90" w:type="dxa"/>
              <w:right w:w="110" w:type="dxa"/>
            </w:tcMar>
            <w:vAlign w:val="center"/>
          </w:tcPr>
          <w:p w14:paraId="2AEE66EC">
            <w:pPr>
              <w:spacing w:after="0" w:line="240" w:lineRule="auto"/>
            </w:pPr>
            <w:r>
              <w:rPr>
                <w:rFonts w:ascii="Times New Roman" w:hAnsi="Times New Roman" w:eastAsia="Times New Roman"/>
                <w:b w:val="0"/>
                <w:color w:val="000000"/>
                <w:sz w:val="19"/>
              </w:rPr>
              <w:t>Severe crashes with valid nonzero coordinates appear on the Folium map</w:t>
            </w:r>
          </w:p>
        </w:tc>
        <w:tc>
          <w:tcPr>
            <w:tcW w:w="4139" w:type="dxa"/>
            <w:tcBorders>
              <w:top w:val="nil"/>
              <w:left w:val="nil"/>
              <w:bottom w:val="nil"/>
              <w:right w:val="nil"/>
            </w:tcBorders>
            <w:tcMar>
              <w:top w:w="90" w:type="dxa"/>
              <w:left w:w="110" w:type="dxa"/>
              <w:bottom w:w="90" w:type="dxa"/>
              <w:right w:w="110" w:type="dxa"/>
            </w:tcMar>
            <w:vAlign w:val="center"/>
          </w:tcPr>
          <w:p w14:paraId="37CB3205">
            <w:pPr>
              <w:spacing w:after="0" w:line="240" w:lineRule="auto"/>
            </w:pPr>
            <w:r>
              <w:rPr>
                <w:rFonts w:ascii="Times New Roman" w:hAnsi="Times New Roman" w:eastAsia="Times New Roman"/>
                <w:b w:val="0"/>
                <w:color w:val="000000"/>
                <w:sz w:val="19"/>
              </w:rPr>
              <w:t>3287 mapped severe crashes and CARTO basemap</w:t>
            </w:r>
          </w:p>
        </w:tc>
      </w:tr>
      <w:tr w14:paraId="6246779C">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4654E62C">
            <w:pPr>
              <w:spacing w:after="0" w:line="240" w:lineRule="auto"/>
            </w:pPr>
            <w:r>
              <w:rPr>
                <w:rFonts w:ascii="Times New Roman" w:hAnsi="Times New Roman" w:eastAsia="Times New Roman"/>
                <w:b w:val="0"/>
                <w:color w:val="000000"/>
                <w:sz w:val="19"/>
              </w:rPr>
              <w:t>Visual clarity</w:t>
            </w:r>
          </w:p>
        </w:tc>
        <w:tc>
          <w:tcPr>
            <w:tcW w:w="3402" w:type="dxa"/>
            <w:tcBorders>
              <w:top w:val="nil"/>
              <w:left w:val="nil"/>
              <w:bottom w:val="nil"/>
              <w:right w:val="nil"/>
            </w:tcBorders>
            <w:tcMar>
              <w:top w:w="90" w:type="dxa"/>
              <w:left w:w="110" w:type="dxa"/>
              <w:bottom w:w="90" w:type="dxa"/>
              <w:right w:w="110" w:type="dxa"/>
            </w:tcMar>
            <w:vAlign w:val="center"/>
          </w:tcPr>
          <w:p w14:paraId="4BC0A96E">
            <w:pPr>
              <w:spacing w:after="0" w:line="240" w:lineRule="auto"/>
            </w:pPr>
            <w:r>
              <w:rPr>
                <w:rFonts w:ascii="Times New Roman" w:hAnsi="Times New Roman" w:eastAsia="Times New Roman"/>
                <w:b w:val="0"/>
                <w:color w:val="000000"/>
                <w:sz w:val="19"/>
              </w:rPr>
              <w:t>Every figure states its title, axes, units, threshold, and interpretation scope</w:t>
            </w:r>
          </w:p>
        </w:tc>
        <w:tc>
          <w:tcPr>
            <w:tcW w:w="4139" w:type="dxa"/>
            <w:tcBorders>
              <w:top w:val="nil"/>
              <w:left w:val="nil"/>
              <w:bottom w:val="nil"/>
              <w:right w:val="nil"/>
            </w:tcBorders>
            <w:tcMar>
              <w:top w:w="90" w:type="dxa"/>
              <w:left w:w="110" w:type="dxa"/>
              <w:bottom w:w="90" w:type="dxa"/>
              <w:right w:w="110" w:type="dxa"/>
            </w:tcMar>
            <w:vAlign w:val="center"/>
          </w:tcPr>
          <w:p w14:paraId="31F76380">
            <w:pPr>
              <w:spacing w:after="0" w:line="240" w:lineRule="auto"/>
            </w:pPr>
            <w:r>
              <w:rPr>
                <w:rFonts w:ascii="Times New Roman" w:hAnsi="Times New Roman" w:eastAsia="Times New Roman"/>
                <w:b w:val="0"/>
                <w:color w:val="000000"/>
                <w:sz w:val="19"/>
              </w:rPr>
              <w:t>Figures 1 to 3 and the notebook visuals</w:t>
            </w:r>
          </w:p>
        </w:tc>
      </w:tr>
      <w:tr w14:paraId="37CE3194">
        <w:trPr>
          <w:cantSplit/>
          <w:jc w:val="center"/>
        </w:trPr>
        <w:tc>
          <w:tcPr>
            <w:tcW w:w="1984" w:type="dxa"/>
            <w:tcBorders>
              <w:top w:val="nil"/>
              <w:left w:val="nil"/>
              <w:bottom w:val="nil"/>
              <w:right w:val="nil"/>
            </w:tcBorders>
            <w:tcMar>
              <w:top w:w="90" w:type="dxa"/>
              <w:left w:w="110" w:type="dxa"/>
              <w:bottom w:w="90" w:type="dxa"/>
              <w:right w:w="110" w:type="dxa"/>
            </w:tcMar>
            <w:vAlign w:val="center"/>
          </w:tcPr>
          <w:p w14:paraId="4F8E66BE">
            <w:pPr>
              <w:spacing w:after="0" w:line="240" w:lineRule="auto"/>
            </w:pPr>
            <w:r>
              <w:rPr>
                <w:rFonts w:ascii="Times New Roman" w:hAnsi="Times New Roman" w:eastAsia="Times New Roman"/>
                <w:b w:val="0"/>
                <w:color w:val="000000"/>
                <w:sz w:val="19"/>
              </w:rPr>
              <w:t>Interpretation</w:t>
            </w:r>
          </w:p>
        </w:tc>
        <w:tc>
          <w:tcPr>
            <w:tcW w:w="3402" w:type="dxa"/>
            <w:tcBorders>
              <w:top w:val="nil"/>
              <w:left w:val="nil"/>
              <w:bottom w:val="nil"/>
              <w:right w:val="nil"/>
            </w:tcBorders>
            <w:tcMar>
              <w:top w:w="90" w:type="dxa"/>
              <w:left w:w="110" w:type="dxa"/>
              <w:bottom w:w="90" w:type="dxa"/>
              <w:right w:w="110" w:type="dxa"/>
            </w:tcMar>
            <w:vAlign w:val="center"/>
          </w:tcPr>
          <w:p w14:paraId="20D7A708">
            <w:pPr>
              <w:spacing w:after="0" w:line="240" w:lineRule="auto"/>
            </w:pPr>
            <w:r>
              <w:rPr>
                <w:rFonts w:ascii="Times New Roman" w:hAnsi="Times New Roman" w:eastAsia="Times New Roman"/>
                <w:b w:val="0"/>
                <w:color w:val="000000"/>
                <w:sz w:val="19"/>
              </w:rPr>
              <w:t>Claims remain descriptive and state the exposure and causality limits</w:t>
            </w:r>
          </w:p>
        </w:tc>
        <w:tc>
          <w:tcPr>
            <w:tcW w:w="4139" w:type="dxa"/>
            <w:tcBorders>
              <w:top w:val="nil"/>
              <w:left w:val="nil"/>
              <w:bottom w:val="nil"/>
              <w:right w:val="nil"/>
            </w:tcBorders>
            <w:tcMar>
              <w:top w:w="90" w:type="dxa"/>
              <w:left w:w="110" w:type="dxa"/>
              <w:bottom w:w="90" w:type="dxa"/>
              <w:right w:w="110" w:type="dxa"/>
            </w:tcMar>
            <w:vAlign w:val="center"/>
          </w:tcPr>
          <w:p w14:paraId="6FAA0850">
            <w:pPr>
              <w:spacing w:after="0" w:line="240" w:lineRule="auto"/>
            </w:pPr>
            <w:r>
              <w:rPr>
                <w:rFonts w:ascii="Times New Roman" w:hAnsi="Times New Roman" w:eastAsia="Times New Roman"/>
                <w:b w:val="0"/>
                <w:color w:val="000000"/>
                <w:sz w:val="19"/>
              </w:rPr>
              <w:t>Written limitations beside the relevant findings</w:t>
            </w:r>
          </w:p>
        </w:tc>
      </w:tr>
    </w:tbl>
    <w:p w14:paraId="3F7BB0D2">
      <w:pPr>
        <w:pStyle w:val="4"/>
        <w:keepNext/>
        <w:spacing w:before="100" w:after="80"/>
      </w:pPr>
      <w:r>
        <w:rPr>
          <w:rFonts w:ascii="Times New Roman" w:hAnsi="Times New Roman" w:eastAsia="Times New Roman"/>
          <w:b/>
          <w:color w:val="000000"/>
          <w:sz w:val="24"/>
        </w:rPr>
        <w:t>Preliminary Evidence</w:t>
      </w:r>
    </w:p>
    <w:p w14:paraId="6B49297B">
      <w:pPr>
        <w:keepNext w:val="0"/>
        <w:spacing w:after="80" w:line="259" w:lineRule="auto"/>
        <w:jc w:val="both"/>
      </w:pPr>
      <w:r>
        <w:rPr>
          <w:rFonts w:ascii="Times New Roman" w:hAnsi="Times New Roman" w:eastAsia="Times New Roman"/>
          <w:color w:val="000000"/>
          <w:sz w:val="23"/>
        </w:rPr>
        <w:t>The executed notebook already demonstrates feasibility. It identifies 3312 severe crashes among 220709 crashes with known severity, an overall rate of 1.50 percent, and retains 3287 severe crashes with valid coordinates. The unique identifier and join checks preserve the crash, vehicle, and person units of analysis, while the count thresholds prevent small groups from determining the main comparisons.</w:t>
      </w:r>
    </w:p>
    <w:p w14:paraId="390C8A81">
      <w:pPr>
        <w:keepNext w:val="0"/>
        <w:spacing w:after="80" w:line="259" w:lineRule="auto"/>
        <w:jc w:val="both"/>
      </w:pPr>
      <w:r>
        <w:rPr>
          <w:rFonts w:ascii="Times New Roman" w:hAnsi="Times New Roman" w:eastAsia="Times New Roman"/>
          <w:color w:val="000000"/>
          <w:sz w:val="23"/>
        </w:rPr>
        <w:t>Figures 1 to 3 check three distinct parts of the research question. The monthly rate plot shows temporal variation across 2024 and 2025. The environmental heatmap applies the 200 crash threshold and shows a 2.94 percent rate for rain on dark lighted roads, compared with 1.30 percent for daylight in rain. The person level charts identify the 75 and older group at 1.57 percent and pedestrians at 13.61 percent. These values are descriptive comparisons, not causal estimates.</w:t>
      </w:r>
    </w:p>
    <w:p w14:paraId="5DE5F925">
      <w:r>
        <w:br w:type="page"/>
      </w:r>
    </w:p>
    <w:p w14:paraId="26B75C17">
      <w:pPr>
        <w:pStyle w:val="4"/>
        <w:keepNext/>
        <w:spacing w:before="0" w:after="60"/>
      </w:pPr>
      <w:r>
        <w:rPr>
          <w:rFonts w:ascii="Times New Roman" w:hAnsi="Times New Roman" w:eastAsia="Times New Roman"/>
          <w:b/>
          <w:color w:val="000000"/>
          <w:sz w:val="24"/>
        </w:rPr>
        <w:t>Visual Evidence</w:t>
      </w:r>
    </w:p>
    <w:p w14:paraId="58FBF88A">
      <w:pPr>
        <w:spacing w:after="60"/>
        <w:jc w:val="both"/>
      </w:pPr>
      <w:r>
        <w:rPr>
          <w:rFonts w:ascii="Times New Roman" w:hAnsi="Times New Roman" w:eastAsia="Times New Roman"/>
          <w:color w:val="000000"/>
          <w:sz w:val="21"/>
        </w:rPr>
        <w:t>The three figures provide temporal, environmental, and demographic evidence for the success criteria. Their values are produced by the same executed notebook used for the reported counts.</w:t>
      </w:r>
    </w:p>
    <w:p w14:paraId="44731EB6">
      <w:pPr>
        <w:keepNext/>
        <w:spacing w:before="20" w:after="20"/>
        <w:jc w:val="center"/>
      </w:pPr>
      <w:r>
        <w:drawing>
          <wp:inline distT="0" distB="0" distL="114300" distR="114300">
            <wp:extent cx="4859655" cy="1721485"/>
            <wp:effectExtent l="0" t="0" r="17145" b="5715"/>
            <wp:docPr id="1" name="Picture 1" descr="Line plot of the monthly severe crash rate from January 2024 through Decemb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ne plot of the monthly severe crash rate from January 2024 through December 2025"/>
                    <pic:cNvPicPr>
                      <a:picLocks noChangeAspect="1"/>
                    </pic:cNvPicPr>
                  </pic:nvPicPr>
                  <pic:blipFill>
                    <a:blip r:embed="rId6"/>
                    <a:stretch>
                      <a:fillRect/>
                    </a:stretch>
                  </pic:blipFill>
                  <pic:spPr>
                    <a:xfrm>
                      <a:off x="0" y="0"/>
                      <a:ext cx="4860000" cy="1721624"/>
                    </a:xfrm>
                    <a:prstGeom prst="rect">
                      <a:avLst/>
                    </a:prstGeom>
                  </pic:spPr>
                </pic:pic>
              </a:graphicData>
            </a:graphic>
          </wp:inline>
        </w:drawing>
      </w:r>
    </w:p>
    <w:p w14:paraId="340F5496">
      <w:pPr>
        <w:keepNext/>
        <w:spacing w:before="0" w:after="60"/>
        <w:jc w:val="center"/>
      </w:pPr>
      <w:r>
        <w:rPr>
          <w:rFonts w:ascii="Times New Roman" w:hAnsi="Times New Roman" w:eastAsia="Times New Roman"/>
          <w:color w:val="000000"/>
          <w:sz w:val="17"/>
        </w:rPr>
        <w:t>Figure 1  Monthly severe crash rate in Chicago 2024 to 2025</w:t>
      </w:r>
    </w:p>
    <w:p w14:paraId="4725DEC2">
      <w:pPr>
        <w:keepNext/>
        <w:spacing w:before="20" w:after="20"/>
        <w:jc w:val="center"/>
      </w:pPr>
      <w:r>
        <w:drawing>
          <wp:inline distT="0" distB="0" distL="114300" distR="114300">
            <wp:extent cx="4679950" cy="2386330"/>
            <wp:effectExtent l="0" t="0" r="19050" b="1270"/>
            <wp:docPr id="2" name="Picture 2" descr="Heatmap of severe crash rates by lighting and weather with cells below 200 crashes o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eatmap of severe crash rates by lighting and weather with cells below 200 crashes omitted"/>
                    <pic:cNvPicPr>
                      <a:picLocks noChangeAspect="1"/>
                    </pic:cNvPicPr>
                  </pic:nvPicPr>
                  <pic:blipFill>
                    <a:blip r:embed="rId7"/>
                    <a:stretch>
                      <a:fillRect/>
                    </a:stretch>
                  </pic:blipFill>
                  <pic:spPr>
                    <a:xfrm>
                      <a:off x="0" y="0"/>
                      <a:ext cx="4680000" cy="2386948"/>
                    </a:xfrm>
                    <a:prstGeom prst="rect">
                      <a:avLst/>
                    </a:prstGeom>
                  </pic:spPr>
                </pic:pic>
              </a:graphicData>
            </a:graphic>
          </wp:inline>
        </w:drawing>
      </w:r>
    </w:p>
    <w:p w14:paraId="336B4206">
      <w:pPr>
        <w:keepNext/>
        <w:spacing w:before="0" w:after="60"/>
        <w:jc w:val="center"/>
      </w:pPr>
      <w:r>
        <w:rPr>
          <w:rFonts w:ascii="Times New Roman" w:hAnsi="Times New Roman" w:eastAsia="Times New Roman"/>
          <w:color w:val="000000"/>
          <w:sz w:val="17"/>
        </w:rPr>
        <w:t>Figure 2  Severe crash rate by lighting and weather  Cells below 200 crashes are omitted</w:t>
      </w:r>
    </w:p>
    <w:p w14:paraId="01557EEF">
      <w:pPr>
        <w:keepNext/>
        <w:spacing w:before="20" w:after="20"/>
        <w:jc w:val="center"/>
      </w:pPr>
      <w:r>
        <w:drawing>
          <wp:inline distT="0" distB="0" distL="114300" distR="114300">
            <wp:extent cx="4859655" cy="1831340"/>
            <wp:effectExtent l="0" t="0" r="17145" b="22860"/>
            <wp:docPr id="3" name="Picture 3" descr="Bar charts of person level severe injury rates by age group and pers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ar charts of person level severe injury rates by age group and person type"/>
                    <pic:cNvPicPr>
                      <a:picLocks noChangeAspect="1"/>
                    </pic:cNvPicPr>
                  </pic:nvPicPr>
                  <pic:blipFill>
                    <a:blip r:embed="rId8"/>
                    <a:stretch>
                      <a:fillRect/>
                    </a:stretch>
                  </pic:blipFill>
                  <pic:spPr>
                    <a:xfrm>
                      <a:off x="0" y="0"/>
                      <a:ext cx="4860000" cy="1831963"/>
                    </a:xfrm>
                    <a:prstGeom prst="rect">
                      <a:avLst/>
                    </a:prstGeom>
                  </pic:spPr>
                </pic:pic>
              </a:graphicData>
            </a:graphic>
          </wp:inline>
        </w:drawing>
      </w:r>
    </w:p>
    <w:p w14:paraId="48A182E2">
      <w:pPr>
        <w:keepNext w:val="0"/>
        <w:spacing w:before="0" w:after="60"/>
        <w:jc w:val="center"/>
      </w:pPr>
      <w:r>
        <w:rPr>
          <w:rFonts w:ascii="Times New Roman" w:hAnsi="Times New Roman" w:eastAsia="Times New Roman"/>
          <w:color w:val="000000"/>
          <w:sz w:val="17"/>
        </w:rPr>
        <w:t>Figure 3  Person level severe injury rate by age group and person type</w:t>
      </w:r>
    </w:p>
    <w:p w14:paraId="4C33EFAF">
      <w:r>
        <w:br w:type="page"/>
      </w:r>
    </w:p>
    <w:p w14:paraId="7DEEE7A4">
      <w:pPr>
        <w:pStyle w:val="3"/>
        <w:keepNext/>
        <w:spacing w:before="140" w:after="80"/>
      </w:pPr>
      <w:r>
        <w:rPr>
          <w:rFonts w:ascii="Times New Roman" w:hAnsi="Times New Roman" w:eastAsia="Times New Roman"/>
          <w:b/>
          <w:color w:val="000000"/>
          <w:sz w:val="28"/>
        </w:rPr>
        <w:t>5 Project Collaboration</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876"/>
        <w:gridCol w:w="4876"/>
      </w:tblGrid>
      <w:tr w14:paraId="582BB90B">
        <w:trPr>
          <w:cantSplit/>
          <w:tblHeader/>
          <w:jc w:val="center"/>
        </w:trPr>
        <w:tc>
          <w:tcPr>
            <w:tcW w:w="2268" w:type="dxa"/>
            <w:tcBorders>
              <w:top w:val="nil"/>
              <w:left w:val="nil"/>
              <w:bottom w:val="single" w:color="auto" w:sz="4" w:space="0"/>
              <w:right w:val="nil"/>
            </w:tcBorders>
            <w:shd w:val="clear" w:color="auto" w:fill="D7D7D7" w:themeFill="background1" w:themeFillShade="D8"/>
            <w:tcMar>
              <w:top w:w="90" w:type="dxa"/>
              <w:left w:w="110" w:type="dxa"/>
              <w:bottom w:w="90" w:type="dxa"/>
              <w:right w:w="110" w:type="dxa"/>
            </w:tcMar>
            <w:vAlign w:val="center"/>
          </w:tcPr>
          <w:p w14:paraId="2FA45F5B">
            <w:pPr>
              <w:spacing w:after="0" w:line="240" w:lineRule="auto"/>
            </w:pPr>
            <w:r>
              <w:rPr>
                <w:rFonts w:ascii="Times New Roman" w:hAnsi="Times New Roman" w:eastAsia="Times New Roman"/>
                <w:b/>
                <w:color w:val="000000"/>
                <w:sz w:val="20"/>
              </w:rPr>
              <w:t>Member</w:t>
            </w:r>
          </w:p>
        </w:tc>
        <w:tc>
          <w:tcPr>
            <w:tcW w:w="7257" w:type="dxa"/>
            <w:tcBorders>
              <w:top w:val="nil"/>
              <w:left w:val="nil"/>
              <w:bottom w:val="single" w:color="auto" w:sz="4" w:space="0"/>
              <w:right w:val="nil"/>
            </w:tcBorders>
            <w:shd w:val="clear" w:color="auto" w:fill="D7D7D7" w:themeFill="background1" w:themeFillShade="D8"/>
            <w:tcMar>
              <w:top w:w="90" w:type="dxa"/>
              <w:left w:w="110" w:type="dxa"/>
              <w:bottom w:w="90" w:type="dxa"/>
              <w:right w:w="110" w:type="dxa"/>
            </w:tcMar>
            <w:vAlign w:val="center"/>
          </w:tcPr>
          <w:p w14:paraId="30F38544">
            <w:pPr>
              <w:spacing w:after="0" w:line="240" w:lineRule="auto"/>
            </w:pPr>
            <w:r>
              <w:rPr>
                <w:rFonts w:ascii="Times New Roman" w:hAnsi="Times New Roman" w:eastAsia="Times New Roman"/>
                <w:b/>
                <w:color w:val="000000"/>
                <w:sz w:val="20"/>
              </w:rPr>
              <w:t>Responsibilities</w:t>
            </w:r>
          </w:p>
        </w:tc>
      </w:tr>
      <w:tr w14:paraId="39F355F6">
        <w:trPr>
          <w:cantSplit/>
          <w:jc w:val="center"/>
        </w:trPr>
        <w:tc>
          <w:tcPr>
            <w:tcW w:w="2268" w:type="dxa"/>
            <w:tcBorders>
              <w:top w:val="single" w:color="auto" w:sz="4" w:space="0"/>
              <w:left w:val="nil"/>
              <w:bottom w:val="single" w:color="auto" w:sz="4" w:space="0"/>
              <w:right w:val="nil"/>
            </w:tcBorders>
            <w:tcMar>
              <w:top w:w="90" w:type="dxa"/>
              <w:left w:w="110" w:type="dxa"/>
              <w:bottom w:w="90" w:type="dxa"/>
              <w:right w:w="110" w:type="dxa"/>
            </w:tcMar>
            <w:vAlign w:val="center"/>
          </w:tcPr>
          <w:p w14:paraId="1795A0E1">
            <w:pPr>
              <w:spacing w:after="0" w:line="240" w:lineRule="auto"/>
            </w:pPr>
            <w:r>
              <w:rPr>
                <w:rFonts w:ascii="Times New Roman" w:hAnsi="Times New Roman" w:eastAsia="Times New Roman"/>
                <w:b w:val="0"/>
                <w:color w:val="000000"/>
                <w:sz w:val="20"/>
              </w:rPr>
              <w:t>MC631517 Tang I Choi</w:t>
            </w:r>
            <w:r>
              <w:rPr>
                <w:rFonts w:ascii="Times New Roman" w:hAnsi="Times New Roman" w:eastAsia="Times New Roman"/>
                <w:b w:val="0"/>
                <w:color w:val="000000"/>
                <w:sz w:val="20"/>
              </w:rPr>
              <w:br w:type="textWrapping"/>
            </w:r>
          </w:p>
        </w:tc>
        <w:tc>
          <w:tcPr>
            <w:tcW w:w="7257" w:type="dxa"/>
            <w:tcBorders>
              <w:top w:val="single" w:color="auto" w:sz="4" w:space="0"/>
              <w:left w:val="nil"/>
              <w:bottom w:val="single" w:color="auto" w:sz="4" w:space="0"/>
              <w:right w:val="nil"/>
            </w:tcBorders>
            <w:tcMar>
              <w:top w:w="90" w:type="dxa"/>
              <w:left w:w="110" w:type="dxa"/>
              <w:bottom w:w="90" w:type="dxa"/>
              <w:right w:w="110" w:type="dxa"/>
            </w:tcMar>
            <w:vAlign w:val="center"/>
          </w:tcPr>
          <w:p w14:paraId="19361563">
            <w:pPr>
              <w:spacing w:after="0" w:line="240" w:lineRule="auto"/>
            </w:pPr>
            <w:r>
              <w:rPr>
                <w:rFonts w:ascii="Times New Roman" w:hAnsi="Times New Roman" w:eastAsia="Times New Roman"/>
                <w:b w:val="0"/>
                <w:color w:val="000000"/>
                <w:sz w:val="20"/>
              </w:rPr>
              <w:t>Prepares the vehicle-level and person-level data; checks crash-ID coverage and the validated joins; completes the road-user and demographic summaries; reviews the Plotly and Folium outputs, labels, and units; independently checks row counts, thresholds, rates, and missing-data treatment; maintains the progress and decision record; edits the collaboration, visualization justification, and references sections; proofreads the notebook and report; and confirms the final submission package.</w:t>
            </w:r>
          </w:p>
        </w:tc>
      </w:tr>
      <w:tr w14:paraId="5B9B6A18">
        <w:trPr>
          <w:cantSplit/>
          <w:jc w:val="center"/>
        </w:trPr>
        <w:tc>
          <w:tcPr>
            <w:tcW w:w="2268" w:type="dxa"/>
            <w:tcBorders>
              <w:top w:val="single" w:color="auto" w:sz="4" w:space="0"/>
              <w:left w:val="nil"/>
              <w:bottom w:val="single" w:color="auto" w:sz="4" w:space="0"/>
              <w:right w:val="nil"/>
            </w:tcBorders>
            <w:tcMar>
              <w:top w:w="90" w:type="dxa"/>
              <w:left w:w="110" w:type="dxa"/>
              <w:bottom w:w="90" w:type="dxa"/>
              <w:right w:w="110" w:type="dxa"/>
            </w:tcMar>
            <w:vAlign w:val="center"/>
          </w:tcPr>
          <w:p w14:paraId="2279A1AD">
            <w:pPr>
              <w:spacing w:after="0" w:line="240" w:lineRule="auto"/>
            </w:pPr>
            <w:r>
              <w:rPr>
                <w:rFonts w:ascii="Times New Roman" w:hAnsi="Times New Roman" w:eastAsia="Times New Roman"/>
                <w:b w:val="0"/>
                <w:color w:val="000000"/>
                <w:sz w:val="20"/>
              </w:rPr>
              <w:t>MC637132 TAN MIN FAI</w:t>
            </w:r>
            <w:r>
              <w:rPr>
                <w:rFonts w:ascii="Times New Roman" w:hAnsi="Times New Roman" w:eastAsia="Times New Roman"/>
                <w:b w:val="0"/>
                <w:color w:val="000000"/>
                <w:sz w:val="20"/>
              </w:rPr>
              <w:br w:type="textWrapping"/>
            </w:r>
          </w:p>
        </w:tc>
        <w:tc>
          <w:tcPr>
            <w:tcW w:w="7257" w:type="dxa"/>
            <w:tcBorders>
              <w:top w:val="single" w:color="auto" w:sz="4" w:space="0"/>
              <w:left w:val="nil"/>
              <w:bottom w:val="single" w:color="auto" w:sz="4" w:space="0"/>
              <w:right w:val="nil"/>
            </w:tcBorders>
            <w:tcMar>
              <w:top w:w="90" w:type="dxa"/>
              <w:left w:w="110" w:type="dxa"/>
              <w:bottom w:w="90" w:type="dxa"/>
              <w:right w:w="110" w:type="dxa"/>
            </w:tcMar>
            <w:vAlign w:val="center"/>
          </w:tcPr>
          <w:p w14:paraId="60BBFC4F">
            <w:pPr>
              <w:spacing w:after="0" w:line="240" w:lineRule="auto"/>
              <w:rPr>
                <w:rFonts w:ascii="Times New Roman" w:hAnsi="Times New Roman" w:eastAsia="Times New Roman"/>
                <w:b w:val="0"/>
                <w:color w:val="000000"/>
                <w:sz w:val="20"/>
              </w:rPr>
            </w:pPr>
            <w:r>
              <w:rPr>
                <w:rFonts w:ascii="Times New Roman" w:hAnsi="Times New Roman" w:eastAsia="Times New Roman"/>
                <w:b w:val="0"/>
                <w:color w:val="000000"/>
                <w:sz w:val="20"/>
              </w:rPr>
              <w:t>Defines the research question and scope; coordinates the schedule and records agreed decisions; retrieves and validates the three source datasets; prepares the crash-level data and the severity, time, environmental, and coordinate variables; completes the temporal, environmental, and spatial analyses; integrates and executes the notebook; drafts the methods, tasks, success criteria, and technical findings; checks all reported values against the executed outputs; and assembles the final submission files.</w:t>
            </w:r>
          </w:p>
        </w:tc>
      </w:tr>
    </w:tbl>
    <w:p w14:paraId="5DEB212D">
      <w:pPr>
        <w:pStyle w:val="4"/>
        <w:keepNext/>
        <w:spacing w:before="100" w:after="80"/>
        <w:rPr>
          <w:rFonts w:ascii="Times New Roman" w:hAnsi="Times New Roman" w:eastAsia="Times New Roman"/>
          <w:b/>
          <w:color w:val="000000"/>
          <w:sz w:val="24"/>
        </w:rPr>
      </w:pPr>
    </w:p>
    <w:p w14:paraId="2FCE7157">
      <w:pPr>
        <w:pStyle w:val="4"/>
        <w:keepNext/>
        <w:spacing w:before="100" w:after="80"/>
      </w:pPr>
      <w:r>
        <w:rPr>
          <w:rFonts w:ascii="Times New Roman" w:hAnsi="Times New Roman" w:eastAsia="Times New Roman"/>
          <w:b/>
          <w:color w:val="000000"/>
          <w:sz w:val="24"/>
        </w:rPr>
        <w:t>Visualization Justification</w:t>
      </w:r>
      <w:bookmarkStart w:id="0" w:name="_GoBack"/>
      <w:bookmarkEnd w:id="0"/>
    </w:p>
    <w:p w14:paraId="4814E820">
      <w:pPr>
        <w:keepNext w:val="0"/>
        <w:spacing w:after="80" w:line="259" w:lineRule="auto"/>
        <w:jc w:val="both"/>
      </w:pPr>
      <w:r>
        <w:rPr>
          <w:rFonts w:ascii="Times New Roman" w:hAnsi="Times New Roman" w:eastAsia="Times New Roman"/>
          <w:color w:val="000000"/>
          <w:sz w:val="23"/>
        </w:rPr>
        <w:t>The monthly plots separate crash frequency from the severe crash proportion. The weekday hour and lighting weather heatmaps compare two conditions at a time while the count thresholds prevent small cells from dominating the story. The box plots provide compact numeric comparisons without presenting them as independent effects.</w:t>
      </w:r>
    </w:p>
    <w:p w14:paraId="5456A19A">
      <w:pPr>
        <w:keepNext w:val="0"/>
        <w:spacing w:after="80" w:line="259" w:lineRule="auto"/>
        <w:jc w:val="both"/>
        <w:rPr>
          <w:rFonts w:ascii="Times New Roman" w:hAnsi="Times New Roman" w:eastAsia="Times New Roman"/>
          <w:color w:val="000000"/>
          <w:sz w:val="23"/>
        </w:rPr>
      </w:pPr>
      <w:r>
        <w:rPr>
          <w:rFonts w:ascii="Times New Roman" w:hAnsi="Times New Roman" w:eastAsia="Times New Roman"/>
          <w:color w:val="000000"/>
          <w:sz w:val="23"/>
        </w:rPr>
        <w:t>The interactive road user chart keeps the rate beside the underlying record count. The person charts distinguish age and role patterns, and the Folium heat map shows the spatial concentration of recorded severe crashes. The map is a density display rather than an exposure adjusted risk map because traffic volume and pedestrian or cycling activity are not available.</w:t>
      </w:r>
    </w:p>
    <w:p w14:paraId="3E835159">
      <w:pPr>
        <w:keepNext w:val="0"/>
        <w:spacing w:after="80" w:line="259" w:lineRule="auto"/>
        <w:jc w:val="both"/>
        <w:rPr>
          <w:rFonts w:ascii="Times New Roman" w:hAnsi="Times New Roman" w:eastAsia="Times New Roman"/>
          <w:color w:val="000000"/>
          <w:sz w:val="23"/>
        </w:rPr>
      </w:pPr>
    </w:p>
    <w:p w14:paraId="56D03548">
      <w:pPr>
        <w:pStyle w:val="3"/>
        <w:keepNext/>
        <w:spacing w:before="140" w:after="80"/>
        <w:rPr>
          <w:rFonts w:ascii="Times New Roman" w:hAnsi="Times New Roman" w:eastAsia="Times New Roman"/>
          <w:b/>
          <w:color w:val="000000"/>
          <w:sz w:val="28"/>
        </w:rPr>
      </w:pPr>
      <w:r>
        <w:rPr>
          <w:rFonts w:hint="eastAsia" w:ascii="Times New Roman" w:hAnsi="Times New Roman" w:eastAsia="新細明體"/>
          <w:b/>
          <w:color w:val="000000"/>
          <w:sz w:val="28"/>
          <w:lang w:val="en-US" w:eastAsia="zh-TW"/>
        </w:rPr>
        <w:t xml:space="preserve">6 </w:t>
      </w:r>
      <w:r>
        <w:rPr>
          <w:rFonts w:ascii="Times New Roman" w:hAnsi="Times New Roman" w:eastAsia="Times New Roman"/>
          <w:b/>
          <w:color w:val="000000"/>
          <w:sz w:val="28"/>
        </w:rPr>
        <w:t>References</w:t>
      </w:r>
    </w:p>
    <w:p w14:paraId="2FAAE4A7">
      <w:pPr>
        <w:pStyle w:val="19"/>
        <w:spacing w:before="153" w:line="277" w:lineRule="auto"/>
        <w:jc w:val="left"/>
        <w:rPr>
          <w:rFonts w:hint="eastAsia" w:ascii="Times New Roman Regular" w:hAnsi="Times New Roman Regular" w:eastAsia="新細明體" w:cs="Times New Roman Regular"/>
          <w:spacing w:val="12"/>
          <w:sz w:val="19"/>
          <w:szCs w:val="19"/>
          <w:lang w:eastAsia="zh-TW"/>
        </w:rPr>
      </w:pPr>
      <w:r>
        <w:rPr>
          <w:rFonts w:hint="eastAsia" w:ascii="Times New Roman Regular" w:hAnsi="Times New Roman Regular" w:eastAsia="新細明體" w:cs="Times New Roman Regular"/>
          <w:spacing w:val="12"/>
          <w:sz w:val="19"/>
          <w:szCs w:val="19"/>
          <w:lang w:eastAsia="zh-TW"/>
        </w:rPr>
        <w:t xml:space="preserve">City of Chicago.  Traffic crashes – crashes.  </w:t>
      </w:r>
      <w:r>
        <w:rPr>
          <w:rFonts w:hint="eastAsia" w:ascii="Times New Roman Regular" w:hAnsi="Times New Roman Regular" w:eastAsia="新細明體" w:cs="Times New Roman Regular"/>
          <w:color w:val="auto"/>
          <w:spacing w:val="12"/>
          <w:sz w:val="19"/>
          <w:szCs w:val="19"/>
          <w:u w:val="none"/>
          <w:lang w:eastAsia="zh-TW"/>
        </w:rPr>
        <w:fldChar w:fldCharType="begin"/>
      </w:r>
      <w:r>
        <w:rPr>
          <w:rFonts w:hint="eastAsia" w:ascii="Times New Roman Regular" w:hAnsi="Times New Roman Regular" w:eastAsia="新細明體" w:cs="Times New Roman Regular"/>
          <w:color w:val="auto"/>
          <w:spacing w:val="12"/>
          <w:sz w:val="19"/>
          <w:szCs w:val="19"/>
          <w:u w:val="none"/>
          <w:lang w:eastAsia="zh-TW"/>
        </w:rPr>
        <w:instrText xml:space="preserve"> HYPERLINK "https://data.cityofchicago.org/Transportation/Traffic-Crashes-Crashes/85ca-t3if" </w:instrText>
      </w:r>
      <w:r>
        <w:rPr>
          <w:rFonts w:hint="eastAsia" w:ascii="Times New Roman Regular" w:hAnsi="Times New Roman Regular" w:eastAsia="新細明體" w:cs="Times New Roman Regular"/>
          <w:color w:val="auto"/>
          <w:spacing w:val="12"/>
          <w:sz w:val="19"/>
          <w:szCs w:val="19"/>
          <w:u w:val="none"/>
          <w:lang w:eastAsia="zh-TW"/>
        </w:rPr>
        <w:fldChar w:fldCharType="separate"/>
      </w:r>
      <w:r>
        <w:rPr>
          <w:rStyle w:val="134"/>
          <w:rFonts w:hint="eastAsia" w:ascii="Times New Roman Regular" w:hAnsi="Times New Roman Regular" w:eastAsia="新細明體" w:cs="Times New Roman Regular"/>
          <w:spacing w:val="12"/>
          <w:sz w:val="19"/>
          <w:szCs w:val="19"/>
          <w:lang w:eastAsia="zh-TW"/>
        </w:rPr>
        <w:t>https://data.cityofchicago.org/Transportation/Traffic-Crashes-Crashes/85ca-t3if</w:t>
      </w:r>
      <w:r>
        <w:rPr>
          <w:rFonts w:hint="eastAsia" w:ascii="Times New Roman Regular" w:hAnsi="Times New Roman Regular" w:eastAsia="新細明體" w:cs="Times New Roman Regular"/>
          <w:color w:val="auto"/>
          <w:spacing w:val="12"/>
          <w:sz w:val="19"/>
          <w:szCs w:val="19"/>
          <w:u w:val="none"/>
          <w:lang w:eastAsia="zh-TW"/>
        </w:rPr>
        <w:fldChar w:fldCharType="end"/>
      </w:r>
      <w:r>
        <w:rPr>
          <w:rFonts w:hint="eastAsia" w:ascii="Times New Roman Regular" w:hAnsi="Times New Roman Regular" w:eastAsia="新細明體" w:cs="Times New Roman Regular"/>
          <w:color w:val="auto"/>
          <w:spacing w:val="12"/>
          <w:sz w:val="19"/>
          <w:szCs w:val="19"/>
          <w:u w:val="none"/>
          <w:lang w:eastAsia="zh-TW"/>
        </w:rPr>
        <w:t>, a. City of Chicago Data Portal.</w:t>
      </w:r>
    </w:p>
    <w:p w14:paraId="7703DDF9">
      <w:pPr>
        <w:pStyle w:val="19"/>
        <w:spacing w:before="153" w:line="277" w:lineRule="auto"/>
        <w:jc w:val="left"/>
        <w:rPr>
          <w:rFonts w:hint="default" w:ascii="Times New Roman Regular" w:hAnsi="Times New Roman Regular" w:eastAsia="新細明體" w:cs="Times New Roman Regular"/>
          <w:spacing w:val="12"/>
          <w:sz w:val="19"/>
          <w:szCs w:val="19"/>
          <w:lang w:val="en-US" w:eastAsia="zh-TW"/>
        </w:rPr>
      </w:pPr>
      <w:r>
        <w:rPr>
          <w:rFonts w:hint="eastAsia" w:ascii="Times New Roman Regular" w:hAnsi="Times New Roman Regular" w:eastAsia="新細明體" w:cs="Times New Roman Regular"/>
          <w:spacing w:val="12"/>
          <w:sz w:val="19"/>
          <w:szCs w:val="19"/>
          <w:lang w:eastAsia="zh-TW"/>
        </w:rPr>
        <w:t xml:space="preserve">City of Chicago.  Traffic crashes – people. </w:t>
      </w:r>
      <w:r>
        <w:rPr>
          <w:rFonts w:hint="eastAsia" w:ascii="Times New Roman Regular" w:hAnsi="Times New Roman Regular" w:eastAsia="新細明體" w:cs="Times New Roman Regular"/>
          <w:color w:val="auto"/>
          <w:spacing w:val="12"/>
          <w:sz w:val="19"/>
          <w:szCs w:val="19"/>
          <w:u w:val="none"/>
          <w:lang w:eastAsia="zh-TW"/>
        </w:rPr>
        <w:t xml:space="preserve"> </w:t>
      </w:r>
      <w:r>
        <w:rPr>
          <w:rFonts w:hint="eastAsia" w:ascii="Times New Roman Regular" w:hAnsi="Times New Roman Regular" w:eastAsia="新細明體" w:cs="Times New Roman Regular"/>
          <w:color w:val="auto"/>
          <w:spacing w:val="12"/>
          <w:sz w:val="19"/>
          <w:szCs w:val="19"/>
          <w:u w:val="none"/>
          <w:lang w:eastAsia="zh-TW"/>
        </w:rPr>
        <w:fldChar w:fldCharType="begin"/>
      </w:r>
      <w:r>
        <w:rPr>
          <w:rFonts w:hint="eastAsia" w:ascii="Times New Roman Regular" w:hAnsi="Times New Roman Regular" w:eastAsia="新細明體" w:cs="Times New Roman Regular"/>
          <w:color w:val="auto"/>
          <w:spacing w:val="12"/>
          <w:sz w:val="19"/>
          <w:szCs w:val="19"/>
          <w:u w:val="none"/>
          <w:lang w:eastAsia="zh-TW"/>
        </w:rPr>
        <w:instrText xml:space="preserve"> HYPERLINK "https://data.cityofchicago.org/Transportation/Traffic-Crashes-People/u6pd-qa9d" </w:instrText>
      </w:r>
      <w:r>
        <w:rPr>
          <w:rFonts w:hint="eastAsia" w:ascii="Times New Roman Regular" w:hAnsi="Times New Roman Regular" w:eastAsia="新細明體" w:cs="Times New Roman Regular"/>
          <w:color w:val="auto"/>
          <w:spacing w:val="12"/>
          <w:sz w:val="19"/>
          <w:szCs w:val="19"/>
          <w:u w:val="none"/>
          <w:lang w:eastAsia="zh-TW"/>
        </w:rPr>
        <w:fldChar w:fldCharType="separate"/>
      </w:r>
      <w:r>
        <w:rPr>
          <w:rStyle w:val="136"/>
          <w:rFonts w:hint="eastAsia" w:ascii="Times New Roman Regular" w:hAnsi="Times New Roman Regular" w:eastAsia="新細明體" w:cs="Times New Roman Regular"/>
          <w:spacing w:val="12"/>
          <w:sz w:val="19"/>
          <w:szCs w:val="19"/>
          <w:lang w:eastAsia="zh-TW"/>
        </w:rPr>
        <w:t>https://data.cityofchicago.org/Transportation/Traffic-Crashes-People/u6pd-qa9d</w:t>
      </w:r>
      <w:r>
        <w:rPr>
          <w:rFonts w:hint="eastAsia" w:ascii="Times New Roman Regular" w:hAnsi="Times New Roman Regular" w:eastAsia="新細明體" w:cs="Times New Roman Regular"/>
          <w:color w:val="auto"/>
          <w:spacing w:val="12"/>
          <w:sz w:val="19"/>
          <w:szCs w:val="19"/>
          <w:u w:val="none"/>
          <w:lang w:eastAsia="zh-TW"/>
        </w:rPr>
        <w:fldChar w:fldCharType="end"/>
      </w:r>
      <w:r>
        <w:rPr>
          <w:rFonts w:hint="eastAsia" w:ascii="Times New Roman Regular" w:hAnsi="Times New Roman Regular" w:eastAsia="新細明體" w:cs="Times New Roman Regular"/>
          <w:color w:val="auto"/>
          <w:spacing w:val="12"/>
          <w:sz w:val="19"/>
          <w:szCs w:val="19"/>
          <w:u w:val="none"/>
          <w:lang w:eastAsia="zh-TW"/>
        </w:rPr>
        <w:t>, b. City of Chicago Data Portal</w:t>
      </w:r>
      <w:r>
        <w:rPr>
          <w:rFonts w:hint="default" w:ascii="Times New Roman Regular" w:hAnsi="Times New Roman Regular" w:eastAsia="新細明體" w:cs="Times New Roman Regular"/>
          <w:color w:val="auto"/>
          <w:spacing w:val="12"/>
          <w:sz w:val="19"/>
          <w:szCs w:val="19"/>
          <w:u w:val="none"/>
          <w:lang w:val="en-US" w:eastAsia="zh-TW"/>
        </w:rPr>
        <w:t>.</w:t>
      </w:r>
    </w:p>
    <w:p w14:paraId="44FC639F">
      <w:pPr>
        <w:pStyle w:val="19"/>
        <w:spacing w:before="153" w:line="277" w:lineRule="auto"/>
        <w:jc w:val="left"/>
        <w:rPr>
          <w:rFonts w:hint="default" w:ascii="Times New Roman Regular" w:hAnsi="Times New Roman Regular" w:eastAsia="新細明體" w:cs="Times New Roman Regular"/>
          <w:spacing w:val="12"/>
          <w:sz w:val="19"/>
          <w:szCs w:val="19"/>
          <w:lang w:val="en-US" w:eastAsia="zh-TW"/>
        </w:rPr>
      </w:pPr>
      <w:r>
        <w:rPr>
          <w:rFonts w:hint="eastAsia" w:ascii="Times New Roman Regular" w:hAnsi="Times New Roman Regular" w:eastAsia="新細明體" w:cs="Times New Roman Regular"/>
          <w:spacing w:val="12"/>
          <w:sz w:val="19"/>
          <w:szCs w:val="19"/>
          <w:lang w:eastAsia="zh-TW"/>
        </w:rPr>
        <w:t xml:space="preserve">City of Chicago.  Traffic crashes – vehicles.  </w:t>
      </w:r>
      <w:r>
        <w:rPr>
          <w:rFonts w:hint="eastAsia" w:ascii="Times New Roman Regular" w:hAnsi="Times New Roman Regular" w:eastAsia="新細明體" w:cs="Times New Roman Regular"/>
          <w:color w:val="auto"/>
          <w:spacing w:val="12"/>
          <w:sz w:val="19"/>
          <w:szCs w:val="19"/>
          <w:u w:val="none"/>
          <w:lang w:eastAsia="zh-TW"/>
        </w:rPr>
        <w:fldChar w:fldCharType="begin"/>
      </w:r>
      <w:r>
        <w:rPr>
          <w:rFonts w:hint="eastAsia" w:ascii="Times New Roman Regular" w:hAnsi="Times New Roman Regular" w:eastAsia="新細明體" w:cs="Times New Roman Regular"/>
          <w:color w:val="auto"/>
          <w:spacing w:val="12"/>
          <w:sz w:val="19"/>
          <w:szCs w:val="19"/>
          <w:u w:val="none"/>
          <w:lang w:eastAsia="zh-TW"/>
        </w:rPr>
        <w:instrText xml:space="preserve"> HYPERLINK "https://data.cityofchicago.org/Transportation/Traffic-Crashes-Vehicles/68nd-jvt3" </w:instrText>
      </w:r>
      <w:r>
        <w:rPr>
          <w:rFonts w:hint="eastAsia" w:ascii="Times New Roman Regular" w:hAnsi="Times New Roman Regular" w:eastAsia="新細明體" w:cs="Times New Roman Regular"/>
          <w:color w:val="auto"/>
          <w:spacing w:val="12"/>
          <w:sz w:val="19"/>
          <w:szCs w:val="19"/>
          <w:u w:val="none"/>
          <w:lang w:eastAsia="zh-TW"/>
        </w:rPr>
        <w:fldChar w:fldCharType="separate"/>
      </w:r>
      <w:r>
        <w:rPr>
          <w:rStyle w:val="136"/>
          <w:rFonts w:hint="eastAsia" w:ascii="Times New Roman Regular" w:hAnsi="Times New Roman Regular" w:eastAsia="新細明體" w:cs="Times New Roman Regular"/>
          <w:spacing w:val="12"/>
          <w:sz w:val="19"/>
          <w:szCs w:val="19"/>
          <w:lang w:eastAsia="zh-TW"/>
        </w:rPr>
        <w:t>https://data.cityofchicago.org/Transportation/Traffic-Crashes-Vehicles/68nd-jvt3</w:t>
      </w:r>
      <w:r>
        <w:rPr>
          <w:rFonts w:hint="eastAsia" w:ascii="Times New Roman Regular" w:hAnsi="Times New Roman Regular" w:eastAsia="新細明體" w:cs="Times New Roman Regular"/>
          <w:color w:val="auto"/>
          <w:spacing w:val="12"/>
          <w:sz w:val="19"/>
          <w:szCs w:val="19"/>
          <w:u w:val="none"/>
          <w:lang w:eastAsia="zh-TW"/>
        </w:rPr>
        <w:fldChar w:fldCharType="end"/>
      </w:r>
      <w:r>
        <w:rPr>
          <w:rFonts w:hint="eastAsia" w:ascii="Times New Roman Regular" w:hAnsi="Times New Roman Regular" w:eastAsia="新細明體" w:cs="Times New Roman Regular"/>
          <w:color w:val="auto"/>
          <w:spacing w:val="12"/>
          <w:sz w:val="19"/>
          <w:szCs w:val="19"/>
          <w:u w:val="none"/>
          <w:lang w:eastAsia="zh-TW"/>
        </w:rPr>
        <w:t>, c. City of Chicago Data Portal</w:t>
      </w:r>
      <w:r>
        <w:rPr>
          <w:rFonts w:hint="default" w:ascii="Times New Roman Regular" w:hAnsi="Times New Roman Regular" w:eastAsia="新細明體" w:cs="Times New Roman Regular"/>
          <w:color w:val="auto"/>
          <w:spacing w:val="12"/>
          <w:sz w:val="19"/>
          <w:szCs w:val="19"/>
          <w:u w:val="none"/>
          <w:lang w:val="en-US" w:eastAsia="zh-TW"/>
        </w:rPr>
        <w:t>.</w:t>
      </w:r>
    </w:p>
    <w:p w14:paraId="2DA06738">
      <w:pPr>
        <w:spacing w:after="40"/>
      </w:pPr>
    </w:p>
    <w:sectPr>
      <w:pgSz w:w="11906" w:h="16838"/>
      <w:pgMar w:top="1077" w:right="1077" w:bottom="737" w:left="1077"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新細明體">
    <w:altName w:val="宋体-繁"/>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 w:name="Times New Roman Regular">
    <w:panose1 w:val="02020503050405090304"/>
    <w:charset w:val="00"/>
    <w:family w:val="auto"/>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337DEC"/>
    <w:rsid w:val="13FD3393"/>
    <w:rsid w:val="2F95C481"/>
    <w:rsid w:val="78FEC57C"/>
    <w:rsid w:val="7BF550E2"/>
    <w:rsid w:val="9AFDDFA0"/>
    <w:rsid w:val="BCD96698"/>
    <w:rsid w:val="DF5F37F1"/>
    <w:rsid w:val="DFFE9891"/>
    <w:rsid w:val="FEFBAECF"/>
    <w:rsid w:val="FFAE0D79"/>
    <w:rsid w:val="FFD59CB0"/>
    <w:rsid w:val="FFFF4F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Times New Roman" w:hAnsi="Times New Roman" w:eastAsia="Times New Roman" w:cstheme="minorBidi"/>
      <w:color w:val="000000"/>
      <w:sz w:val="23"/>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3"/>
    <w:qFormat/>
    <w:uiPriority w:val="10"/>
    <w:pPr>
      <w:spacing w:after="300" w:line="240" w:lineRule="auto"/>
      <w:contextualSpacing/>
    </w:pPr>
    <w:rPr>
      <w:rFonts w:asciiTheme="majorHAnsi" w:hAnsiTheme="majorHAnsi" w:eastAsiaTheme="majorEastAsia" w:cstheme="majorBidi"/>
      <w:b/>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FollowedHyperlink"/>
    <w:basedOn w:val="132"/>
    <w:uiPriority w:val="0"/>
    <w:rPr>
      <w:color w:val="800080"/>
      <w:u w:val="single"/>
    </w:rPr>
  </w:style>
  <w:style w:type="character" w:styleId="135">
    <w:name w:val="Emphasis"/>
    <w:basedOn w:val="132"/>
    <w:qFormat/>
    <w:uiPriority w:val="20"/>
    <w:rPr>
      <w:i/>
      <w:iCs/>
    </w:rPr>
  </w:style>
  <w:style w:type="character" w:styleId="136">
    <w:name w:val="Hyperlink"/>
    <w:basedOn w:val="132"/>
    <w:uiPriority w:val="0"/>
    <w:rPr>
      <w:color w:val="0000FF"/>
      <w:u w:val="single"/>
    </w:rPr>
  </w:style>
  <w:style w:type="character" w:customStyle="1" w:styleId="137">
    <w:name w:val="Header Char"/>
    <w:basedOn w:val="132"/>
    <w:link w:val="25"/>
    <w:uiPriority w:val="99"/>
  </w:style>
  <w:style w:type="character" w:customStyle="1" w:styleId="138">
    <w:name w:val="Footer Char"/>
    <w:basedOn w:val="132"/>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uiPriority w:val="99"/>
  </w:style>
  <w:style w:type="character" w:customStyle="1" w:styleId="147">
    <w:name w:val="Body Text 2 Char"/>
    <w:basedOn w:val="132"/>
    <w:link w:val="28"/>
    <w:uiPriority w:val="99"/>
  </w:style>
  <w:style w:type="character" w:customStyle="1" w:styleId="148">
    <w:name w:val="Body Text 3 Char"/>
    <w:basedOn w:val="132"/>
    <w:link w:val="17"/>
    <w:uiPriority w:val="99"/>
    <w:rPr>
      <w:sz w:val="16"/>
      <w:szCs w:val="16"/>
    </w:rPr>
  </w:style>
  <w:style w:type="character" w:customStyle="1" w:styleId="149">
    <w:name w:val="Macro Text Char"/>
    <w:basedOn w:val="132"/>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uiPriority w:val="29"/>
    <w:rPr>
      <w:i/>
      <w:iCs/>
      <w:color w:val="000000" w:themeColor="text1"/>
      <w14:textFill>
        <w14:solidFill>
          <w14:schemeClr w14:val="tx1"/>
        </w14:solidFill>
      </w14:textFill>
    </w:rPr>
  </w:style>
  <w:style w:type="character" w:customStyle="1" w:styleId="152">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Tang I Choi and TAN MIN FAI</dc:creator>
  <dc:description>generated by python-docx</dc:description>
  <cp:keywords>CISC7204 data visualization traffic crashes Chicago</cp:keywords>
  <cp:lastModifiedBy>エミリー</cp:lastModifiedBy>
  <dcterms:modified xsi:type="dcterms:W3CDTF">2026-10-16T00:58:48Z</dcterms:modified>
  <dc:subject>CISC7204 Assignment 02 Revised Pair Project Proposal</dc:subject>
  <dc:title>Chicago Severe Traffic Crash Patterns 2024 to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4281710066BBCEB84806D16AD7344BFE_43</vt:lpwstr>
  </property>
</Properties>
</file>